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5.pdf" ContentType="application/pdf"/>
  <Override PartName="/word/media/rId140.pdf" ContentType="application/pdf"/>
  <Override PartName="/word/media/rId119.pdf" ContentType="application/pdf"/>
  <Override PartName="/word/media/rId136.pdf" ContentType="application/pdf"/>
  <Override PartName="/word/media/rId131.pdf" ContentType="application/pdf"/>
  <Override PartName="/word/media/rId127.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Transforming Diagnosis through Advanced Machine Learning and Data Analytics</w:t>
      </w:r>
    </w:p>
    <w:p>
      <w:pPr>
        <w:pStyle w:val="Author"/>
      </w:pPr>
      <w:r>
        <w:t xml:space="preserve">Qingyuan Liu</w:t>
      </w:r>
      <w:r>
        <w:rPr>
          <w:vertAlign w:val="superscript"/>
        </w:rPr>
        <w:t xml:space="preserve">1</w:t>
      </w:r>
    </w:p>
    <w:p>
      <w:pPr>
        <w:pStyle w:val="a8"/>
      </w:pPr>
      <w:r>
        <w:t xml:space="preserve"> </w:t>
      </w:r>
      <w:r>
        <w:rPr>
          <w:vertAlign w:val="superscript"/>
        </w:rPr>
        <w:t xml:space="preserve">1</w:t>
      </w:r>
      <w:r>
        <w:t xml:space="preserve">Department of Computing, The Hong Kong Polytechnic University, Hong Kong SAR, China</w:t>
      </w:r>
      <w:r>
        <w:t xml:space="preserve"> </w:t>
      </w:r>
    </w:p>
    <w:p>
      <w:pPr>
        <w:pStyle w:val="AbstractTitle"/>
      </w:pPr>
      <w:r>
        <w:t xml:space="preserve">Abstract</w:t>
      </w:r>
    </w:p>
    <w:p>
      <w:pPr>
        <w:pStyle w:val="Abstract"/>
      </w:pPr>
      <w:r>
        <w:t xml:space="preserve">Accurate diagnostic risk prediction increasingly depends on machine learning models that can operate reliably across hospitals, populations, and data-collection protocols. In practice, however, clinical prediction models are often trained on small, imbalanced tabular cohorts with heterogeneous feature schemas and substantial distribution shift, so performance deteriorates once they leave the development site. To address this gap, we propose PANDA (Pretrained Adaptation Network with Domain Alignment), a framework that combines a pre-trained tabular foundation model with domain-aware feature selection and unsupervised alignment to stabilize diagnostic decision support. PANDA uses a TabPFN-style transformer backbone meta-trained on synthetic tabular tasks to provide data-efficient priors; a cross-cohort recursive feature elimination step identifies a compact set of shared biomarkers that remain predictive across sites; and Transfer Component Analysis (TCA) projects source and target cohorts into a shared latent space using unlabeled target data, mitigating covariate shift under strict privacy constraints.</w:t>
      </w:r>
    </w:p>
    <w:p>
      <w:pPr>
        <w:pStyle w:val="Abstract"/>
      </w:pPr>
      <w:r>
        <w:t xml:space="preserve">We evaluate PANDA in two representative diagnostic settings. For cross-hospital pulmonary</w:t>
      </w:r>
      <w:r>
        <w:t xml:space="preserve"> </w:t>
      </w:r>
      <w:r>
        <w:t xml:space="preserve">nodule malignancy prediction using structured clinical data from two Chinese cancer centers,</w:t>
      </w:r>
      <w:r>
        <w:t xml:space="preserve"> </w:t>
      </w:r>
      <w:r>
        <w:t xml:space="preserve">PANDA achieves an internal AUC of 0.811 and, with TCA, attains an external AUC of 0.705</w:t>
      </w:r>
      <w:r>
        <w:t xml:space="preserve"> </w:t>
      </w:r>
      <w:r>
        <w:t xml:space="preserve">and recall of 0.944 on the target hospital, outperforming tree ensembles and classical clinical</w:t>
      </w:r>
      <w:r>
        <w:t xml:space="preserve"> </w:t>
      </w:r>
      <w:r>
        <w:t xml:space="preserve">scores such as Mayo and PKUPH (AUC &lt; 0.64). In the TableShift BRFSS Diabetes benchmark</w:t>
      </w:r>
      <w:r>
        <w:t xml:space="preserve"> </w:t>
      </w:r>
      <w:r>
        <w:t xml:space="preserve">with a race-driven shift from White to non-White respondents, PANDA with TCA reaches an</w:t>
      </w:r>
      <w:r>
        <w:t xml:space="preserve"> </w:t>
      </w:r>
      <w:r>
        <w:t xml:space="preserve">out-of-distribution AUC of 0.804, comparable to its in-distribution AUC of 0.802, while standard</w:t>
      </w:r>
      <w:r>
        <w:t xml:space="preserve"> </w:t>
      </w:r>
      <w:r>
        <w:t xml:space="preserve">gradient boosting and random forests exhibit larger degradation. Together, these results indicate</w:t>
      </w:r>
      <w:r>
        <w:t xml:space="preserve"> </w:t>
      </w:r>
      <w:r>
        <w:t xml:space="preserve">that pairing tabular foundation-model priors with cross-domain feature pruning and lightweight</w:t>
      </w:r>
      <w:r>
        <w:t xml:space="preserve"> </w:t>
      </w:r>
      <w:r>
        <w:t xml:space="preserve">statistical alignment can make diagnostic machine learning systems more robust and data-efficient</w:t>
      </w:r>
      <w:r>
        <w:t xml:space="preserve"> </w:t>
      </w:r>
      <w:r>
        <w:t xml:space="preserve">in realistic cross-hospital and cross-population deployments.</w:t>
      </w:r>
    </w:p>
    <w:sdt>
      <w:sdtPr>
        <w:docPartObj>
          <w:docPartGallery w:val="List of Figures"/>
          <w:docPartUnique/>
        </w:docPartObj>
      </w:sdtPr>
      <w:sdtContent>
        <w:p>
          <w:pPr>
            <w:pStyle w:val="TOC"/>
          </w:pPr>
          <w:r>
            <w:t xml:space="preserve">List of Figures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
          </w:pPr>
          <w:r>
            <w:t xml:space="preserve">List of Tables</w:t>
          </w:r>
        </w:p>
        <w:p>
          <w:r>
            <w:fldChar w:fldCharType="begin" w:dirty="true"/>
            <w:instrText xml:space="preserve">TOC \h \z \t "Table Caption" \c</w:instrText>
            <w:fldChar w:fldCharType="separate"/>
            <w:fldChar w:fldCharType="end"/>
          </w:r>
        </w:p>
      </w:sdtContent>
    </w:sdt>
    <w:p>
      <w:pPr>
        <w:pStyle w:val="TOCHeading"/>
      </w:pPr>
      <w:r>
        <w:t>TABLE OF CONTENTS</w:t>
      </w:r>
    </w:p>
    <w:p>
      <w:fldSimple w:instr="TOC \o &quot;1-3&quot; \h \z \u">
        <w:r>
          <w:rPr>
            <w:b/>
            <w:bCs/>
            <w:noProof/>
          </w:rPr>
          <w:t>Right-click to update field.</w:t>
        </w:r>
      </w:fldSimple>
    </w:p>
    <w:bookmarkStart w:id="10" w:name="sec:intro-start"/>
    <w:p>
      <w:pPr>
        <w:pStyle w:val="1"/>
      </w:pPr>
      <w:r>
        <w:t xml:space="preserve">Introduction</w:t>
      </w:r>
    </w:p>
    <w:p>
      <w:pPr>
        <w:pStyle w:val="FirstParagraph"/>
      </w:pPr>
      <w:r>
        <w:t xml:space="preserve">Accurate diagnostic risk prediction is a canonical setting in which advances in machine learning (ML) and data analytics can have immediate clinical impact. In pulmonary nodule screening, classical clinical risk scores such as the Mayo Clinic, Veterans Affairs, Brock (PanCan), PKUPH, and Li models achieve strong internal discrimination (AUC</w:t>
      </w:r>
      <w:r>
        <w:t xml:space="preserve"> </w:t>
      </w:r>
      <m:oMath>
        <m:r>
          <m:rPr>
            <m:sty m:val="p"/>
          </m:rPr>
          <m:t>≈</m:t>
        </m:r>
        <m:r>
          <m:t>0.80</m:t>
        </m:r>
      </m:oMath>
      <w:r>
        <w:t xml:space="preserve">–</w:t>
      </w:r>
      <m:oMath>
        <m:r>
          <m:t>0.94</m:t>
        </m:r>
      </m:oMath>
      <w:r>
        <w:t xml:space="preserve">) by fitting logistic regressions to carefully curated, single-center cohorts </w:t>
      </w:r>
      <w:r>
        <w:t xml:space="preserve">[</w:t>
      </w:r>
      <w:hyperlink w:anchor="ref-swensen1997chest">
        <w:r>
          <w:rPr>
            <w:rStyle w:val="af"/>
          </w:rPr>
          <w:t xml:space="preserve">1</w:t>
        </w:r>
      </w:hyperlink>
      <w:r>
        <w:t xml:space="preserve">–</w:t>
      </w:r>
      <w:hyperlink w:anchor="ref-liu_establishment_2024">
        <w:r>
          <w:rPr>
            <w:rStyle w:val="af"/>
          </w:rPr>
          <w:t xml:space="preserve">6</w:t>
        </w:r>
      </w:hyperlink>
      <w:r>
        <w:t xml:space="preserve">]</w:t>
      </w:r>
      <w:r>
        <w:t xml:space="preserve">. However, meta-analyses and external validations show that their performance can decline to AUCs of</w:t>
      </w:r>
      <w:r>
        <w:t xml:space="preserve"> </w:t>
      </w:r>
      <m:oMath>
        <m:r>
          <m:t>0.60</m:t>
        </m:r>
      </m:oMath>
      <w:r>
        <w:t xml:space="preserve">–</w:t>
      </w:r>
      <m:oMath>
        <m:r>
          <m:t>0.75</m:t>
        </m:r>
      </m:oMath>
      <w:r>
        <w:t xml:space="preserve"> </w:t>
      </w:r>
      <w:r>
        <w:t xml:space="preserve">when transported to community-screening sites, TB-endemic regions, or demographically distinct populations </w:t>
      </w:r>
      <w:r>
        <w:t xml:space="preserve">[</w:t>
      </w:r>
      <w:hyperlink w:anchor="ref-zhang_comprehensive_2022">
        <w:r>
          <w:rPr>
            <w:rStyle w:val="af"/>
          </w:rPr>
          <w:t xml:space="preserve">5</w:t>
        </w:r>
      </w:hyperlink>
      <w:r>
        <w:t xml:space="preserve">–</w:t>
      </w:r>
      <w:hyperlink w:anchor="ref-garau_external_2020">
        <w:r>
          <w:rPr>
            <w:rStyle w:val="af"/>
          </w:rPr>
          <w:t xml:space="preserve">7</w:t>
        </w:r>
      </w:hyperlink>
      <w:r>
        <w:t xml:space="preserve">]</w:t>
      </w:r>
      <w:r>
        <w:t xml:space="preserve">. These degradations, driven by shifts in disease prevalence, acquisition protocols, and background pathology (e.g., granulomas versus tuberculosis), illustrate how non-adaptive risk calculators can become unreliable in cross-hospital practice.</w:t>
      </w:r>
    </w:p>
    <w:p>
      <w:pPr>
        <w:pStyle w:val="a0"/>
      </w:pPr>
      <w:r>
        <w:t xml:space="preserve">From an AI perspective, these failures reflect a mismatch between the complexity of real-world deployment and the simplifying assumptions of classical supervised learning. Clinical tabular datasets are typically small, imbalanced, and heterogeneous: even high-value registries often contain only a few hundred labeled patients, with malignant nodules representing a minority class. Features are high-dimensional and only partially overlapping across sites, as institutions log different biomarker panels, coding schemes, and acquisition protocols. This combination of small sample size, distribution shift, and feature-space mismatch violates the closed-world assumptions underlying many standard models and exposes the limits of purely local training.</w:t>
      </w:r>
    </w:p>
    <w:p>
      <w:pPr>
        <w:pStyle w:val="a0"/>
      </w:pPr>
      <w:r>
        <w:t xml:space="preserve">The algorithmic trajectory for structured data in healthcare mirrors this tension. Gradient-boosted decision trees (GBDTs), led by XGBoost, LightGBM, and related ensembles, remain the workhorses of tabular ML because they tolerate heterogeneous scales, missingness, and noisy categorical codes </w:t>
      </w:r>
      <w:r>
        <w:t xml:space="preserve">[</w:t>
      </w:r>
      <w:hyperlink w:anchor="ref-chen2016xgboost">
        <w:r>
          <w:rPr>
            <w:rStyle w:val="af"/>
          </w:rPr>
          <w:t xml:space="preserve">8</w:t>
        </w:r>
      </w:hyperlink>
      <w:r>
        <w:t xml:space="preserve">,</w:t>
      </w:r>
      <w:hyperlink w:anchor="ref-gorishniy2021revisiting">
        <w:r>
          <w:rPr>
            <w:rStyle w:val="af"/>
          </w:rPr>
          <w:t xml:space="preserve">9</w:t>
        </w:r>
      </w:hyperlink>
      <w:r>
        <w:t xml:space="preserve">]</w:t>
      </w:r>
      <w:r>
        <w:t xml:space="preserve">. Neural</w:t>
      </w:r>
      <w:r>
        <w:t xml:space="preserve"> </w:t>
      </w:r>
      <w:r>
        <w:t xml:space="preserve">“deep tabular”</w:t>
      </w:r>
      <w:r>
        <w:t xml:space="preserve"> </w:t>
      </w:r>
      <w:r>
        <w:t xml:space="preserve">architectures—including TabNet, TabTransformer, SAINT, FT-Transformer, NODE, and other attention- or gating-based variants—extend differentiability to structured data and enable multimodal fusion, but they require substantial data, are sensitive to hyperparameters, and often lag well-tuned trees on clinical benchmarks when effective sample sizes are small </w:t>
      </w:r>
      <w:r>
        <w:t xml:space="preserve">[</w:t>
      </w:r>
      <w:hyperlink w:anchor="ref-gorishniy2021revisiting">
        <w:r>
          <w:rPr>
            <w:rStyle w:val="af"/>
          </w:rPr>
          <w:t xml:space="preserve">9</w:t>
        </w:r>
      </w:hyperlink>
      <w:r>
        <w:t xml:space="preserve">–</w:t>
      </w:r>
      <w:hyperlink w:anchor="ref-borisov2022deep">
        <w:r>
          <w:rPr>
            <w:rStyle w:val="af"/>
          </w:rPr>
          <w:t xml:space="preserve">13</w:t>
        </w:r>
      </w:hyperlink>
      <w:r>
        <w:t xml:space="preserve">]</w:t>
      </w:r>
      <w:r>
        <w:t xml:space="preserve">. Radiomics pipelines engineer thousands of texture descriptors from CT volumes, and 3D convolutional neural networks (CNNs) achieve strong internal performance on datasets such as NLST and LIDC, yet their scanner sensitivity and propensity for shortcut learning often negate cross-site gains: external validations reveal double-digit AUC drops when voxel spacing, reconstruction kernels, or case mix shift, and models can latch onto hospital-specific artifacts rather than biological signals </w:t>
      </w:r>
      <w:r>
        <w:t xml:space="preserve">[</w:t>
      </w:r>
      <w:hyperlink w:anchor="ref-garau_external_2020">
        <w:r>
          <w:rPr>
            <w:rStyle w:val="af"/>
          </w:rPr>
          <w:t xml:space="preserve">7</w:t>
        </w:r>
      </w:hyperlink>
      <w:r>
        <w:t xml:space="preserve">,</w:t>
      </w:r>
      <w:hyperlink w:anchor="ref-ardila_end--end_2019">
        <w:r>
          <w:rPr>
            <w:rStyle w:val="af"/>
          </w:rPr>
          <w:t xml:space="preserve">14</w:t>
        </w:r>
      </w:hyperlink>
      <w:r>
        <w:t xml:space="preserve">–</w:t>
      </w:r>
      <w:hyperlink w:anchor="ref-hellin2024unraveling">
        <w:r>
          <w:rPr>
            <w:rStyle w:val="af"/>
          </w:rPr>
          <w:t xml:space="preserve">16</w:t>
        </w:r>
      </w:hyperlink>
      <w:r>
        <w:t xml:space="preserve">]</w:t>
      </w:r>
      <w:r>
        <w:t xml:space="preserve">.</w:t>
      </w:r>
    </w:p>
    <w:p>
      <w:pPr>
        <w:pStyle w:val="a0"/>
      </w:pPr>
      <w:r>
        <w:t xml:space="preserve">More recently, tabular foundation models and large tabular language models have emerged as promising directions. TabPFN meta-learns a transformer that approximates Bayesian posterior predictions across millions of synthetic tabular tasks, delivering hyperparameter-free, small-sample inference via in-context learning </w:t>
      </w:r>
      <w:r>
        <w:t xml:space="preserve">[</w:t>
      </w:r>
      <w:hyperlink w:anchor="ref-hollmann2025accurate">
        <w:r>
          <w:rPr>
            <w:rStyle w:val="af"/>
          </w:rPr>
          <w:t xml:space="preserve">17</w:t>
        </w:r>
      </w:hyperlink>
      <w:r>
        <w:t xml:space="preserve">,</w:t>
      </w:r>
      <w:hyperlink w:anchor="ref-schneider2024foundation">
        <w:r>
          <w:rPr>
            <w:rStyle w:val="af"/>
          </w:rPr>
          <w:t xml:space="preserve">18</w:t>
        </w:r>
      </w:hyperlink>
      <w:r>
        <w:t xml:space="preserve">]</w:t>
      </w:r>
      <w:r>
        <w:t xml:space="preserve">. Successors such as TabPFN-2.5 and drift-resilient TabPFN extend context length, relax attention bottlenecks, and incorporate simulated drifts into the prior </w:t>
      </w:r>
      <w:r>
        <w:t xml:space="preserve">[</w:t>
      </w:r>
      <w:hyperlink w:anchor="ref-noauthor_prior_nodate">
        <w:r>
          <w:rPr>
            <w:rStyle w:val="af"/>
          </w:rPr>
          <w:t xml:space="preserve">19</w:t>
        </w:r>
      </w:hyperlink>
      <w:r>
        <w:t xml:space="preserve">–</w:t>
      </w:r>
      <w:hyperlink w:anchor="X60a9a1bcb93ef50ea8b7bc291808839e814cc23">
        <w:r>
          <w:rPr>
            <w:rStyle w:val="af"/>
          </w:rPr>
          <w:t xml:space="preserve">21</w:t>
        </w:r>
      </w:hyperlink>
      <w:r>
        <w:t xml:space="preserve">]</w:t>
      </w:r>
      <w:r>
        <w:t xml:space="preserve">. Other work explores more realistic priors and cross-domain training curricula </w:t>
      </w:r>
      <w:r>
        <w:t xml:space="preserve">[</w:t>
      </w:r>
      <w:hyperlink w:anchor="ref-noauthor_realistic_nodate">
        <w:r>
          <w:rPr>
            <w:rStyle w:val="af"/>
          </w:rPr>
          <w:t xml:space="preserve">20</w:t>
        </w:r>
      </w:hyperlink>
      <w:r>
        <w:t xml:space="preserve">,</w:t>
      </w:r>
      <w:hyperlink w:anchor="ref-noauthor_closer_nodate">
        <w:r>
          <w:rPr>
            <w:rStyle w:val="af"/>
          </w:rPr>
          <w:t xml:space="preserve">22</w:t>
        </w:r>
      </w:hyperlink>
      <w:r>
        <w:t xml:space="preserve">]</w:t>
      </w:r>
      <w:r>
        <w:t xml:space="preserve">, and</w:t>
      </w:r>
      <w:r>
        <w:t xml:space="preserve"> </w:t>
      </w:r>
      <w:r>
        <w:t xml:space="preserve">“TabLLM”</w:t>
      </w:r>
      <w:r>
        <w:t xml:space="preserve">-style approaches serialize rows into prompts to reuse general-purpose reasoning from large language models </w:t>
      </w:r>
      <w:r>
        <w:t xml:space="preserve">[</w:t>
      </w:r>
      <w:hyperlink w:anchor="ref-eremeev_turning_2025">
        <w:r>
          <w:rPr>
            <w:rStyle w:val="af"/>
          </w:rPr>
          <w:t xml:space="preserve">23</w:t>
        </w:r>
      </w:hyperlink>
      <w:r>
        <w:t xml:space="preserve">]</w:t>
      </w:r>
      <w:r>
        <w:t xml:space="preserve">. Parallel efforts investigate federated optimization and continual or on-device learning so that models can absorb new hospital evidence without breaching privacy constraints </w:t>
      </w:r>
      <w:r>
        <w:t xml:space="preserve">[</w:t>
      </w:r>
      <w:hyperlink w:anchor="ref-guan2021domain">
        <w:r>
          <w:rPr>
            <w:rStyle w:val="af"/>
          </w:rPr>
          <w:t xml:space="preserve">24</w:t>
        </w:r>
      </w:hyperlink>
      <w:r>
        <w:t xml:space="preserve">,</w:t>
      </w:r>
      <w:hyperlink w:anchor="ref-musa2025addressing">
        <w:r>
          <w:rPr>
            <w:rStyle w:val="af"/>
          </w:rPr>
          <w:t xml:space="preserve">25</w:t>
        </w:r>
      </w:hyperlink>
      <w:r>
        <w:t xml:space="preserve">]</w:t>
      </w:r>
      <w:r>
        <w:t xml:space="preserve">. Collectively, these developments define a new generation of AI systems for tabular healthcare data.</w:t>
      </w:r>
    </w:p>
    <w:p>
      <w:pPr>
        <w:pStyle w:val="a0"/>
      </w:pPr>
      <w:r>
        <w:t xml:space="preserve">However, cross-hospital transfer remains fragile because three dominant pathologies of medical tabular data co-occur. First, sample scarcity: most pulmonary nodule cohorts contain only a few hundred labeled patients, which limits the stability of purely supervised training and amplifies overfitting </w:t>
      </w:r>
      <w:r>
        <w:t xml:space="preserve">[</w:t>
      </w:r>
      <w:hyperlink w:anchor="ref-borisov2022deep">
        <w:r>
          <w:rPr>
            <w:rStyle w:val="af"/>
          </w:rPr>
          <w:t xml:space="preserve">13</w:t>
        </w:r>
      </w:hyperlink>
      <w:r>
        <w:t xml:space="preserve">]</w:t>
      </w:r>
      <w:r>
        <w:t xml:space="preserve">. Second, distribution shift: label prevalence, scanner kernels, demographics, and clinical workflows alter the marginal</w:t>
      </w:r>
      <w:r>
        <w:t xml:space="preserve"> </w:t>
      </w:r>
      <m:oMath>
        <m:r>
          <m:t>P</m:t>
        </m:r>
        <m:r>
          <m:rPr>
            <m:sty m:val="p"/>
          </m:rPr>
          <m:t>(</m:t>
        </m:r>
        <m:r>
          <m:t>X</m:t>
        </m:r>
        <m:r>
          <m:rPr>
            <m:sty m:val="p"/>
          </m:rPr>
          <m:t>)</m:t>
        </m:r>
      </m:oMath>
      <w:r>
        <w:t xml:space="preserve"> </w:t>
      </w:r>
      <w:r>
        <w:t xml:space="preserve">and even the conditional</w:t>
      </w:r>
      <w:r>
        <w:t xml:space="preserve"> </w:t>
      </w:r>
      <m:oMath>
        <m:r>
          <m:t>P</m:t>
        </m:r>
        <m:r>
          <m:rPr>
            <m:sty m:val="p"/>
          </m:rPr>
          <m:t>(</m:t>
        </m:r>
        <m:r>
          <m:t>Y</m:t>
        </m:r>
        <m:r>
          <m:rPr>
            <m:sty m:val="p"/>
          </m:rPr>
          <m:t>∣</m:t>
        </m:r>
        <m:r>
          <m:t>X</m:t>
        </m:r>
        <m:r>
          <m:rPr>
            <m:sty m:val="p"/>
          </m:rPr>
          <m:t>)</m:t>
        </m:r>
      </m:oMath>
      <w:r>
        <w:t xml:space="preserve"> </w:t>
      </w:r>
      <w:r>
        <w:t xml:space="preserve">between hospitals </w:t>
      </w:r>
      <w:r>
        <w:t xml:space="preserve">[</w:t>
      </w:r>
      <w:hyperlink w:anchor="ref-koch2024distribution">
        <w:r>
          <w:rPr>
            <w:rStyle w:val="af"/>
          </w:rPr>
          <w:t xml:space="preserve">26</w:t>
        </w:r>
      </w:hyperlink>
      <w:r>
        <w:t xml:space="preserve">,</w:t>
      </w:r>
      <w:hyperlink w:anchor="ref-guo_evaluation_2022">
        <w:r>
          <w:rPr>
            <w:rStyle w:val="af"/>
          </w:rPr>
          <w:t xml:space="preserve">27</w:t>
        </w:r>
      </w:hyperlink>
      <w:r>
        <w:t xml:space="preserve">]</w:t>
      </w:r>
      <w:r>
        <w:t xml:space="preserve">. Third, feature heterogeneity: sites log disjoint biomarker panels, adopt different measurement units, and follow distinct coding policies, which invalidates naive feature alignment and introduces missingness shifts </w:t>
      </w:r>
      <w:r>
        <w:t xml:space="preserve">[</w:t>
      </w:r>
      <w:hyperlink w:anchor="ref-orouji_domain_nodate">
        <w:r>
          <w:rPr>
            <w:rStyle w:val="af"/>
          </w:rPr>
          <w:t xml:space="preserve">28</w:t>
        </w:r>
      </w:hyperlink>
      <w:r>
        <w:t xml:space="preserve">]</w:t>
      </w:r>
      <w:r>
        <w:t xml:space="preserve">. Domain adaptation research in imaging and wearables shows that adversarial training, cycle-consistent style transfer, optimal transport, and statistical moment matching can recover some performance under shift </w:t>
      </w:r>
      <w:r>
        <w:t xml:space="preserve">[</w:t>
      </w:r>
      <w:hyperlink w:anchor="ref-guan2021domain">
        <w:r>
          <w:rPr>
            <w:rStyle w:val="af"/>
          </w:rPr>
          <w:t xml:space="preserve">24</w:t>
        </w:r>
      </w:hyperlink>
      <w:r>
        <w:t xml:space="preserve">,</w:t>
      </w:r>
      <w:hyperlink w:anchor="ref-ahn_unsupervised_2023">
        <w:r>
          <w:rPr>
            <w:rStyle w:val="af"/>
          </w:rPr>
          <w:t xml:space="preserve">29</w:t>
        </w:r>
      </w:hyperlink>
      <w:r>
        <w:t xml:space="preserve">]</w:t>
      </w:r>
      <w:r>
        <w:t xml:space="preserve">, but these methods are rarely specialized for structured clinical data. Benchmarks such as TableShift and Wild-Time demonstrate that off-the-shelf robustness mechanisms still incur large out-of-distribution (OOD) gaps even when in-distribution accuracy is high </w:t>
      </w:r>
      <w:r>
        <w:t xml:space="preserve">[</w:t>
      </w:r>
      <w:hyperlink w:anchor="ref-gardner_benchmarking_2024">
        <w:r>
          <w:rPr>
            <w:rStyle w:val="af"/>
          </w:rPr>
          <w:t xml:space="preserve">30</w:t>
        </w:r>
      </w:hyperlink>
      <w:r>
        <w:t xml:space="preserve">,</w:t>
      </w:r>
      <w:hyperlink w:anchor="ref-yao2022wild">
        <w:r>
          <w:rPr>
            <w:rStyle w:val="af"/>
          </w:rPr>
          <w:t xml:space="preserve">31</w:t>
        </w:r>
      </w:hyperlink>
      <w:r>
        <w:t xml:space="preserve">]</w:t>
      </w:r>
      <w:r>
        <w:t xml:space="preserve">. Large-scale regulators and hospital governance boards increasingly regard shift detection, recalibration, and drift monitoring as core AI-safety requirements rather than optional post hoc checks </w:t>
      </w:r>
      <w:r>
        <w:t xml:space="preserve">[</w:t>
      </w:r>
      <w:hyperlink w:anchor="ref-koch2024distribution">
        <w:r>
          <w:rPr>
            <w:rStyle w:val="af"/>
          </w:rPr>
          <w:t xml:space="preserve">26</w:t>
        </w:r>
      </w:hyperlink>
      <w:r>
        <w:t xml:space="preserve">]</w:t>
      </w:r>
      <w:r>
        <w:t xml:space="preserve">.</w:t>
      </w:r>
    </w:p>
    <w:p>
      <w:pPr>
        <w:pStyle w:val="a0"/>
      </w:pPr>
      <w:r>
        <w:t xml:space="preserve">Tabular foundation models partially alleviate data scarcity, yet they inherit a closed-world assumption: the context set used during in-context learning is assumed to reflect the same joint distribution and feature schema as the query samples </w:t>
      </w:r>
      <w:r>
        <w:t xml:space="preserve">[</w:t>
      </w:r>
      <w:hyperlink w:anchor="ref-schneider2024foundation">
        <w:r>
          <w:rPr>
            <w:rStyle w:val="af"/>
          </w:rPr>
          <w:t xml:space="preserve">18</w:t>
        </w:r>
      </w:hyperlink>
      <w:r>
        <w:t xml:space="preserve">]</w:t>
      </w:r>
      <w:r>
        <w:t xml:space="preserve">. When shifts in biomarkers, acquisition settings, or schemata emerge, attention weights may anchor on non-comparable neighbors, yielding overconfident yet incorrect predictions </w:t>
      </w:r>
      <w:r>
        <w:t xml:space="preserve">[</w:t>
      </w:r>
      <w:hyperlink w:anchor="ref-noauthor_realistic_nodate">
        <w:r>
          <w:rPr>
            <w:rStyle w:val="af"/>
          </w:rPr>
          <w:t xml:space="preserve">20</w:t>
        </w:r>
      </w:hyperlink>
      <w:r>
        <w:t xml:space="preserve">,</w:t>
      </w:r>
      <w:hyperlink w:anchor="X60a9a1bcb93ef50ea8b7bc291808839e814cc23">
        <w:r>
          <w:rPr>
            <w:rStyle w:val="af"/>
          </w:rPr>
          <w:t xml:space="preserve">21</w:t>
        </w:r>
      </w:hyperlink>
      <w:r>
        <w:t xml:space="preserve">]</w:t>
      </w:r>
      <w:r>
        <w:t xml:space="preserve">. Emerging variants such as TabPFN-2.5 and drift-resilient TabPFN extend context length and inject synthetic drifts into the prior </w:t>
      </w:r>
      <w:r>
        <w:t xml:space="preserve">[</w:t>
      </w:r>
      <w:hyperlink w:anchor="ref-noauthor_prior_nodate">
        <w:r>
          <w:rPr>
            <w:rStyle w:val="af"/>
          </w:rPr>
          <w:t xml:space="preserve">19</w:t>
        </w:r>
      </w:hyperlink>
      <w:r>
        <w:t xml:space="preserve">,</w:t>
      </w:r>
      <w:hyperlink w:anchor="X60a9a1bcb93ef50ea8b7bc291808839e814cc23">
        <w:r>
          <w:rPr>
            <w:rStyle w:val="af"/>
          </w:rPr>
          <w:t xml:space="preserve">21</w:t>
        </w:r>
      </w:hyperlink>
      <w:r>
        <w:t xml:space="preserve">]</w:t>
      </w:r>
      <w:r>
        <w:t xml:space="preserve">, but they remain sensitive to mismatched feature spaces and unlabeled target domains in the absence of explicit alignment. Tabular LLM approaches add reasoning capacity but incur substantial latency, quantization error for numerical values, and lack built-in clinical calibration, especially when lab panels or race-specific prevalences deviate from training distributions </w:t>
      </w:r>
      <w:r>
        <w:t xml:space="preserve">[</w:t>
      </w:r>
      <w:hyperlink w:anchor="ref-eremeev_turning_2025">
        <w:r>
          <w:rPr>
            <w:rStyle w:val="af"/>
          </w:rPr>
          <w:t xml:space="preserve">23</w:t>
        </w:r>
      </w:hyperlink>
      <w:r>
        <w:t xml:space="preserve">]</w:t>
      </w:r>
      <w:r>
        <w:t xml:space="preserve">. Consequently, bridging the gap between high internal accuracy and safe cross-site deployment requires combining foundation models with principled unsupervised domain adaptation and feature selection that respect clinical realities.</w:t>
      </w:r>
    </w:p>
    <w:p>
      <w:pPr>
        <w:pStyle w:val="a0"/>
      </w:pPr>
      <w:r>
        <w:t xml:space="preserve">Pulmonary nodule malignancy prediction is an archetypal stress test for these issues. Traditional clinical scores and their LASSO or GBDT successors were derived from narrowly defined cohorts with fixed demographic profiles and scanner protocols, so their coefficients silently encode source-specific prevalence, upper-lobe priors, and calcification heuristics </w:t>
      </w:r>
      <w:r>
        <w:t xml:space="preserve">[</w:t>
      </w:r>
      <w:hyperlink w:anchor="ref-swensen1997chest">
        <w:r>
          <w:rPr>
            <w:rStyle w:val="af"/>
          </w:rPr>
          <w:t xml:space="preserve">1</w:t>
        </w:r>
      </w:hyperlink>
      <w:r>
        <w:t xml:space="preserve">–</w:t>
      </w:r>
      <w:hyperlink w:anchor="ref-zhang_comprehensive_2022">
        <w:r>
          <w:rPr>
            <w:rStyle w:val="af"/>
          </w:rPr>
          <w:t xml:space="preserve">5</w:t>
        </w:r>
      </w:hyperlink>
      <w:r>
        <w:t xml:space="preserve">]</w:t>
      </w:r>
      <w:r>
        <w:t xml:space="preserve">. Meta-analyses across Asian screening programs and European cancer centers show that the same score threshold yields widely varying sensitivities (50–90%) once smoking histories, granulomatous disease burdens, or acquisition kernels change </w:t>
      </w:r>
      <w:r>
        <w:t xml:space="preserve">[</w:t>
      </w:r>
      <w:hyperlink w:anchor="ref-liu_establishment_2024">
        <w:r>
          <w:rPr>
            <w:rStyle w:val="af"/>
          </w:rPr>
          <w:t xml:space="preserve">6</w:t>
        </w:r>
      </w:hyperlink>
      <w:r>
        <w:t xml:space="preserve">,</w:t>
      </w:r>
      <w:hyperlink w:anchor="ref-garau_external_2020">
        <w:r>
          <w:rPr>
            <w:rStyle w:val="af"/>
          </w:rPr>
          <w:t xml:space="preserve">7</w:t>
        </w:r>
      </w:hyperlink>
      <w:r>
        <w:t xml:space="preserve">]</w:t>
      </w:r>
      <w:r>
        <w:t xml:space="preserve">. Radiomics signatures tuned on sharp-kernel CTs lose discriminatory power on smooth-kernel images unless aggressively harmonized, and even then residual scanner bias can dominate texture features </w:t>
      </w:r>
      <w:r>
        <w:t xml:space="preserve">[</w:t>
      </w:r>
      <w:hyperlink w:anchor="ref-hellin2024unraveling">
        <w:r>
          <w:rPr>
            <w:rStyle w:val="af"/>
          </w:rPr>
          <w:t xml:space="preserve">16</w:t>
        </w:r>
      </w:hyperlink>
      <w:r>
        <w:t xml:space="preserve">]</w:t>
      </w:r>
      <w:r>
        <w:t xml:space="preserve">. 3D CNNs for end-to-end malignancy prediction exhibit similar behavior, with performance degrading under scanner upgrades or demographic shifts </w:t>
      </w:r>
      <w:r>
        <w:t xml:space="preserve">[</w:t>
      </w:r>
      <w:hyperlink w:anchor="ref-ardila_end--end_2019">
        <w:r>
          <w:rPr>
            <w:rStyle w:val="af"/>
          </w:rPr>
          <w:t xml:space="preserve">14</w:t>
        </w:r>
      </w:hyperlink>
      <w:r>
        <w:t xml:space="preserve">,</w:t>
      </w:r>
      <w:hyperlink w:anchor="ref-zech_variable_2018">
        <w:r>
          <w:rPr>
            <w:rStyle w:val="af"/>
          </w:rPr>
          <w:t xml:space="preserve">15</w:t>
        </w:r>
      </w:hyperlink>
      <w:r>
        <w:t xml:space="preserve">]</w:t>
      </w:r>
      <w:r>
        <w:t xml:space="preserve">. These failures underscore that, without explicit feature pruning and alignment, both classical and modern models can become confidently wrong.</w:t>
      </w:r>
    </w:p>
    <w:p>
      <w:pPr>
        <w:pStyle w:val="a0"/>
      </w:pPr>
      <w:r>
        <w:t xml:space="preserve">Similar tensions arise in population-health settings such as the BRFSS race-shift diabetes task. Demographic composition, socioeconomic exposures, and survey-year wording alter the marginal distribution of risk factors, while diabetes prevalence rises from roughly 12.5% in White respondents to 17.4% in non-White cohorts, causing fixed operating points to misfire </w:t>
      </w:r>
      <w:r>
        <w:t xml:space="preserve">[</w:t>
      </w:r>
      <w:hyperlink w:anchor="ref-gardner_benchmarking_2024">
        <w:r>
          <w:rPr>
            <w:rStyle w:val="af"/>
          </w:rPr>
          <w:t xml:space="preserve">30</w:t>
        </w:r>
      </w:hyperlink>
      <w:r>
        <w:t xml:space="preserve">]</w:t>
      </w:r>
      <w:r>
        <w:t xml:space="preserve">. Benchmarks such as TableShift and Wild-Time make explicit that covariate shift (</w:t>
      </w:r>
      <m:oMath>
        <m:sSub>
          <m:e>
            <m:r>
              <m:t>P</m:t>
            </m:r>
          </m:e>
          <m:sub>
            <m:r>
              <m:t>s</m:t>
            </m:r>
          </m:sub>
        </m:sSub>
        <m:r>
          <m:rPr>
            <m:sty m:val="p"/>
          </m:rPr>
          <m:t>(</m:t>
        </m:r>
        <m:r>
          <m:t>X</m:t>
        </m:r>
        <m:r>
          <m:rPr>
            <m:sty m:val="p"/>
          </m:rPr>
          <m:t>)</m:t>
        </m:r>
        <m:r>
          <m:rPr>
            <m:sty m:val="p"/>
          </m:rPr>
          <m:t>≠</m:t>
        </m:r>
        <m:sSub>
          <m:e>
            <m:r>
              <m:t>P</m:t>
            </m:r>
          </m:e>
          <m:sub>
            <m:r>
              <m:t>t</m:t>
            </m:r>
          </m:sub>
        </m:sSub>
        <m:r>
          <m:rPr>
            <m:sty m:val="p"/>
          </m:rPr>
          <m:t>(</m:t>
        </m:r>
        <m:r>
          <m:t>X</m:t>
        </m:r>
        <m:r>
          <m:rPr>
            <m:sty m:val="p"/>
          </m:rPr>
          <m:t>)</m:t>
        </m:r>
      </m:oMath>
      <w:r>
        <w:t xml:space="preserve">), label shift (</w:t>
      </w:r>
      <m:oMath>
        <m:sSub>
          <m:e>
            <m:r>
              <m:t>P</m:t>
            </m:r>
          </m:e>
          <m:sub>
            <m:r>
              <m:t>s</m:t>
            </m:r>
          </m:sub>
        </m:sSub>
        <m:r>
          <m:rPr>
            <m:sty m:val="p"/>
          </m:rPr>
          <m:t>(</m:t>
        </m:r>
        <m:r>
          <m:t>Y</m:t>
        </m:r>
        <m:r>
          <m:rPr>
            <m:sty m:val="p"/>
          </m:rPr>
          <m:t>)</m:t>
        </m:r>
        <m:r>
          <m:rPr>
            <m:sty m:val="p"/>
          </m:rPr>
          <m:t>≠</m:t>
        </m:r>
        <m:sSub>
          <m:e>
            <m:r>
              <m:t>P</m:t>
            </m:r>
          </m:e>
          <m:sub>
            <m:r>
              <m:t>t</m:t>
            </m:r>
          </m:sub>
        </m:sSub>
        <m:r>
          <m:rPr>
            <m:sty m:val="p"/>
          </m:rPr>
          <m:t>(</m:t>
        </m:r>
        <m:r>
          <m:t>Y</m:t>
        </m:r>
        <m:r>
          <m:rPr>
            <m:sty m:val="p"/>
          </m:rPr>
          <m:t>)</m:t>
        </m:r>
      </m:oMath>
      <w:r>
        <w:t xml:space="preserve">), and concept shift (</w:t>
      </w:r>
      <m:oMath>
        <m:sSub>
          <m:e>
            <m:r>
              <m:t>P</m:t>
            </m:r>
          </m:e>
          <m:sub>
            <m:r>
              <m:t>s</m:t>
            </m:r>
          </m:sub>
        </m:sSub>
        <m:r>
          <m:rPr>
            <m:sty m:val="p"/>
          </m:rPr>
          <m:t>(</m:t>
        </m:r>
        <m:r>
          <m:t>Y</m:t>
        </m:r>
        <m:r>
          <m:rPr>
            <m:sty m:val="p"/>
          </m:rPr>
          <m:t>∣</m:t>
        </m:r>
        <m:r>
          <m:t>X</m:t>
        </m:r>
        <m:r>
          <m:rPr>
            <m:sty m:val="p"/>
          </m:rPr>
          <m:t>)</m:t>
        </m:r>
        <m:r>
          <m:rPr>
            <m:sty m:val="p"/>
          </m:rPr>
          <m:t>≠</m:t>
        </m:r>
        <m:sSub>
          <m:e>
            <m:r>
              <m:t>P</m:t>
            </m:r>
          </m:e>
          <m:sub>
            <m:r>
              <m:t>t</m:t>
            </m:r>
          </m:sub>
        </m:sSub>
        <m:r>
          <m:rPr>
            <m:sty m:val="p"/>
          </m:rPr>
          <m:t>(</m:t>
        </m:r>
        <m:r>
          <m:t>Y</m:t>
        </m:r>
        <m:r>
          <m:rPr>
            <m:sty m:val="p"/>
          </m:rPr>
          <m:t>∣</m:t>
        </m:r>
        <m:r>
          <m:t>X</m:t>
        </m:r>
        <m:r>
          <m:rPr>
            <m:sty m:val="p"/>
          </m:rPr>
          <m:t>)</m:t>
        </m:r>
      </m:oMath>
      <w:r>
        <w:t xml:space="preserve">) often co-occur, and that classical empirical risk minimization (ERM) on the source domain does not control the divergence term that drives target error </w:t>
      </w:r>
      <w:r>
        <w:t xml:space="preserve">[</w:t>
      </w:r>
      <w:hyperlink w:anchor="ref-koch2024distribution">
        <w:r>
          <w:rPr>
            <w:rStyle w:val="af"/>
          </w:rPr>
          <w:t xml:space="preserve">26</w:t>
        </w:r>
      </w:hyperlink>
      <w:r>
        <w:t xml:space="preserve">,</w:t>
      </w:r>
      <w:hyperlink w:anchor="ref-gardner_benchmarking_2024">
        <w:r>
          <w:rPr>
            <w:rStyle w:val="af"/>
          </w:rPr>
          <w:t xml:space="preserve">30</w:t>
        </w:r>
      </w:hyperlink>
      <w:r>
        <w:t xml:space="preserve">,</w:t>
      </w:r>
      <w:hyperlink w:anchor="ref-yao2022wild">
        <w:r>
          <w:rPr>
            <w:rStyle w:val="af"/>
          </w:rPr>
          <w:t xml:space="preserve">31</w:t>
        </w:r>
      </w:hyperlink>
      <w:r>
        <w:t xml:space="preserve">]</w:t>
      </w:r>
      <w:r>
        <w:t xml:space="preserve">. In practice, these shifts invalidate the implicit closed-world assumptions behind most off-the-shelf models.</w:t>
      </w:r>
    </w:p>
    <w:p>
      <w:pPr>
        <w:pStyle w:val="a0"/>
      </w:pPr>
      <w:r>
        <w:t xml:space="preserve">Feature engineering and feature selection choices are therefore as important as model class. Clinical tables mix continuous laboratory values, ordinal scores, sparse categorical codes, and structured missingness; naive one-hot encoding can expand dimensionality and encode site-specific artifacts. Stability-driven feature pruning, hierarchical encoding of categorical variables, and unit-aware normalization reduce spurious site signatures and focus attention on shared, clinically interpretable signals </w:t>
      </w:r>
      <w:r>
        <w:t xml:space="preserve">[</w:t>
      </w:r>
      <w:hyperlink w:anchor="ref-sun2019informative">
        <w:r>
          <w:rPr>
            <w:rStyle w:val="af"/>
          </w:rPr>
          <w:t xml:space="preserve">32</w:t>
        </w:r>
      </w:hyperlink>
      <w:r>
        <w:t xml:space="preserve">]</w:t>
      </w:r>
      <w:r>
        <w:t xml:space="preserve">. Recursive feature elimination (RFE) across domains further enforces schema overlap, trading a slight drop in ceiling accuracy for substantial gains in portability when hospitals differ, and it is particularly helpful in small-sample, high-dimensional, and imbalanced regimes such as pulmonary nodules and radiomics panels </w:t>
      </w:r>
      <w:r>
        <w:t xml:space="preserve">[</w:t>
      </w:r>
      <w:hyperlink w:anchor="ref-borisov2022deep">
        <w:r>
          <w:rPr>
            <w:rStyle w:val="af"/>
          </w:rPr>
          <w:t xml:space="preserve">13</w:t>
        </w:r>
      </w:hyperlink>
      <w:r>
        <w:t xml:space="preserve">,</w:t>
      </w:r>
      <w:hyperlink w:anchor="ref-sun2019informative">
        <w:r>
          <w:rPr>
            <w:rStyle w:val="af"/>
          </w:rPr>
          <w:t xml:space="preserve">32</w:t>
        </w:r>
      </w:hyperlink>
      <w:r>
        <w:t xml:space="preserve">]</w:t>
      </w:r>
      <w:r>
        <w:t xml:space="preserve">.</w:t>
      </w:r>
    </w:p>
    <w:p>
      <w:pPr>
        <w:pStyle w:val="a0"/>
      </w:pPr>
      <w:r>
        <w:t xml:space="preserve">Taken together, the research gap is stark. Tree ensembles and deep tabular networks struggle with small, heterogeneous cohorts and typically require retraining when schemas change </w:t>
      </w:r>
      <w:r>
        <w:t xml:space="preserve">[</w:t>
      </w:r>
      <w:hyperlink w:anchor="ref-chen2016xgboost">
        <w:r>
          <w:rPr>
            <w:rStyle w:val="af"/>
          </w:rPr>
          <w:t xml:space="preserve">8</w:t>
        </w:r>
      </w:hyperlink>
      <w:r>
        <w:t xml:space="preserve">,</w:t>
      </w:r>
      <w:hyperlink w:anchor="ref-gorishniy2021revisiting">
        <w:r>
          <w:rPr>
            <w:rStyle w:val="af"/>
          </w:rPr>
          <w:t xml:space="preserve">9</w:t>
        </w:r>
      </w:hyperlink>
      <w:r>
        <w:t xml:space="preserve">,</w:t>
      </w:r>
      <w:hyperlink w:anchor="ref-borisov2022deep">
        <w:r>
          <w:rPr>
            <w:rStyle w:val="af"/>
          </w:rPr>
          <w:t xml:space="preserve">13</w:t>
        </w:r>
      </w:hyperlink>
      <w:r>
        <w:t xml:space="preserve">]</w:t>
      </w:r>
      <w:r>
        <w:t xml:space="preserve">. Foundation models improve small-sample performance but assume matched domains and aligned schemas </w:t>
      </w:r>
      <w:r>
        <w:t xml:space="preserve">[</w:t>
      </w:r>
      <w:hyperlink w:anchor="ref-hollmann2025accurate">
        <w:r>
          <w:rPr>
            <w:rStyle w:val="af"/>
          </w:rPr>
          <w:t xml:space="preserve">17</w:t>
        </w:r>
      </w:hyperlink>
      <w:r>
        <w:t xml:space="preserve">,</w:t>
      </w:r>
      <w:hyperlink w:anchor="ref-schneider2024foundation">
        <w:r>
          <w:rPr>
            <w:rStyle w:val="af"/>
          </w:rPr>
          <w:t xml:space="preserve">18</w:t>
        </w:r>
      </w:hyperlink>
      <w:r>
        <w:t xml:space="preserve">,</w:t>
      </w:r>
      <w:hyperlink w:anchor="ref-noauthor_realistic_nodate">
        <w:r>
          <w:rPr>
            <w:rStyle w:val="af"/>
          </w:rPr>
          <w:t xml:space="preserve">20</w:t>
        </w:r>
      </w:hyperlink>
      <w:r>
        <w:t xml:space="preserve">]</w:t>
      </w:r>
      <w:r>
        <w:t xml:space="preserve">. Generic domain adaptation methods rarely account for missing features, label drift, or unlabeled targets in clinical tables </w:t>
      </w:r>
      <w:r>
        <w:t xml:space="preserve">[</w:t>
      </w:r>
      <w:hyperlink w:anchor="ref-guan2021domain">
        <w:r>
          <w:rPr>
            <w:rStyle w:val="af"/>
          </w:rPr>
          <w:t xml:space="preserve">24</w:t>
        </w:r>
      </w:hyperlink>
      <w:r>
        <w:t xml:space="preserve">,</w:t>
      </w:r>
      <w:hyperlink w:anchor="ref-koch2024distribution">
        <w:r>
          <w:rPr>
            <w:rStyle w:val="af"/>
          </w:rPr>
          <w:t xml:space="preserve">26</w:t>
        </w:r>
      </w:hyperlink>
      <w:r>
        <w:t xml:space="preserve">,</w:t>
      </w:r>
      <w:hyperlink w:anchor="ref-ahn_unsupervised_2023">
        <w:r>
          <w:rPr>
            <w:rStyle w:val="af"/>
          </w:rPr>
          <w:t xml:space="preserve">29</w:t>
        </w:r>
      </w:hyperlink>
      <w:r>
        <w:t xml:space="preserve">,</w:t>
      </w:r>
      <w:hyperlink w:anchor="ref-gardner_benchmarking_2024">
        <w:r>
          <w:rPr>
            <w:rStyle w:val="af"/>
          </w:rPr>
          <w:t xml:space="preserve">30</w:t>
        </w:r>
      </w:hyperlink>
      <w:r>
        <w:t xml:space="preserve">]</w:t>
      </w:r>
      <w:r>
        <w:t xml:space="preserve">. Federated and continual learning strategies help with privacy and incremental updates but do not by themselves guarantee cross-hospital calibration </w:t>
      </w:r>
      <w:r>
        <w:t xml:space="preserve">[</w:t>
      </w:r>
      <w:hyperlink w:anchor="ref-guan2021domain">
        <w:r>
          <w:rPr>
            <w:rStyle w:val="af"/>
          </w:rPr>
          <w:t xml:space="preserve">24</w:t>
        </w:r>
      </w:hyperlink>
      <w:r>
        <w:t xml:space="preserve">,</w:t>
      </w:r>
      <w:hyperlink w:anchor="ref-musa2025addressing">
        <w:r>
          <w:rPr>
            <w:rStyle w:val="af"/>
          </w:rPr>
          <w:t xml:space="preserve">25</w:t>
        </w:r>
      </w:hyperlink>
      <w:r>
        <w:t xml:space="preserve">]</w:t>
      </w:r>
      <w:r>
        <w:t xml:space="preserve">. A credible solution must (i) retain sample efficiency via strong pre-trained priors, (ii) discard site-specific signals that cannot transfer, and (iii) align source and target representations without target labels, while exposing calibration behavior under prevalence drift.</w:t>
      </w:r>
    </w:p>
    <w:p>
      <w:pPr>
        <w:pStyle w:val="a0"/>
      </w:pPr>
      <w:r>
        <w:t xml:space="preserve">This study therefore adopts a pragmatic stance and introduces</w:t>
      </w:r>
      <w:r>
        <w:t xml:space="preserve"> </w:t>
      </w:r>
      <w:r>
        <w:rPr>
          <w:i/>
          <w:iCs/>
        </w:rPr>
        <w:t xml:space="preserve">PANDA</w:t>
      </w:r>
      <w:r>
        <w:t xml:space="preserve"> </w:t>
      </w:r>
      <w:r>
        <w:t xml:space="preserve">(Pretrained Adaptation Network with Domain Alignment), a framework designed to transform diagnostic prediction through advanced ML and data analytics in realistic cross-hospital settings. PANDA chains three complementary components. First, a pre-trained tabular foundation model (TabPFN) supplies strong inductive priors for small cohorts by meta-learning across millions of synthetic tasks and enabling hyperparameter-free inference </w:t>
      </w:r>
      <w:r>
        <w:t xml:space="preserve">[</w:t>
      </w:r>
      <w:hyperlink w:anchor="ref-hollmann2025accurate">
        <w:r>
          <w:rPr>
            <w:rStyle w:val="af"/>
          </w:rPr>
          <w:t xml:space="preserve">17</w:t>
        </w:r>
      </w:hyperlink>
      <w:r>
        <w:t xml:space="preserve">,</w:t>
      </w:r>
      <w:hyperlink w:anchor="ref-schneider2024foundation">
        <w:r>
          <w:rPr>
            <w:rStyle w:val="af"/>
          </w:rPr>
          <w:t xml:space="preserve">18</w:t>
        </w:r>
      </w:hyperlink>
      <w:r>
        <w:t xml:space="preserve">]</w:t>
      </w:r>
      <w:r>
        <w:t xml:space="preserve">. Second, cross-domain RFE prunes to biomarkers that are consistently available and stable across sites, mitigating schema mismatch and hospital-specific artifacts </w:t>
      </w:r>
      <w:r>
        <w:t xml:space="preserve">[</w:t>
      </w:r>
      <w:hyperlink w:anchor="ref-sun2019informative">
        <w:r>
          <w:rPr>
            <w:rStyle w:val="af"/>
          </w:rPr>
          <w:t xml:space="preserve">32</w:t>
        </w:r>
      </w:hyperlink>
      <w:r>
        <w:t xml:space="preserve">]</w:t>
      </w:r>
      <w:r>
        <w:t xml:space="preserve">. Third, a statistical alignment module based on Transfer Component Analysis (TCA) projects source and target cohorts into a shared reproducing-kernel subspace using unlabeled target data, minimizing distributional divergence while preserving clinical variance </w:t>
      </w:r>
      <w:r>
        <w:t xml:space="preserve">[</w:t>
      </w:r>
      <w:hyperlink w:anchor="ref-pan2010domain">
        <w:r>
          <w:rPr>
            <w:rStyle w:val="af"/>
          </w:rPr>
          <w:t xml:space="preserve">33</w:t>
        </w:r>
      </w:hyperlink>
      <w:r>
        <w:t xml:space="preserve">]</w:t>
      </w:r>
      <w:r>
        <w:t xml:space="preserve">. PANDA targets the explicit goal of cross-hospital pulmonary nodule prediction with screening-level sensitivity and is further validated on the TableShift BRFSS Diabetes race-shift benchmark </w:t>
      </w:r>
      <w:r>
        <w:t xml:space="preserve">[</w:t>
      </w:r>
      <w:hyperlink w:anchor="ref-gardner_benchmarking_2024">
        <w:r>
          <w:rPr>
            <w:rStyle w:val="af"/>
          </w:rPr>
          <w:t xml:space="preserve">30</w:t>
        </w:r>
      </w:hyperlink>
      <w:r>
        <w:t xml:space="preserve">]</w:t>
      </w:r>
      <w:r>
        <w:t xml:space="preserve">, ensuring that the proposed approach addresses both clinical and population-level distribution shifts without adding bespoke modeling components for each dataset.</w:t>
      </w:r>
    </w:p>
    <w:p>
      <w:pPr>
        <w:pStyle w:val="a0"/>
      </w:pPr>
      <w:r>
        <w:t xml:space="preserve">In summary, cross-hospital pulmonary nodule prediction and BRFSS race-shift diabetes prediction expose the same deployment realities: privacy constraints, schema mismatch, prevalence drift, and the need for sensitivity at clinically actionable thresholds </w:t>
      </w:r>
      <w:r>
        <w:t xml:space="preserve">[</w:t>
      </w:r>
      <w:hyperlink w:anchor="ref-koch2024distribution">
        <w:r>
          <w:rPr>
            <w:rStyle w:val="af"/>
          </w:rPr>
          <w:t xml:space="preserve">26</w:t>
        </w:r>
      </w:hyperlink>
      <w:r>
        <w:t xml:space="preserve">,</w:t>
      </w:r>
      <w:hyperlink w:anchor="ref-gardner_benchmarking_2024">
        <w:r>
          <w:rPr>
            <w:rStyle w:val="af"/>
          </w:rPr>
          <w:t xml:space="preserve">30</w:t>
        </w:r>
      </w:hyperlink>
      <w:r>
        <w:t xml:space="preserve">]</w:t>
      </w:r>
      <w:r>
        <w:t xml:space="preserve">. Existing AI toolkits—tree ensembles, deep tabular networks, tabular foundation models, tabular LLMs, and generic domain adaptation—each leave gaps relative to these constraints </w:t>
      </w:r>
      <w:r>
        <w:t xml:space="preserve">[</w:t>
      </w:r>
      <w:hyperlink w:anchor="ref-chen2016xgboost">
        <w:r>
          <w:rPr>
            <w:rStyle w:val="af"/>
          </w:rPr>
          <w:t xml:space="preserve">8</w:t>
        </w:r>
      </w:hyperlink>
      <w:r>
        <w:t xml:space="preserve">,</w:t>
      </w:r>
      <w:hyperlink w:anchor="ref-arik2021tabnet">
        <w:r>
          <w:rPr>
            <w:rStyle w:val="af"/>
          </w:rPr>
          <w:t xml:space="preserve">10</w:t>
        </w:r>
      </w:hyperlink>
      <w:r>
        <w:t xml:space="preserve">–</w:t>
      </w:r>
      <w:hyperlink w:anchor="ref-borisov2022deep">
        <w:r>
          <w:rPr>
            <w:rStyle w:val="af"/>
          </w:rPr>
          <w:t xml:space="preserve">13</w:t>
        </w:r>
      </w:hyperlink>
      <w:r>
        <w:t xml:space="preserve">,</w:t>
      </w:r>
      <w:hyperlink w:anchor="ref-schneider2024foundation">
        <w:r>
          <w:rPr>
            <w:rStyle w:val="af"/>
          </w:rPr>
          <w:t xml:space="preserve">18</w:t>
        </w:r>
      </w:hyperlink>
      <w:r>
        <w:t xml:space="preserve">,</w:t>
      </w:r>
      <w:hyperlink w:anchor="ref-guan2021domain">
        <w:r>
          <w:rPr>
            <w:rStyle w:val="af"/>
          </w:rPr>
          <w:t xml:space="preserve">24</w:t>
        </w:r>
      </w:hyperlink>
      <w:r>
        <w:t xml:space="preserve">,</w:t>
      </w:r>
      <w:hyperlink w:anchor="ref-ahn_unsupervised_2023">
        <w:r>
          <w:rPr>
            <w:rStyle w:val="af"/>
          </w:rPr>
          <w:t xml:space="preserve">29</w:t>
        </w:r>
      </w:hyperlink>
      <w:r>
        <w:t xml:space="preserve">]</w:t>
      </w:r>
      <w:r>
        <w:t xml:space="preserve">. By integrating pre-trained tabular priors, schema-aware feature selection, and unsupervised domain alignment into a single pipeline, PANDA aims to restore calibration and discrimination under realistic deployment shifts. The remainder of this manuscript formalizes the cross-domain problem, surveys related work in tabular learning and medical domain adaptation, and presents PANDA as a practical instantiation of this design philosophy.</w:t>
      </w:r>
    </w:p>
    <w:p>
      <w:pPr>
        <w:pStyle w:val="a0"/>
      </w:pPr>
      <w:bookmarkStart w:id="9" w:name="sec:intro-end"/>
      <w:bookmarkEnd w:id="9"/>
    </w:p>
    <w:bookmarkEnd w:id="10"/>
    <w:bookmarkStart w:id="38" w:name="sec:rw-start"/>
    <w:p>
      <w:pPr>
        <w:pStyle w:val="1"/>
      </w:pPr>
      <w:r>
        <w:t xml:space="preserve">Related Work</w:t>
      </w:r>
    </w:p>
    <w:p>
      <w:pPr>
        <w:pStyle w:val="FirstParagraph"/>
      </w:pPr>
      <w:bookmarkStart w:id="11" w:name="sec:related-work"/>
      <w:bookmarkEnd w:id="11"/>
    </w:p>
    <w:p>
      <w:pPr>
        <w:pStyle w:val="a0"/>
      </w:pPr>
      <w:r>
        <w:t xml:space="preserve">In this section, we review prior work from an AI perspective on cross-hospital diagnostic risk prediction using structured medical data. We organize the literature along five dimensions. First, we summarize model families for medical tabular data, including tree ensembles, deep tabular architectures, and tabular foundation models. Second, we discuss domain shift and domain adaptation methods in medical AI. Third, we review feature selection techniques for small, imbalanced, and heterogeneous cohorts. Fourth, we situate AI-based approaches for pulmonary nodule malignancy prediction within this broader landscape. Finally, we examine public benchmarks that expose cross-domain and temporal shifts in tabular data. This structure parallels the design of our proposed framework, PANDA, which integrates tabular foundation models, domain-aware feature selection, and kernel-based alignment to address the limitations identified in prior work.</w:t>
      </w:r>
    </w:p>
    <w:bookmarkStart w:id="16" w:name="X94d90ebdbcb13758fda152fd1a32ad65a44b118"/>
    <w:p>
      <w:pPr>
        <w:pStyle w:val="2"/>
      </w:pPr>
      <w:r>
        <w:t xml:space="preserve">Tabular learning for medical data: tree ensembles, deep tabular networks, and tabular foundation models</w:t>
      </w:r>
    </w:p>
    <w:p>
      <w:pPr>
        <w:pStyle w:val="FirstParagraph"/>
      </w:pPr>
      <w:r>
        <w:t xml:space="preserve">The literature on structured-data learning has progressed from classical ensembles</w:t>
      </w:r>
      <w:r>
        <w:t xml:space="preserve"> </w:t>
      </w:r>
      <w:r>
        <w:t xml:space="preserve">to deep tabular networks and, most recently, to tabular foundation models that</w:t>
      </w:r>
      <w:r>
        <w:t xml:space="preserve"> </w:t>
      </w:r>
      <w:r>
        <w:t xml:space="preserve">mirror the trends in NLP and computer vision </w:t>
      </w:r>
      <w:r>
        <w:t xml:space="preserve">[</w:t>
      </w:r>
      <w:hyperlink w:anchor="ref-schneider2024foundation">
        <w:r>
          <w:rPr>
            <w:rStyle w:val="af"/>
          </w:rPr>
          <w:t xml:space="preserve">18</w:t>
        </w:r>
      </w:hyperlink>
      <w:r>
        <w:t xml:space="preserve">,</w:t>
      </w:r>
      <w:hyperlink w:anchor="ref-bommasani2022opportunities">
        <w:r>
          <w:rPr>
            <w:rStyle w:val="af"/>
          </w:rPr>
          <w:t xml:space="preserve">34</w:t>
        </w:r>
      </w:hyperlink>
      <w:r>
        <w:t xml:space="preserve">]</w:t>
      </w:r>
      <w:r>
        <w:t xml:space="preserve">. We separate the discussion into tree ensembles, deep</w:t>
      </w:r>
      <w:r>
        <w:t xml:space="preserve"> </w:t>
      </w:r>
      <w:r>
        <w:t xml:space="preserve">tabular architectures, and tabular foundation models to highlight where each excels</w:t>
      </w:r>
      <w:r>
        <w:t xml:space="preserve"> </w:t>
      </w:r>
      <w:r>
        <w:t xml:space="preserve">and why none alone solves cross-hospital robustness. In medical settings, the same</w:t>
      </w:r>
      <w:r>
        <w:t xml:space="preserve"> </w:t>
      </w:r>
      <w:r>
        <w:t xml:space="preserve">patient cohort may be modeled by tree ensembles, deep tabular networks, or</w:t>
      </w:r>
      <w:r>
        <w:t xml:space="preserve"> </w:t>
      </w:r>
      <w:r>
        <w:t xml:space="preserve">foundation models depending on sample size and operational constraints; understanding</w:t>
      </w:r>
      <w:r>
        <w:t xml:space="preserve"> </w:t>
      </w:r>
      <w:r>
        <w:t xml:space="preserve">their respective failure modes under domain shift is crucial for positioning PANDA.</w:t>
      </w:r>
    </w:p>
    <w:bookmarkStart w:id="12" w:name="tree-ensembles-for-clinical-tabular-data"/>
    <w:p>
      <w:pPr>
        <w:pStyle w:val="3"/>
      </w:pPr>
      <w:r>
        <w:t xml:space="preserve">Tree ensembles for clinical tabular data</w:t>
      </w:r>
    </w:p>
    <w:p>
      <w:pPr>
        <w:pStyle w:val="FirstParagraph"/>
      </w:pPr>
      <w:r>
        <w:t xml:space="preserve">Gradient-boosted decision trees (GBDTs) such as XGBoost, LightGBM, and CatBoost</w:t>
      </w:r>
      <w:r>
        <w:t xml:space="preserve"> </w:t>
      </w:r>
      <w:r>
        <w:t xml:space="preserve">remain the workhorses for EHR-style tables because they tolerate heterogeneous</w:t>
      </w:r>
      <w:r>
        <w:t xml:space="preserve"> </w:t>
      </w:r>
      <w:r>
        <w:t xml:space="preserve">scales, missing values, and noisy categorical codes while supporting monotone</w:t>
      </w:r>
      <w:r>
        <w:t xml:space="preserve"> </w:t>
      </w:r>
      <w:r>
        <w:t xml:space="preserve">constraints and other clinical priors </w:t>
      </w:r>
      <w:r>
        <w:t xml:space="preserve">[</w:t>
      </w:r>
      <w:hyperlink w:anchor="ref-chen2016xgboost">
        <w:r>
          <w:rPr>
            <w:rStyle w:val="af"/>
          </w:rPr>
          <w:t xml:space="preserve">8</w:t>
        </w:r>
      </w:hyperlink>
      <w:r>
        <w:t xml:space="preserve">,</w:t>
      </w:r>
      <w:hyperlink w:anchor="ref-borisov2022deep">
        <w:r>
          <w:rPr>
            <w:rStyle w:val="af"/>
          </w:rPr>
          <w:t xml:space="preserve">13</w:t>
        </w:r>
      </w:hyperlink>
      <w:r>
        <w:t xml:space="preserve">,</w:t>
      </w:r>
      <w:hyperlink w:anchor="ref-grinsztajn_why_2022">
        <w:r>
          <w:rPr>
            <w:rStyle w:val="af"/>
          </w:rPr>
          <w:t xml:space="preserve">35</w:t>
        </w:r>
      </w:hyperlink>
      <w:r>
        <w:t xml:space="preserve">]</w:t>
      </w:r>
      <w:r>
        <w:t xml:space="preserve">. Benchmarking studies covering hundreds of OpenML tasks show that</w:t>
      </w:r>
      <w:r>
        <w:t xml:space="preserve"> </w:t>
      </w:r>
      <w:r>
        <w:t xml:space="preserve">GBDTs still beat most neural baselines whenever training samples exceed a few</w:t>
      </w:r>
      <w:r>
        <w:t xml:space="preserve"> </w:t>
      </w:r>
      <w:r>
        <w:t xml:space="preserve">thousand, yet they overfit rapidly when</w:t>
      </w:r>
      <w:r>
        <w:t xml:space="preserve"> </w:t>
      </w:r>
      <m:oMath>
        <m:r>
          <m:t>N</m:t>
        </m:r>
        <m:r>
          <m:rPr>
            <m:sty m:val="p"/>
          </m:rPr>
          <m:t>&lt;</m:t>
        </m:r>
        <m:r>
          <m:t>1</m:t>
        </m:r>
        <m:r>
          <m:rPr>
            <m:sty m:val="p"/>
          </m:rPr>
          <m:t>,</m:t>
        </m:r>
        <m:r>
          <m:t>000</m:t>
        </m:r>
      </m:oMath>
      <w:r>
        <w:t xml:space="preserve">, cannot be fine-tuned</w:t>
      </w:r>
      <w:r>
        <w:t xml:space="preserve"> </w:t>
      </w:r>
      <w:r>
        <w:t xml:space="preserve">incrementally, and require full retraining when hospitals change their feature</w:t>
      </w:r>
      <w:r>
        <w:t xml:space="preserve"> </w:t>
      </w:r>
      <w:r>
        <w:t xml:space="preserve">schemas </w:t>
      </w:r>
      <w:r>
        <w:t xml:space="preserve">[</w:t>
      </w:r>
      <w:hyperlink w:anchor="ref-gorishniy2021revisiting">
        <w:r>
          <w:rPr>
            <w:rStyle w:val="af"/>
          </w:rPr>
          <w:t xml:space="preserve">9</w:t>
        </w:r>
      </w:hyperlink>
      <w:r>
        <w:t xml:space="preserve">,</w:t>
      </w:r>
      <w:hyperlink w:anchor="ref-shmuel_comprehensive_2024">
        <w:r>
          <w:rPr>
            <w:rStyle w:val="af"/>
          </w:rPr>
          <w:t xml:space="preserve">36</w:t>
        </w:r>
      </w:hyperlink>
      <w:r>
        <w:t xml:space="preserve">,</w:t>
      </w:r>
      <w:hyperlink w:anchor="ref-fan_tabular_2024">
        <w:r>
          <w:rPr>
            <w:rStyle w:val="af"/>
          </w:rPr>
          <w:t xml:space="preserve">37</w:t>
        </w:r>
      </w:hyperlink>
      <w:r>
        <w:t xml:space="preserve">]</w:t>
      </w:r>
      <w:r>
        <w:t xml:space="preserve">.</w:t>
      </w:r>
      <w:r>
        <w:t xml:space="preserve"> </w:t>
      </w:r>
      <w:r>
        <w:t xml:space="preserve">Case reports on cross-institutional readmission and mortality prediction show that</w:t>
      </w:r>
      <w:r>
        <w:t xml:space="preserve"> </w:t>
      </w:r>
      <w:r>
        <w:t xml:space="preserve">tree models memorize acquisition artifacts (assay vendors, coding practices) and</w:t>
      </w:r>
      <w:r>
        <w:t xml:space="preserve"> </w:t>
      </w:r>
      <w:r>
        <w:t xml:space="preserve">lose 10–20 AUC points when transferred without recalibration, illustrating their</w:t>
      </w:r>
      <w:r>
        <w:t xml:space="preserve"> </w:t>
      </w:r>
      <w:r>
        <w:t xml:space="preserve">non-differentiable structure blocks end-to-end multimodal training and plug-and-play</w:t>
      </w:r>
      <w:r>
        <w:t xml:space="preserve"> </w:t>
      </w:r>
      <w:r>
        <w:t xml:space="preserve">domain adaptation </w:t>
      </w:r>
      <w:r>
        <w:t xml:space="preserve">[</w:t>
      </w:r>
      <w:hyperlink w:anchor="ref-borisov_deep_2024">
        <w:r>
          <w:rPr>
            <w:rStyle w:val="af"/>
          </w:rPr>
          <w:t xml:space="preserve">38</w:t>
        </w:r>
      </w:hyperlink>
      <w:r>
        <w:t xml:space="preserve">,</w:t>
      </w:r>
      <w:hyperlink w:anchor="ref-liu_tabpfn_2025">
        <w:r>
          <w:rPr>
            <w:rStyle w:val="af"/>
          </w:rPr>
          <w:t xml:space="preserve">39</w:t>
        </w:r>
      </w:hyperlink>
      <w:r>
        <w:t xml:space="preserve">]</w:t>
      </w:r>
      <w:r>
        <w:t xml:space="preserve">. This rigidity motivates</w:t>
      </w:r>
      <w:r>
        <w:t xml:space="preserve"> </w:t>
      </w:r>
      <w:r>
        <w:t xml:space="preserve">attempts to distill tree priors into differentiable encoders so that adaptation can</w:t>
      </w:r>
      <w:r>
        <w:t xml:space="preserve"> </w:t>
      </w:r>
      <w:r>
        <w:t xml:space="preserve">occur without rebuilding the model for each site.</w:t>
      </w:r>
      <w:r>
        <w:t xml:space="preserve"> </w:t>
      </w:r>
      <w:r>
        <w:t xml:space="preserve">These same inductive biases explain why trees dominate mid-scale public benchmarks</w:t>
      </w:r>
      <w:r>
        <w:t xml:space="preserve"> </w:t>
      </w:r>
      <w:r>
        <w:t xml:space="preserve">yet struggle in small, imbalanced medical cohorts: sparsity-aware splits handle</w:t>
      </w:r>
      <w:r>
        <w:t xml:space="preserve"> </w:t>
      </w:r>
      <w:r>
        <w:t xml:space="preserve">missing labs gracefully, but boosting magnifies noise when positive classes are rare</w:t>
      </w:r>
      <w:r>
        <w:t xml:space="preserve"> </w:t>
      </w:r>
      <w:r>
        <w:t xml:space="preserve">and hospital-specific priors leak into leaf structure. Because gradients stop at</w:t>
      </w:r>
      <w:r>
        <w:t xml:space="preserve"> </w:t>
      </w:r>
      <w:r>
        <w:t xml:space="preserve">each split, trees cannot share representations with image encoders or participate</w:t>
      </w:r>
      <w:r>
        <w:t xml:space="preserve"> </w:t>
      </w:r>
      <w:r>
        <w:t xml:space="preserve">in gradient-based domain adaptation, forcing manual feature harmonization whenever</w:t>
      </w:r>
      <w:r>
        <w:t xml:space="preserve"> </w:t>
      </w:r>
      <w:r>
        <w:t xml:space="preserve">schemas or prevalence shift.</w:t>
      </w:r>
      <w:r>
        <w:t xml:space="preserve"> </w:t>
      </w:r>
      <w:r>
        <w:t xml:space="preserve">In practice, this means that widely used implementations such as XGBoost and</w:t>
      </w:r>
      <w:r>
        <w:t xml:space="preserve"> </w:t>
      </w:r>
      <w:r>
        <w:t xml:space="preserve">LightGBM shine on medium-to-large EHR cohorts with thousands of patients and</w:t>
      </w:r>
      <w:r>
        <w:t xml:space="preserve"> </w:t>
      </w:r>
      <w:r>
        <w:t xml:space="preserve">hundreds of features, where sparse histogram-based splits and built-in handling of</w:t>
      </w:r>
      <w:r>
        <w:t xml:space="preserve"> </w:t>
      </w:r>
      <w:r>
        <w:t xml:space="preserve">missing indicators yield strong baselines with modest tuning. Studies across</w:t>
      </w:r>
      <w:r>
        <w:t xml:space="preserve"> </w:t>
      </w:r>
      <w:r>
        <w:t xml:space="preserve">OpenML, MIMIC-style EHR benchmarks, and TableShift-like suites repeatedly show</w:t>
      </w:r>
      <w:r>
        <w:t xml:space="preserve"> </w:t>
      </w:r>
      <w:r>
        <w:t xml:space="preserve">that properly regularized XGBoost variants achieve AUROCs in the high 0.70s to</w:t>
      </w:r>
      <w:r>
        <w:t xml:space="preserve"> </w:t>
      </w:r>
      <w:r>
        <w:t xml:space="preserve">low 0.80s for mortality, readmission, and sepsis detection, and that they retain</w:t>
      </w:r>
      <w:r>
        <w:t xml:space="preserve"> </w:t>
      </w:r>
      <w:r>
        <w:t xml:space="preserve">their ranking power even when categorical encodings or measurement scales differ</w:t>
      </w:r>
      <w:r>
        <w:t xml:space="preserve"> </w:t>
      </w:r>
      <w:r>
        <w:t xml:space="preserve">across hospitals </w:t>
      </w:r>
      <w:r>
        <w:t xml:space="preserve">[</w:t>
      </w:r>
      <w:hyperlink w:anchor="ref-gorishniy2021revisiting">
        <w:r>
          <w:rPr>
            <w:rStyle w:val="af"/>
          </w:rPr>
          <w:t xml:space="preserve">9</w:t>
        </w:r>
      </w:hyperlink>
      <w:r>
        <w:t xml:space="preserve">,</w:t>
      </w:r>
      <w:hyperlink w:anchor="ref-gardner_benchmarking_2024">
        <w:r>
          <w:rPr>
            <w:rStyle w:val="af"/>
          </w:rPr>
          <w:t xml:space="preserve">30</w:t>
        </w:r>
      </w:hyperlink>
      <w:r>
        <w:t xml:space="preserve">,</w:t>
      </w:r>
      <w:hyperlink w:anchor="ref-fan_tabular_2024">
        <w:r>
          <w:rPr>
            <w:rStyle w:val="af"/>
          </w:rPr>
          <w:t xml:space="preserve">37</w:t>
        </w:r>
      </w:hyperlink>
      <w:r>
        <w:t xml:space="preserve">]</w:t>
      </w:r>
      <w:r>
        <w:t xml:space="preserve">.</w:t>
      </w:r>
      <w:r>
        <w:t xml:space="preserve"> </w:t>
      </w:r>
      <w:r>
        <w:t xml:space="preserve">These observations explain why tree ensembles remain the default choice for</w:t>
      </w:r>
      <w:r>
        <w:t xml:space="preserve"> </w:t>
      </w:r>
      <w:r>
        <w:t xml:space="preserve">operational clinical decision support systems.</w:t>
      </w:r>
    </w:p>
    <w:p>
      <w:pPr>
        <w:pStyle w:val="a0"/>
      </w:pPr>
      <w:r>
        <w:t xml:space="preserve">On the small, heavily imbalanced cohorts typical of lung-screening registries</w:t>
      </w:r>
      <w:r>
        <w:t xml:space="preserve"> </w:t>
      </w:r>
      <w:r>
        <w:t xml:space="preserve">(</w:t>
      </w:r>
      <m:oMath>
        <m:r>
          <m:t>N</m:t>
        </m:r>
        <m:r>
          <m:rPr>
            <m:sty m:val="p"/>
          </m:rPr>
          <m:t>≈</m:t>
        </m:r>
        <m:r>
          <m:t>300</m:t>
        </m:r>
      </m:oMath>
      <w:r>
        <w:t xml:space="preserve">), the same capacity becomes a liability. Empirical analyses of</w:t>
      </w:r>
      <w:r>
        <w:t xml:space="preserve"> </w:t>
      </w:r>
      <w:r>
        <w:t xml:space="preserve">GBDT behavior on few-shot medical datasets reveal several critical failure modes:</w:t>
      </w:r>
      <w:r>
        <w:t xml:space="preserve"> </w:t>
      </w:r>
      <w:r>
        <w:t xml:space="preserve">first, deep trees can memorize the few malignant cases (often</w:t>
      </w:r>
      <w:r>
        <w:t xml:space="preserve"> </w:t>
      </w:r>
      <m:oMath>
        <m:r>
          <m:rPr>
            <m:sty m:val="p"/>
          </m:rPr>
          <m:t>&lt;</m:t>
        </m:r>
      </m:oMath>
      <w:r>
        <w:t xml:space="preserve">50 positives),</w:t>
      </w:r>
      <w:r>
        <w:t xml:space="preserve"> </w:t>
      </w:r>
      <w:r>
        <w:t xml:space="preserve">leading to apparent training accuracies</w:t>
      </w:r>
      <w:r>
        <w:t xml:space="preserve"> </w:t>
      </w:r>
      <m:oMath>
        <m:r>
          <m:rPr>
            <m:sty m:val="p"/>
          </m:rPr>
          <m:t>&gt;</m:t>
        </m:r>
      </m:oMath>
      <w:r>
        <w:t xml:space="preserve">95% but test AUROCs collapsing once</w:t>
      </w:r>
      <w:r>
        <w:t xml:space="preserve"> </w:t>
      </w:r>
      <w:r>
        <w:t xml:space="preserve">covariates shift </w:t>
      </w:r>
      <w:r>
        <w:t xml:space="preserve">[</w:t>
      </w:r>
      <w:hyperlink w:anchor="ref-gardner_benchmarking_2024">
        <w:r>
          <w:rPr>
            <w:rStyle w:val="af"/>
          </w:rPr>
          <w:t xml:space="preserve">30</w:t>
        </w:r>
      </w:hyperlink>
      <w:r>
        <w:t xml:space="preserve">,</w:t>
      </w:r>
      <w:hyperlink w:anchor="ref-fan_tabular_2024">
        <w:r>
          <w:rPr>
            <w:rStyle w:val="af"/>
          </w:rPr>
          <w:t xml:space="preserve">37</w:t>
        </w:r>
      </w:hyperlink>
      <w:r>
        <w:t xml:space="preserve">]</w:t>
      </w:r>
      <w:r>
        <w:t xml:space="preserve">. Second,</w:t>
      </w:r>
      <w:r>
        <w:t xml:space="preserve"> </w:t>
      </w:r>
      <w:r>
        <w:t xml:space="preserve">calibration deteriorates dramatically in low-prevalence subgroups, with predicted</w:t>
      </w:r>
      <w:r>
        <w:t xml:space="preserve"> </w:t>
      </w:r>
      <w:r>
        <w:t xml:space="preserve">probabilities systematically overestimating malignancy in young non-smokers while</w:t>
      </w:r>
      <w:r>
        <w:t xml:space="preserve"> </w:t>
      </w:r>
      <w:r>
        <w:t xml:space="preserve">underestimating risk in elderly or high-burden cohorts </w:t>
      </w:r>
      <w:r>
        <w:t xml:space="preserve">[</w:t>
      </w:r>
      <w:hyperlink w:anchor="ref-koch2024distribution">
        <w:r>
          <w:rPr>
            <w:rStyle w:val="af"/>
          </w:rPr>
          <w:t xml:space="preserve">26</w:t>
        </w:r>
      </w:hyperlink>
      <w:r>
        <w:t xml:space="preserve">,</w:t>
      </w:r>
      <w:hyperlink w:anchor="ref-guo_evaluation_2022">
        <w:r>
          <w:rPr>
            <w:rStyle w:val="af"/>
          </w:rPr>
          <w:t xml:space="preserve">27</w:t>
        </w:r>
      </w:hyperlink>
      <w:r>
        <w:t xml:space="preserve">]</w:t>
      </w:r>
      <w:r>
        <w:t xml:space="preserve">.</w:t>
      </w:r>
      <w:r>
        <w:t xml:space="preserve"> </w:t>
      </w:r>
      <w:r>
        <w:t xml:space="preserve">Third, when new hospitals add or remove variables (e.g., different CT protocol</w:t>
      </w:r>
      <w:r>
        <w:t xml:space="preserve"> </w:t>
      </w:r>
      <w:r>
        <w:t xml:space="preserve">parameters or biomarker panels), there is no principled way to</w:t>
      </w:r>
      <w:r>
        <w:t xml:space="preserve"> </w:t>
      </w:r>
      <w:r>
        <w:t xml:space="preserve">“warm start”</w:t>
      </w:r>
      <w:r>
        <w:t xml:space="preserve"> </w:t>
      </w:r>
      <w:r>
        <w:t xml:space="preserve">or</w:t>
      </w:r>
      <w:r>
        <w:t xml:space="preserve"> </w:t>
      </w:r>
      <w:r>
        <w:t xml:space="preserve">incrementally fine-tune existing tree models without complete retraining from</w:t>
      </w:r>
      <w:r>
        <w:t xml:space="preserve"> </w:t>
      </w:r>
      <w:r>
        <w:t xml:space="preserve">scratch, making long-term maintenance expensive.</w:t>
      </w:r>
    </w:p>
    <w:p>
      <w:pPr>
        <w:pStyle w:val="a0"/>
      </w:pPr>
      <w:r>
        <w:t xml:space="preserve">Because tree ensembles are non-differentiable and lack explicit latent</w:t>
      </w:r>
      <w:r>
        <w:t xml:space="preserve"> </w:t>
      </w:r>
      <w:r>
        <w:t xml:space="preserve">representations, they are also difficult to integrate into end-to-end multimodal</w:t>
      </w:r>
      <w:r>
        <w:t xml:space="preserve"> </w:t>
      </w:r>
      <w:r>
        <w:t xml:space="preserve">models or to pair with standard domain adaptation objectives. This mathematical</w:t>
      </w:r>
      <w:r>
        <w:t xml:space="preserve"> </w:t>
      </w:r>
      <w:r>
        <w:t xml:space="preserve">constraint has practical consequences: researchers attempting to combine XGBoost</w:t>
      </w:r>
      <w:r>
        <w:t xml:space="preserve"> </w:t>
      </w:r>
      <w:r>
        <w:t xml:space="preserve">with imaging features must resort to late fusion (averaging predictions) or</w:t>
      </w:r>
      <w:r>
        <w:t xml:space="preserve"> </w:t>
      </w:r>
      <w:r>
        <w:t xml:space="preserve">feature concatenation followed by retraining, both of which preserve the</w:t>
      </w:r>
      <w:r>
        <w:t xml:space="preserve"> </w:t>
      </w:r>
      <w:r>
        <w:t xml:space="preserve">non-differentiable barrier. Gradient-based domain adaptation methods such as</w:t>
      </w:r>
      <w:r>
        <w:t xml:space="preserve"> </w:t>
      </w:r>
      <w:r>
        <w:t xml:space="preserve">Domain Adversarial Neural Networks (DANN) or Maximum Mean Discrepancy (MMD)</w:t>
      </w:r>
      <w:r>
        <w:t xml:space="preserve"> </w:t>
      </w:r>
      <w:r>
        <w:t xml:space="preserve">regularization cannot be applied directly to tree models, requiring workarounds</w:t>
      </w:r>
      <w:r>
        <w:t xml:space="preserve"> </w:t>
      </w:r>
      <w:r>
        <w:t xml:space="preserve">that approximate tree decision surfaces with differentiable surrogates or hybrid</w:t>
      </w:r>
      <w:r>
        <w:t xml:space="preserve"> </w:t>
      </w:r>
      <w:r>
        <w:t xml:space="preserve">architectures that mix neural embeddings with gradient-boosted leaves.</w:t>
      </w:r>
      <w:r>
        <w:t xml:space="preserve"> </w:t>
      </w:r>
      <w:r>
        <w:t xml:space="preserve">This limitation motivates methods that transfer tree-like priors into differentiable</w:t>
      </w:r>
      <w:r>
        <w:t xml:space="preserve"> </w:t>
      </w:r>
      <w:r>
        <w:t xml:space="preserve">architectures or that use tree models as feature extractors rather than end-to-end</w:t>
      </w:r>
      <w:r>
        <w:t xml:space="preserve"> </w:t>
      </w:r>
      <w:r>
        <w:t xml:space="preserve">learners.</w:t>
      </w:r>
    </w:p>
    <w:bookmarkEnd w:id="12"/>
    <w:bookmarkStart w:id="13" w:name="deep-tabular-networks"/>
    <w:p>
      <w:pPr>
        <w:pStyle w:val="3"/>
      </w:pPr>
      <w:r>
        <w:t xml:space="preserve">Deep tabular networks</w:t>
      </w:r>
    </w:p>
    <w:p>
      <w:pPr>
        <w:pStyle w:val="FirstParagraph"/>
      </w:pPr>
      <w:r>
        <w:t xml:space="preserve">Deep tabular architectures import attention and representation learning from</w:t>
      </w:r>
      <w:r>
        <w:t xml:space="preserve"> </w:t>
      </w:r>
      <w:r>
        <w:t xml:space="preserve">sequence models to overcome the adaptation gap. TabNet uses sequential feature masks</w:t>
      </w:r>
      <w:r>
        <w:t xml:space="preserve"> </w:t>
      </w:r>
      <w:r>
        <w:t xml:space="preserve">to mimic decision paths, TabTransformer contextualizes categorical embeddings,</w:t>
      </w:r>
      <w:r>
        <w:t xml:space="preserve"> </w:t>
      </w:r>
      <w:r>
        <w:t xml:space="preserve">FT-Transformer tokenizes all features, and SAINT introduces intersample attention</w:t>
      </w:r>
      <w:r>
        <w:t xml:space="preserve"> </w:t>
      </w:r>
      <w:r>
        <w:t xml:space="preserve">plus contrastive pre-training to borrow signal across patients </w:t>
      </w:r>
      <w:r>
        <w:t xml:space="preserve">[</w:t>
      </w:r>
      <w:hyperlink w:anchor="ref-arik2021tabnet">
        <w:r>
          <w:rPr>
            <w:rStyle w:val="af"/>
          </w:rPr>
          <w:t xml:space="preserve">10</w:t>
        </w:r>
      </w:hyperlink>
      <w:r>
        <w:t xml:space="preserve">,</w:t>
      </w:r>
      <w:hyperlink w:anchor="ref-somepalli2021saint">
        <w:r>
          <w:rPr>
            <w:rStyle w:val="af"/>
          </w:rPr>
          <w:t xml:space="preserve">12</w:t>
        </w:r>
      </w:hyperlink>
      <w:r>
        <w:t xml:space="preserve">,</w:t>
      </w:r>
      <w:hyperlink w:anchor="ref-huang_tabtransformer_2020">
        <w:r>
          <w:rPr>
            <w:rStyle w:val="af"/>
          </w:rPr>
          <w:t xml:space="preserve">40</w:t>
        </w:r>
      </w:hyperlink>
      <w:r>
        <w:t xml:space="preserve">,</w:t>
      </w:r>
      <w:hyperlink w:anchor="ref-gorishniy_revisiting_2021">
        <w:r>
          <w:rPr>
            <w:rStyle w:val="af"/>
          </w:rPr>
          <w:t xml:space="preserve">41</w:t>
        </w:r>
      </w:hyperlink>
      <w:r>
        <w:t xml:space="preserve">]</w:t>
      </w:r>
      <w:r>
        <w:t xml:space="preserve">. Basis</w:t>
      </w:r>
      <w:r>
        <w:t xml:space="preserve"> </w:t>
      </w:r>
      <w:r>
        <w:t xml:space="preserve">Transformers, NODE variants, TabICL prompt-serialization, weight-prediction, and</w:t>
      </w:r>
      <w:r>
        <w:t xml:space="preserve"> </w:t>
      </w:r>
      <w:r>
        <w:t xml:space="preserve">regularization schemes further explore the space between neural and symbolic</w:t>
      </w:r>
      <w:r>
        <w:t xml:space="preserve"> </w:t>
      </w:r>
      <w:r>
        <w:t xml:space="preserve">models </w:t>
      </w:r>
      <w:r>
        <w:t xml:space="preserve">[</w:t>
      </w:r>
      <w:hyperlink w:anchor="ref-margeloiu2023weight">
        <w:r>
          <w:rPr>
            <w:rStyle w:val="af"/>
          </w:rPr>
          <w:t xml:space="preserve">42</w:t>
        </w:r>
      </w:hyperlink>
      <w:r>
        <w:t xml:space="preserve">–</w:t>
      </w:r>
      <w:hyperlink w:anchor="ref-somvanshi2024survey">
        <w:r>
          <w:rPr>
            <w:rStyle w:val="af"/>
          </w:rPr>
          <w:t xml:space="preserve">46</w:t>
        </w:r>
      </w:hyperlink>
      <w:r>
        <w:t xml:space="preserve">]</w:t>
      </w:r>
      <w:r>
        <w:t xml:space="preserve">. However, comprehensive surveys and</w:t>
      </w:r>
      <w:r>
        <w:t xml:space="preserve"> </w:t>
      </w:r>
      <w:r>
        <w:t xml:space="preserve">multiple leaderboard studies report that these models remain data-hungry,</w:t>
      </w:r>
      <w:r>
        <w:t xml:space="preserve"> </w:t>
      </w:r>
      <w:r>
        <w:t xml:space="preserve">sensitive to hyperparameters, and often trail tuned tree ensembles on small,</w:t>
      </w:r>
      <w:r>
        <w:t xml:space="preserve"> </w:t>
      </w:r>
      <w:r>
        <w:t xml:space="preserve">heterogeneous cohorts typical of tertiary hospitals </w:t>
      </w:r>
      <w:r>
        <w:t xml:space="preserve">[</w:t>
      </w:r>
      <w:hyperlink w:anchor="ref-shmuel_comprehensive_2024">
        <w:r>
          <w:rPr>
            <w:rStyle w:val="af"/>
          </w:rPr>
          <w:t xml:space="preserve">36</w:t>
        </w:r>
      </w:hyperlink>
      <w:r>
        <w:t xml:space="preserve">,</w:t>
      </w:r>
      <w:hyperlink w:anchor="ref-fan_tabular_2024">
        <w:r>
          <w:rPr>
            <w:rStyle w:val="af"/>
          </w:rPr>
          <w:t xml:space="preserve">37</w:t>
        </w:r>
      </w:hyperlink>
      <w:r>
        <w:t xml:space="preserve">,</w:t>
      </w:r>
      <w:hyperlink w:anchor="ref-ren_deep_2025">
        <w:r>
          <w:rPr>
            <w:rStyle w:val="af"/>
          </w:rPr>
          <w:t xml:space="preserve">47</w:t>
        </w:r>
      </w:hyperlink>
      <w:r>
        <w:t xml:space="preserve">]</w:t>
      </w:r>
      <w:r>
        <w:t xml:space="preserve">. In external-hospital transfers, SAINT and</w:t>
      </w:r>
      <w:r>
        <w:t xml:space="preserve"> </w:t>
      </w:r>
      <w:r>
        <w:t xml:space="preserve">FT-Transformer frequently degrade to near-random calibration when categorical codes</w:t>
      </w:r>
      <w:r>
        <w:t xml:space="preserve"> </w:t>
      </w:r>
      <w:r>
        <w:t xml:space="preserve">shift or when batch-size constraints prevent stable intersample attention. The</w:t>
      </w:r>
      <w:r>
        <w:t xml:space="preserve"> </w:t>
      </w:r>
      <w:r>
        <w:t xml:space="preserve">computational footprint (long training times, GPU memory pressure) further limits</w:t>
      </w:r>
      <w:r>
        <w:t xml:space="preserve"> </w:t>
      </w:r>
      <w:r>
        <w:t xml:space="preserve">adoption in clinical IT stacks, where inference latency and cost dominate.</w:t>
      </w:r>
      <w:r>
        <w:t xml:space="preserve"> </w:t>
      </w:r>
      <w:r>
        <w:t xml:space="preserve">Empirical comparisons on clinical risk prediction echo this pattern with concrete performance gaps. TabNet often</w:t>
      </w:r>
      <w:r>
        <w:t xml:space="preserve"> </w:t>
      </w:r>
      <w:r>
        <w:t xml:space="preserve">needs extensive learning-rate scheduling and sparsity penalties to match GBDT, and</w:t>
      </w:r>
      <w:r>
        <w:t xml:space="preserve"> </w:t>
      </w:r>
      <w:r>
        <w:t xml:space="preserve">TabTransformer under-utilizes numerical biomarkers unless carefully normalized.</w:t>
      </w:r>
      <w:r>
        <w:t xml:space="preserve"> </w:t>
      </w:r>
      <w:r>
        <w:t xml:space="preserve">FT-Transformer narrows the gap by embedding every feature, yet its quadratic</w:t>
      </w:r>
      <w:r>
        <w:t xml:space="preserve"> </w:t>
      </w:r>
      <w:r>
        <w:t xml:space="preserve">self-attention becomes impractical for wide tables. SAINT’s intersample attention</w:t>
      </w:r>
      <w:r>
        <w:t xml:space="preserve"> </w:t>
      </w:r>
      <w:r>
        <w:t xml:space="preserve">helps when minibatches are large, but collapses on scarce data, making these models</w:t>
      </w:r>
      <w:r>
        <w:t xml:space="preserve"> </w:t>
      </w:r>
      <w:r>
        <w:t xml:space="preserve">fragile without strong regularization and carefully tuned augmentations.</w:t>
      </w:r>
    </w:p>
    <w:p>
      <w:pPr>
        <w:pStyle w:val="a0"/>
      </w:pPr>
      <w:r>
        <w:t xml:space="preserve">Detailed benchmarking studies on clinical datasets reveal stark contrasts between large-scale public benchmarks and real-world medical cohorts. On UCI repository datasets with</w:t>
      </w:r>
      <w:r>
        <w:t xml:space="preserve"> </w:t>
      </w:r>
      <m:oMath>
        <m:r>
          <m:rPr>
            <m:sty m:val="p"/>
          </m:rPr>
          <m:t>&gt;</m:t>
        </m:r>
      </m:oMath>
      <w:r>
        <w:t xml:space="preserve">10,000 samples, TabNet achieves AUROCs of 0.85–0.92, FT-Transformer reaches 0.87–0.94, and SAINT obtains 0.86–0.93, competitive with or slightly exceeding XGBoost’s 0.84–0.91 </w:t>
      </w:r>
      <w:r>
        <w:t xml:space="preserve">[</w:t>
      </w:r>
      <w:hyperlink w:anchor="ref-gorishniy2021revisiting">
        <w:r>
          <w:rPr>
            <w:rStyle w:val="af"/>
          </w:rPr>
          <w:t xml:space="preserve">9</w:t>
        </w:r>
      </w:hyperlink>
      <w:r>
        <w:t xml:space="preserve">,</w:t>
      </w:r>
      <w:hyperlink w:anchor="ref-shmuel_comprehensive_2024">
        <w:r>
          <w:rPr>
            <w:rStyle w:val="af"/>
          </w:rPr>
          <w:t xml:space="preserve">36</w:t>
        </w:r>
      </w:hyperlink>
      <w:r>
        <w:t xml:space="preserve">]</w:t>
      </w:r>
      <w:r>
        <w:t xml:space="preserve">. However, when evaluated on authentic clinical cohorts with</w:t>
      </w:r>
      <w:r>
        <w:t xml:space="preserve"> </w:t>
      </w:r>
      <m:oMath>
        <m:r>
          <m:rPr>
            <m:sty m:val="p"/>
          </m:rPr>
          <m:t>&lt;</m:t>
        </m:r>
      </m:oMath>
      <w:r>
        <w:t xml:space="preserve">1,000 patients and significant missingness, the same models show dramatic performance degradation: TabNet AUROCs fall to 0.62–0.71, FT-Transformer to 0.65–0.74, and SAINT to 0.60–0.69, while XGBoost maintains relatively stable performance at 0.75–0.83 </w:t>
      </w:r>
      <w:r>
        <w:t xml:space="preserve">[</w:t>
      </w:r>
      <w:hyperlink w:anchor="ref-fan_tabular_2024">
        <w:r>
          <w:rPr>
            <w:rStyle w:val="af"/>
          </w:rPr>
          <w:t xml:space="preserve">37</w:t>
        </w:r>
      </w:hyperlink>
      <w:r>
        <w:t xml:space="preserve">,</w:t>
      </w:r>
      <w:hyperlink w:anchor="ref-ren_deep_2025">
        <w:r>
          <w:rPr>
            <w:rStyle w:val="af"/>
          </w:rPr>
          <w:t xml:space="preserve">47</w:t>
        </w:r>
      </w:hyperlink>
      <w:r>
        <w:t xml:space="preserve">]</w:t>
      </w:r>
      <w:r>
        <w:t xml:space="preserve">.</w:t>
      </w:r>
    </w:p>
    <w:p>
      <w:pPr>
        <w:pStyle w:val="a0"/>
      </w:pPr>
      <w:r>
        <w:t xml:space="preserve">The computational requirements create additional barriers to clinical adoption. Training times for TabNet on a typical EHR dataset (1,000 patients, 50 features) range from 2-8 hours on a single GPU, compared to 5-15 minutes for XGBoost on CPU. FT-Transformer requires 4-12 hours due to its attention mechanisms, and SAINT needs 6-15 hours plus substantial memory for inter-sample attention matrices </w:t>
      </w:r>
      <w:r>
        <w:t xml:space="preserve">[</w:t>
      </w:r>
      <w:hyperlink w:anchor="ref-fan_tabular_2024">
        <w:r>
          <w:rPr>
            <w:rStyle w:val="af"/>
          </w:rPr>
          <w:t xml:space="preserve">37</w:t>
        </w:r>
      </w:hyperlink>
      <w:r>
        <w:t xml:space="preserve">]</w:t>
      </w:r>
      <w:r>
        <w:t xml:space="preserve">. These computational costs translate to practical challenges: most hospital IT environments lack GPU infrastructure for model development, and the extensive hyperparameter tuning required (learning rate schedules, attention head configurations, regularization strengths) demands specialized machine learning expertise not commonly available in clinical settings.</w:t>
      </w:r>
    </w:p>
    <w:p>
      <w:pPr>
        <w:pStyle w:val="a0"/>
      </w:pPr>
      <w:r>
        <w:t xml:space="preserve">Furthermore, calibration studies reveal that deep tabular models often produce overconfident predictions on medical data. Reliability diagram analyses show that TabNet and FT-Transformer consistently assign higher predicted probabilities than warranted by observed outcomes, particularly in rare disease subsets where expected calibration errors (ECE) can exceed 0.15–0.20 compared to XGBoost’s 0.04–0.08 </w:t>
      </w:r>
      <w:r>
        <w:t xml:space="preserve">[</w:t>
      </w:r>
      <w:hyperlink w:anchor="ref-guo_evaluation_2022">
        <w:r>
          <w:rPr>
            <w:rStyle w:val="af"/>
          </w:rPr>
          <w:t xml:space="preserve">27</w:t>
        </w:r>
      </w:hyperlink>
      <w:r>
        <w:t xml:space="preserve">,</w:t>
      </w:r>
      <w:hyperlink w:anchor="ref-ren_deep_2025">
        <w:r>
          <w:rPr>
            <w:rStyle w:val="af"/>
          </w:rPr>
          <w:t xml:space="preserve">47</w:t>
        </w:r>
      </w:hyperlink>
      <w:r>
        <w:t xml:space="preserve">]</w:t>
      </w:r>
      <w:r>
        <w:t xml:space="preserve">. This overconfidence is particularly problematic for clinical decision support, where well-calibrated risk estimates are essential for appropriate triage and treatment decisions.</w:t>
      </w:r>
      <w:r>
        <w:t xml:space="preserve"> </w:t>
      </w:r>
      <w:r>
        <w:t xml:space="preserve">These limitations are amplified in clinical registries where hundreds of variables</w:t>
      </w:r>
      <w:r>
        <w:t xml:space="preserve"> </w:t>
      </w:r>
      <w:r>
        <w:t xml:space="preserve">encode comorbidities, medication history, and laboratory trajectories. Studies on</w:t>
      </w:r>
      <w:r>
        <w:t xml:space="preserve"> </w:t>
      </w:r>
      <w:r>
        <w:t xml:space="preserve">ICU mortality, sepsis, and readmission prediction report that deep tabular networks</w:t>
      </w:r>
      <w:r>
        <w:t xml:space="preserve"> </w:t>
      </w:r>
      <w:r>
        <w:t xml:space="preserve">match or slightly exceed tuned GBDTs on in-distribution test sets but lose their</w:t>
      </w:r>
      <w:r>
        <w:t xml:space="preserve"> </w:t>
      </w:r>
      <w:r>
        <w:t xml:space="preserve">advantage when evaluated on later time periods or new hospitals, especially when</w:t>
      </w:r>
      <w:r>
        <w:t xml:space="preserve"> </w:t>
      </w:r>
      <w:r>
        <w:t xml:space="preserve">categorical vocabularies change or when privacy constraints cap batch sizes </w:t>
      </w:r>
      <w:r>
        <w:t xml:space="preserve">[</w:t>
      </w:r>
      <w:hyperlink w:anchor="ref-gorishniy2021revisiting">
        <w:r>
          <w:rPr>
            <w:rStyle w:val="af"/>
          </w:rPr>
          <w:t xml:space="preserve">9</w:t>
        </w:r>
      </w:hyperlink>
      <w:r>
        <w:t xml:space="preserve">,</w:t>
      </w:r>
      <w:hyperlink w:anchor="ref-guo_evaluation_2022">
        <w:r>
          <w:rPr>
            <w:rStyle w:val="af"/>
          </w:rPr>
          <w:t xml:space="preserve">27</w:t>
        </w:r>
      </w:hyperlink>
      <w:r>
        <w:t xml:space="preserve">,</w:t>
      </w:r>
      <w:hyperlink w:anchor="ref-ren_deep_2025">
        <w:r>
          <w:rPr>
            <w:rStyle w:val="af"/>
          </w:rPr>
          <w:t xml:space="preserve">47</w:t>
        </w:r>
      </w:hyperlink>
      <w:r>
        <w:t xml:space="preserve">]</w:t>
      </w:r>
      <w:r>
        <w:t xml:space="preserve">. In such small-</w:t>
      </w:r>
      <m:oMath>
        <m:r>
          <m:t>N</m:t>
        </m:r>
      </m:oMath>
      <w:r>
        <w:t xml:space="preserve">, high-dimensional regimes,</w:t>
      </w:r>
      <w:r>
        <w:t xml:space="preserve"> </w:t>
      </w:r>
      <w:r>
        <w:t xml:space="preserve">hyperparameter sensitivity translates directly into clinical risk: minor changes in</w:t>
      </w:r>
      <w:r>
        <w:t xml:space="preserve"> </w:t>
      </w:r>
      <w:r>
        <w:t xml:space="preserve">learning rate or regularization can flip decisions near treatment thresholds.</w:t>
      </w:r>
      <w:r>
        <w:t xml:space="preserve"> </w:t>
      </w:r>
      <w:r>
        <w:t xml:space="preserve">Compared with tree ensembles, these architectures seek to learn shared feature</w:t>
      </w:r>
      <w:r>
        <w:t xml:space="preserve"> </w:t>
      </w:r>
      <w:r>
        <w:t xml:space="preserve">representations that might in principle adapt across hospitals or tasks. In</w:t>
      </w:r>
      <w:r>
        <w:t xml:space="preserve"> </w:t>
      </w:r>
      <w:r>
        <w:t xml:space="preserve">practice, however, their appetite for data and tuning means that performance gains</w:t>
      </w:r>
      <w:r>
        <w:t xml:space="preserve"> </w:t>
      </w:r>
      <w:r>
        <w:t xml:space="preserve">are often limited to large industrial benchmarks; on noisy, heterogeneous medical</w:t>
      </w:r>
      <w:r>
        <w:t xml:space="preserve"> </w:t>
      </w:r>
      <w:r>
        <w:t xml:space="preserve">tables with only a few hundred patients, they frequently underperform simpler</w:t>
      </w:r>
      <w:r>
        <w:t xml:space="preserve"> </w:t>
      </w:r>
      <w:r>
        <w:t xml:space="preserve">models and exhibit brittle calibration under shift. This contrast sets the stage</w:t>
      </w:r>
      <w:r>
        <w:t xml:space="preserve"> </w:t>
      </w:r>
      <w:r>
        <w:t xml:space="preserve">for tabular foundation models such as TabPFN, which embrace a meta-learning,</w:t>
      </w:r>
      <w:r>
        <w:t xml:space="preserve"> </w:t>
      </w:r>
      <w:r>
        <w:t xml:space="preserve">few-shot perspective instead of training a new deep network from scratch for each</w:t>
      </w:r>
      <w:r>
        <w:t xml:space="preserve"> </w:t>
      </w:r>
      <w:r>
        <w:t xml:space="preserve">cohort.</w:t>
      </w:r>
    </w:p>
    <w:bookmarkEnd w:id="13"/>
    <w:bookmarkStart w:id="15" w:name="tabular-foundation-models"/>
    <w:p>
      <w:pPr>
        <w:pStyle w:val="3"/>
      </w:pPr>
      <w:r>
        <w:t xml:space="preserve">Tabular foundation models</w:t>
      </w:r>
    </w:p>
    <w:p>
      <w:pPr>
        <w:pStyle w:val="FirstParagraph"/>
      </w:pPr>
      <w:r>
        <w:t xml:space="preserve">Tabular foundation models push self-supervised pre-training and in-context learning</w:t>
      </w:r>
      <w:r>
        <w:t xml:space="preserve"> </w:t>
      </w:r>
      <w:r>
        <w:t xml:space="preserve">into structured data. TabPFN meta-trains a transformer on millions of synthetic</w:t>
      </w:r>
      <w:r>
        <w:t xml:space="preserve"> </w:t>
      </w:r>
      <w:r>
        <w:t xml:space="preserve">datasets sampled from diverse structural-causal priors, learns to approximate</w:t>
      </w:r>
      <w:r>
        <w:t xml:space="preserve"> </w:t>
      </w:r>
      <w:r>
        <w:t xml:space="preserve">posterior predictive distributions, and performs inference via a single forward</w:t>
      </w:r>
      <w:r>
        <w:t xml:space="preserve"> </w:t>
      </w:r>
      <w:r>
        <w:t xml:space="preserve">pass without gradient updates </w:t>
      </w:r>
      <w:r>
        <w:t xml:space="preserve">[</w:t>
      </w:r>
      <w:hyperlink w:anchor="ref-hollmann2025accurate">
        <w:r>
          <w:rPr>
            <w:rStyle w:val="af"/>
          </w:rPr>
          <w:t xml:space="preserve">17</w:t>
        </w:r>
      </w:hyperlink>
      <w:r>
        <w:t xml:space="preserve">,</w:t>
      </w:r>
      <w:hyperlink w:anchor="ref-hollmann_accurate_2025">
        <w:r>
          <w:rPr>
            <w:rStyle w:val="af"/>
          </w:rPr>
          <w:t xml:space="preserve">48</w:t>
        </w:r>
      </w:hyperlink>
      <w:r>
        <w:t xml:space="preserve">]</w:t>
      </w:r>
      <w:r>
        <w:t xml:space="preserve">.</w:t>
      </w:r>
      <w:r>
        <w:t xml:space="preserve"> </w:t>
      </w:r>
      <w:r>
        <w:t xml:space="preserve">Follow-up work expands its reach without breaking the closed-world assumption:</w:t>
      </w:r>
      <w:r>
        <w:t xml:space="preserve"> </w:t>
      </w:r>
      <w:r>
        <w:t xml:space="preserve">TabPFN-2.5 relaxes quadratic attention to accommodate tens of thousands of context</w:t>
      </w:r>
      <w:r>
        <w:t xml:space="preserve"> </w:t>
      </w:r>
      <w:r>
        <w:t xml:space="preserve">rows and documents an augmented pre-training suite; diagnostics such as</w:t>
      </w:r>
      <w:r>
        <w:t xml:space="preserve"> </w:t>
      </w:r>
      <w:r>
        <w:t xml:space="preserve">“A Closer</w:t>
      </w:r>
      <w:r>
        <w:t xml:space="preserve"> </w:t>
      </w:r>
      <w:r>
        <w:t xml:space="preserve">Look at TabPFN v2”</w:t>
      </w:r>
      <w:r>
        <w:t xml:space="preserve"> </w:t>
      </w:r>
      <w:r>
        <w:t xml:space="preserve">show that the model remains overconfident under covariate shift,</w:t>
      </w:r>
      <w:r>
        <w:t xml:space="preserve"> </w:t>
      </w:r>
      <w:r>
        <w:t xml:space="preserve">prompting wrappers that adjust representations before prediction </w:t>
      </w:r>
      <w:r>
        <w:t xml:space="preserve">[</w:t>
      </w:r>
      <w:hyperlink w:anchor="ref-noauthor_prior_nodate">
        <w:r>
          <w:rPr>
            <w:rStyle w:val="af"/>
          </w:rPr>
          <w:t xml:space="preserve">19</w:t>
        </w:r>
      </w:hyperlink>
      <w:r>
        <w:t xml:space="preserve">,</w:t>
      </w:r>
      <w:hyperlink w:anchor="ref-noauthor_realistic_nodate">
        <w:r>
          <w:rPr>
            <w:rStyle w:val="af"/>
          </w:rPr>
          <w:t xml:space="preserve">20</w:t>
        </w:r>
      </w:hyperlink>
      <w:r>
        <w:t xml:space="preserve">,</w:t>
      </w:r>
      <w:hyperlink w:anchor="ref-noauthor_closer_nodate">
        <w:r>
          <w:rPr>
            <w:rStyle w:val="af"/>
          </w:rPr>
          <w:t xml:space="preserve">22</w:t>
        </w:r>
      </w:hyperlink>
      <w:r>
        <w:t xml:space="preserve">]</w:t>
      </w:r>
      <w:r>
        <w:t xml:space="preserve">. Drift-resilient variants model</w:t>
      </w:r>
      <w:r>
        <w:t xml:space="preserve"> </w:t>
      </w:r>
      <w:r>
        <w:t xml:space="preserve">temporal shift with secondary structural-causal modules and record measurable gains</w:t>
      </w:r>
      <w:r>
        <w:t xml:space="preserve"> </w:t>
      </w:r>
      <w:r>
        <w:t xml:space="preserve">when patient mixes evolve </w:t>
      </w:r>
      <w:r>
        <w:t xml:space="preserve">[</w:t>
      </w:r>
      <w:hyperlink w:anchor="X60a9a1bcb93ef50ea8b7bc291808839e814cc23">
        <w:r>
          <w:rPr>
            <w:rStyle w:val="af"/>
          </w:rPr>
          <w:t xml:space="preserve">21</w:t>
        </w:r>
      </w:hyperlink>
      <w:r>
        <w:t xml:space="preserve">,</w:t>
      </w:r>
      <w:hyperlink w:anchor="ref-helli_drift-resilient_2024">
        <w:r>
          <w:rPr>
            <w:rStyle w:val="af"/>
          </w:rPr>
          <w:t xml:space="preserve">49</w:t>
        </w:r>
      </w:hyperlink>
      <w:r>
        <w:t xml:space="preserve">]</w:t>
      </w:r>
      <w:r>
        <w:t xml:space="preserve">.</w:t>
      </w:r>
      <w:r>
        <w:t xml:space="preserve"> </w:t>
      </w:r>
      <w:r>
        <w:t xml:space="preserve">Other studies adapt the same prior-learning paradigm to drug discovery, radiomics,</w:t>
      </w:r>
      <w:r>
        <w:t xml:space="preserve"> </w:t>
      </w:r>
      <w:r>
        <w:t xml:space="preserve">and graph embeddings, highlighting both the portability and fragility of tabular</w:t>
      </w:r>
      <w:r>
        <w:t xml:space="preserve"> </w:t>
      </w:r>
      <w:r>
        <w:t xml:space="preserve">foundation models beyond flat tables </w:t>
      </w:r>
      <w:r>
        <w:t xml:space="preserve">[</w:t>
      </w:r>
      <w:hyperlink w:anchor="ref-eremeev_turning_2025">
        <w:r>
          <w:rPr>
            <w:rStyle w:val="af"/>
          </w:rPr>
          <w:t xml:space="preserve">23</w:t>
        </w:r>
      </w:hyperlink>
      <w:r>
        <w:t xml:space="preserve">,</w:t>
      </w:r>
      <w:hyperlink w:anchor="ref-chen_tabpfn_2025">
        <w:r>
          <w:rPr>
            <w:rStyle w:val="af"/>
          </w:rPr>
          <w:t xml:space="preserve">50</w:t>
        </w:r>
      </w:hyperlink>
      <w:r>
        <w:t xml:space="preserve">,</w:t>
      </w:r>
      <w:hyperlink w:anchor="ref-liu_tabular_2025">
        <w:r>
          <w:rPr>
            <w:rStyle w:val="af"/>
          </w:rPr>
          <w:t xml:space="preserve">51</w:t>
        </w:r>
      </w:hyperlink>
      <w:r>
        <w:t xml:space="preserve">]</w:t>
      </w:r>
      <w:r>
        <w:t xml:space="preserve">. Tabular Large Language Models (TabLLMs) serialize rows or mini</w:t>
      </w:r>
      <w:r>
        <w:t xml:space="preserve"> </w:t>
      </w:r>
      <w:r>
        <w:t xml:space="preserve">tables into prompts so that general-purpose LLMs can reason over discrete entries,</w:t>
      </w:r>
      <w:r>
        <w:t xml:space="preserve"> </w:t>
      </w:r>
      <w:r>
        <w:t xml:space="preserve">but they remain computationally prohibitive for high-throughput risk prediction and</w:t>
      </w:r>
      <w:r>
        <w:t xml:space="preserve"> </w:t>
      </w:r>
      <w:r>
        <w:t xml:space="preserve">struggle with precise numeric calibration </w:t>
      </w:r>
      <w:r>
        <w:t xml:space="preserve">[</w:t>
      </w:r>
      <w:hyperlink w:anchor="ref-brown2020language">
        <w:r>
          <w:rPr>
            <w:rStyle w:val="af"/>
          </w:rPr>
          <w:t xml:space="preserve">52</w:t>
        </w:r>
      </w:hyperlink>
      <w:r>
        <w:t xml:space="preserve">–</w:t>
      </w:r>
      <w:hyperlink w:anchor="ref-jayawardhana_transformers_2025">
        <w:r>
          <w:rPr>
            <w:rStyle w:val="af"/>
          </w:rPr>
          <w:t xml:space="preserve">54</w:t>
        </w:r>
      </w:hyperlink>
      <w:r>
        <w:t xml:space="preserve">]</w:t>
      </w:r>
      <w:r>
        <w:t xml:space="preserve">. Recent analyses of high-dimensional omics</w:t>
      </w:r>
      <w:r>
        <w:t xml:space="preserve"> </w:t>
      </w:r>
      <w:r>
        <w:t xml:space="preserve">applications reinforce that even TabPFN requires aggressive feature selection or</w:t>
      </w:r>
      <w:r>
        <w:t xml:space="preserve"> </w:t>
      </w:r>
      <w:r>
        <w:t xml:space="preserve">prior-guided embeddings to stay calibrated, underscoring its closed-world</w:t>
      </w:r>
      <w:r>
        <w:t xml:space="preserve"> </w:t>
      </w:r>
      <w:r>
        <w:t xml:space="preserve">assumption </w:t>
      </w:r>
      <w:r>
        <w:t xml:space="preserve">[</w:t>
      </w:r>
      <w:hyperlink w:anchor="ref-zhou_limitations_2025">
        <w:r>
          <w:rPr>
            <w:rStyle w:val="af"/>
          </w:rPr>
          <w:t xml:space="preserve">55</w:t>
        </w:r>
      </w:hyperlink>
      <w:r>
        <w:t xml:space="preserve">,</w:t>
      </w:r>
      <w:hyperlink w:anchor="ref-noauthor_pdf_nodate">
        <w:r>
          <w:rPr>
            <w:rStyle w:val="af"/>
          </w:rPr>
          <w:t xml:space="preserve">56</w:t>
        </w:r>
      </w:hyperlink>
      <w:r>
        <w:t xml:space="preserve">]</w:t>
      </w:r>
      <w:r>
        <w:t xml:space="preserve">. PFN-Boost, LLM-Boost,</w:t>
      </w:r>
      <w:r>
        <w:t xml:space="preserve"> </w:t>
      </w:r>
      <w:r>
        <w:t xml:space="preserve">and hybrid residual schemes blend foundation backbones with tree-style updates or</w:t>
      </w:r>
      <w:r>
        <w:t xml:space="preserve"> </w:t>
      </w:r>
      <w:r>
        <w:t xml:space="preserve">prompts, but benchmark reports such as Wild-Tab still find overfitting to</w:t>
      </w:r>
      <w:r>
        <w:t xml:space="preserve"> </w:t>
      </w:r>
      <w:r>
        <w:t xml:space="preserve">training-domain quirks unless explicit alignment and calibration are layered</w:t>
      </w:r>
      <w:r>
        <w:t xml:space="preserve"> </w:t>
      </w:r>
      <w:r>
        <w:t xml:space="preserve">on </w:t>
      </w:r>
      <w:r>
        <w:t xml:space="preserve">[</w:t>
      </w:r>
      <w:hyperlink w:anchor="ref-liu_tabpfn_2025">
        <w:r>
          <w:rPr>
            <w:rStyle w:val="af"/>
          </w:rPr>
          <w:t xml:space="preserve">39</w:t>
        </w:r>
      </w:hyperlink>
      <w:r>
        <w:t xml:space="preserve">,</w:t>
      </w:r>
      <w:hyperlink w:anchor="ref-loh_basis_2025">
        <w:r>
          <w:rPr>
            <w:rStyle w:val="af"/>
          </w:rPr>
          <w:t xml:space="preserve">43</w:t>
        </w:r>
      </w:hyperlink>
      <w:r>
        <w:t xml:space="preserve">,</w:t>
      </w:r>
      <w:hyperlink w:anchor="ref-kolesnikov_wild-tab_2023">
        <w:r>
          <w:rPr>
            <w:rStyle w:val="af"/>
          </w:rPr>
          <w:t xml:space="preserve">57</w:t>
        </w:r>
      </w:hyperlink>
      <w:r>
        <w:t xml:space="preserve">]</w:t>
      </w:r>
      <w:r>
        <w:t xml:space="preserve">.</w:t>
      </w:r>
      <w:r>
        <w:t xml:space="preserve"> </w:t>
      </w:r>
      <w:r>
        <w:t xml:space="preserve">Closed-world constraints surface in three ways: (i) feature mismatch—TabPFN</w:t>
      </w:r>
      <w:r>
        <w:t xml:space="preserve"> </w:t>
      </w:r>
      <w:r>
        <w:t xml:space="preserve">expects aligned schemas and cannot reason about biomarkers absent from the context;</w:t>
      </w:r>
      <w:r>
        <w:t xml:space="preserve"> </w:t>
      </w:r>
      <w:r>
        <w:t xml:space="preserve">(ii) covariate drift—attention retrieves misleading neighbors when acquisition</w:t>
      </w:r>
      <w:r>
        <w:t xml:space="preserve"> </w:t>
      </w:r>
      <w:r>
        <w:t xml:space="preserve">protocols move, producing overconfident errors; and (iii) context-length bottlenecks</w:t>
      </w:r>
      <w:r>
        <w:t xml:space="preserve"> </w:t>
      </w:r>
      <w:r>
        <w:t xml:space="preserve">that force sub-sampling when rows exceed a few thousand. These limits explain why</w:t>
      </w:r>
      <w:r>
        <w:t xml:space="preserve"> </w:t>
      </w:r>
      <w:r>
        <w:t xml:space="preserve">prior studies resort to RFE or hand-crafted embeddings before invoking TabPFN and</w:t>
      </w:r>
      <w:r>
        <w:t xml:space="preserve"> </w:t>
      </w:r>
      <w:r>
        <w:t xml:space="preserve">why drift-resilient variants add causal dynamics to temper temporal shift.</w:t>
      </w:r>
    </w:p>
    <w:p>
      <w:pPr>
        <w:pStyle w:val="a0"/>
      </w:pPr>
      <w:r>
        <w:t xml:space="preserve">These observations motivate hybrid approaches that explicitly combine strong priors</w:t>
      </w:r>
      <w:r>
        <w:t xml:space="preserve"> </w:t>
      </w:r>
      <w:r>
        <w:t xml:space="preserve">with domain-alignment hooks. Table </w:t>
      </w:r>
      <w:hyperlink w:anchor="tbl:model_summary">
        <w:r>
          <w:rPr>
            <w:rStyle w:val="af"/>
          </w:rPr>
          <w:t xml:space="preserve">1</w:t>
        </w:r>
      </w:hyperlink>
      <w:r>
        <w:t xml:space="preserve"> </w:t>
      </w:r>
      <w:r>
        <w:t xml:space="preserve">summarizes the comparative</w:t>
      </w:r>
      <w:r>
        <w:t xml:space="preserve"> </w:t>
      </w:r>
      <w:r>
        <w:t xml:space="preserve">strengths and weaknesses of these model families for medical tabular tasks,</w:t>
      </w:r>
      <w:r>
        <w:t xml:space="preserve"> </w:t>
      </w:r>
      <w:r>
        <w:t xml:space="preserve">highlighting why PANDA fuses TabPFN with feature selection and unsupervised alignment</w:t>
      </w:r>
      <w:r>
        <w:t xml:space="preserve"> </w:t>
      </w:r>
      <w:r>
        <w:t xml:space="preserve">instead of relying on any single paradigm.</w:t>
      </w:r>
    </w:p>
    <w:bookmarkStart w:id="14" w:name="tbl:model_summary"/>
    <w:p>
      <w:pPr>
        <w:pStyle w:val="TableCaption"/>
      </w:pPr>
      <w:r>
        <w:t xml:space="preserve">Table 1: Comparative strengths and weaknesses of tabular model families in medical AI.</w:t>
      </w:r>
    </w:p>
    <w:tbl>
      <w:tblPr>
        <w:tblStyle w:val="Table"/>
        <w:tblW w:type="auto" w:w="0"/>
        <w:tblLook w:firstRow="1" w:lastRow="0" w:firstColumn="0" w:lastColumn="0" w:noHBand="0" w:noVBand="0" w:val="0020"/>
        <w:tblCaption w:val="Table 1: Comparative strengths and weaknesses of tabular model families in medical AI."/>
      </w:tblPr>
      <w:tblGrid>
        <w:gridCol w:w="1980"/>
        <w:gridCol w:w="1980"/>
        <w:gridCol w:w="1980"/>
        <w:gridCol w:w="1980"/>
      </w:tblGrid>
      <w:tr>
        <w:trPr>
          <w:tblHeader w:val="on"/>
        </w:trPr>
        <w:tc>
          <w:tcPr/>
          <w:p>
            <w:pPr>
              <w:pStyle w:val="Compact"/>
              <w:jc w:val="left"/>
            </w:pPr>
            <w:r>
              <w:rPr>
                <w:b/>
                <w:bCs/>
              </w:rPr>
              <w:t xml:space="preserve">Model Class</w:t>
            </w:r>
          </w:p>
        </w:tc>
        <w:tc>
          <w:tcPr/>
          <w:p>
            <w:pPr>
              <w:pStyle w:val="Compact"/>
              <w:jc w:val="left"/>
            </w:pPr>
            <w:r>
              <w:rPr>
                <w:b/>
                <w:bCs/>
              </w:rPr>
              <w:t xml:space="preserve">Representative Algorithms</w:t>
            </w:r>
          </w:p>
        </w:tc>
        <w:tc>
          <w:tcPr/>
          <w:p>
            <w:pPr>
              <w:pStyle w:val="Compact"/>
              <w:jc w:val="left"/>
            </w:pPr>
            <w:r>
              <w:rPr>
                <w:b/>
                <w:bCs/>
              </w:rPr>
              <w:t xml:space="preserve">Strengths in Medical AI</w:t>
            </w:r>
          </w:p>
        </w:tc>
        <w:tc>
          <w:tcPr/>
          <w:p>
            <w:pPr>
              <w:pStyle w:val="Compact"/>
              <w:jc w:val="left"/>
            </w:pPr>
            <w:r>
              <w:rPr>
                <w:b/>
                <w:bCs/>
              </w:rPr>
              <w:t xml:space="preserve">Limitations in Cross-Hospital Tasks</w:t>
            </w:r>
          </w:p>
        </w:tc>
      </w:tr>
      <w:tr>
        <w:tc>
          <w:tcPr/>
          <w:p>
            <w:pPr>
              <w:pStyle w:val="Compact"/>
              <w:jc w:val="left"/>
            </w:pPr>
            <w:r>
              <w:t xml:space="preserve">Tree Ensembles</w:t>
            </w:r>
          </w:p>
        </w:tc>
        <w:tc>
          <w:tcPr/>
          <w:p>
            <w:pPr>
              <w:pStyle w:val="Compact"/>
              <w:jc w:val="left"/>
            </w:pPr>
            <w:r>
              <w:t xml:space="preserve">XGBoost, LightGBM, CatBoost</w:t>
            </w:r>
          </w:p>
        </w:tc>
        <w:tc>
          <w:tcPr/>
          <w:p>
            <w:pPr>
              <w:pStyle w:val="Compact"/>
              <w:jc w:val="left"/>
            </w:pPr>
            <w:r>
              <w:t xml:space="preserve">Interpretable, robust to missingness/outliers, encode clinical constraints</w:t>
            </w:r>
          </w:p>
        </w:tc>
        <w:tc>
          <w:tcPr/>
          <w:p>
            <w:pPr>
              <w:pStyle w:val="Compact"/>
              <w:jc w:val="left"/>
            </w:pPr>
            <w:r>
              <w:t xml:space="preserve">Overfit small cohorts, non-differentiable, no inherent transfer learning, require full retraining per site</w:t>
            </w:r>
          </w:p>
        </w:tc>
      </w:tr>
      <w:tr>
        <w:tc>
          <w:tcPr/>
          <w:p>
            <w:pPr>
              <w:pStyle w:val="Compact"/>
              <w:jc w:val="left"/>
            </w:pPr>
            <w:r>
              <w:t xml:space="preserve">Deep Tabular</w:t>
            </w:r>
          </w:p>
        </w:tc>
        <w:tc>
          <w:tcPr/>
          <w:p>
            <w:pPr>
              <w:pStyle w:val="Compact"/>
              <w:jc w:val="left"/>
            </w:pPr>
            <w:r>
              <w:t xml:space="preserve">TabNet, TabTransformer, FT-Transformer, SAINT, NODE</w:t>
            </w:r>
          </w:p>
        </w:tc>
        <w:tc>
          <w:tcPr/>
          <w:p>
            <w:pPr>
              <w:pStyle w:val="Compact"/>
              <w:jc w:val="left"/>
            </w:pPr>
            <w:r>
              <w:t xml:space="preserve">Differentiable, capture complex interactions, allow multimodal fusion</w:t>
            </w:r>
          </w:p>
        </w:tc>
        <w:tc>
          <w:tcPr/>
          <w:p>
            <w:pPr>
              <w:pStyle w:val="Compact"/>
              <w:jc w:val="left"/>
            </w:pPr>
            <w:r>
              <w:t xml:space="preserve">Data hungry, extensive tuning, high compute cost, brittle without alignment</w:t>
            </w:r>
          </w:p>
        </w:tc>
      </w:tr>
      <w:tr>
        <w:tc>
          <w:tcPr/>
          <w:p>
            <w:pPr>
              <w:pStyle w:val="Compact"/>
              <w:jc w:val="left"/>
            </w:pPr>
            <w:r>
              <w:t xml:space="preserve">Foundation Models</w:t>
            </w:r>
          </w:p>
        </w:tc>
        <w:tc>
          <w:tcPr/>
          <w:p>
            <w:pPr>
              <w:pStyle w:val="Compact"/>
              <w:jc w:val="left"/>
            </w:pPr>
            <w:r>
              <w:t xml:space="preserve">TabPFN, TabPFN-2.5, TabLLM</w:t>
            </w:r>
          </w:p>
        </w:tc>
        <w:tc>
          <w:tcPr/>
          <w:p>
            <w:pPr>
              <w:pStyle w:val="Compact"/>
              <w:jc w:val="left"/>
            </w:pPr>
            <w:r>
              <w:t xml:space="preserve">Hyperparameter-free inference, strong small-</w:t>
            </w:r>
            <m:oMath>
              <m:r>
                <m:t>N</m:t>
              </m:r>
            </m:oMath>
            <w:r>
              <w:t xml:space="preserve"> </w:t>
            </w:r>
            <w:r>
              <w:t xml:space="preserve">priors, probabilistic outputs</w:t>
            </w:r>
          </w:p>
        </w:tc>
        <w:tc>
          <w:tcPr/>
          <w:p>
            <w:pPr>
              <w:pStyle w:val="Compact"/>
              <w:jc w:val="left"/>
            </w:pPr>
            <w:r>
              <w:t xml:space="preserve">Sensitive to distribution/feature shift, limited context length, assume aligned schemas</w:t>
            </w:r>
          </w:p>
        </w:tc>
      </w:tr>
    </w:tbl>
    <w:bookmarkEnd w:id="14"/>
    <w:bookmarkEnd w:id="15"/>
    <w:bookmarkEnd w:id="16"/>
    <w:bookmarkStart w:id="22" w:name="X3242a1b0fc77ff4d092d2aaa0c177c4bed40b23"/>
    <w:p>
      <w:pPr>
        <w:pStyle w:val="2"/>
      </w:pPr>
      <w:r>
        <w:t xml:space="preserve">Domain shift and domain adaptation in medical AI</w:t>
      </w:r>
    </w:p>
    <w:p>
      <w:pPr>
        <w:pStyle w:val="FirstParagraph"/>
      </w:pPr>
      <w:r>
        <w:t xml:space="preserve">Domain adaptation (DA) provides the vocabulary for managing the covariate, label,</w:t>
      </w:r>
      <w:r>
        <w:t xml:space="preserve"> </w:t>
      </w:r>
      <w:r>
        <w:t xml:space="preserve">and concept shifts that materialize when AI crosses hospital boundaries. Classical</w:t>
      </w:r>
      <w:r>
        <w:t xml:space="preserve"> </w:t>
      </w:r>
      <w:r>
        <w:t xml:space="preserve">analysis decomposes target error into source error plus a divergence term, motivating</w:t>
      </w:r>
      <w:r>
        <w:t xml:space="preserve"> </w:t>
      </w:r>
      <w:r>
        <w:t xml:space="preserve">alignments and invariance objectives. In practice, medical deployments encounter</w:t>
      </w:r>
      <w:r>
        <w:t xml:space="preserve"> </w:t>
      </w:r>
      <w:r>
        <w:t xml:space="preserve">overlapping types of shift: changes in patient mix and ordering policies alter</w:t>
      </w:r>
      <w:r>
        <w:t xml:space="preserve"> </w:t>
      </w:r>
      <m:oMath>
        <m:r>
          <m:t>P</m:t>
        </m:r>
        <m:r>
          <m:rPr>
            <m:sty m:val="p"/>
          </m:rPr>
          <m:t>(</m:t>
        </m:r>
        <m:r>
          <m:t>X</m:t>
        </m:r>
        <m:r>
          <m:rPr>
            <m:sty m:val="p"/>
          </m:rPr>
          <m:t>)</m:t>
        </m:r>
      </m:oMath>
      <w:r>
        <w:t xml:space="preserve">, new screening programs or diagnostic criteria perturb</w:t>
      </w:r>
      <w:r>
        <w:t xml:space="preserve"> </w:t>
      </w:r>
      <m:oMath>
        <m:r>
          <m:t>P</m:t>
        </m:r>
        <m:r>
          <m:rPr>
            <m:sty m:val="p"/>
          </m:rPr>
          <m:t>(</m:t>
        </m:r>
        <m:r>
          <m:t>Y</m:t>
        </m:r>
        <m:r>
          <m:rPr>
            <m:sty m:val="p"/>
          </m:rPr>
          <m:t>)</m:t>
        </m:r>
      </m:oMath>
      <w:r>
        <w:t xml:space="preserve">, and evolving</w:t>
      </w:r>
      <w:r>
        <w:t xml:space="preserve"> </w:t>
      </w:r>
      <w:r>
        <w:t xml:space="preserve">clinical practice modifies</w:t>
      </w:r>
      <w:r>
        <w:t xml:space="preserve"> </w:t>
      </w:r>
      <m:oMath>
        <m:r>
          <m:t>P</m:t>
        </m:r>
        <m:r>
          <m:rPr>
            <m:sty m:val="p"/>
          </m:rPr>
          <m:t>(</m:t>
        </m:r>
        <m:r>
          <m:t>Y</m:t>
        </m:r>
        <m:r>
          <m:rPr>
            <m:sty m:val="p"/>
          </m:rPr>
          <m:t>∣</m:t>
        </m:r>
        <m:r>
          <m:t>X</m:t>
        </m:r>
        <m:r>
          <m:rPr>
            <m:sty m:val="p"/>
          </m:rPr>
          <m:t>)</m:t>
        </m:r>
      </m:oMath>
      <w:r>
        <w:t xml:space="preserve"> </w:t>
      </w:r>
      <w:r>
        <w:t xml:space="preserve">[</w:t>
      </w:r>
      <w:hyperlink w:anchor="ref-koch2024distribution">
        <w:r>
          <w:rPr>
            <w:rStyle w:val="af"/>
          </w:rPr>
          <w:t xml:space="preserve">26</w:t>
        </w:r>
      </w:hyperlink>
      <w:r>
        <w:t xml:space="preserve">,</w:t>
      </w:r>
      <w:hyperlink w:anchor="ref-guo_evaluation_2022">
        <w:r>
          <w:rPr>
            <w:rStyle w:val="af"/>
          </w:rPr>
          <w:t xml:space="preserve">27</w:t>
        </w:r>
      </w:hyperlink>
      <w:r>
        <w:t xml:space="preserve">]</w:t>
      </w:r>
      <w:r>
        <w:t xml:space="preserve">.</w:t>
      </w:r>
      <w:r>
        <w:t xml:space="preserve"> </w:t>
      </w:r>
      <w:r>
        <w:t xml:space="preserve">Pulmonary nodule malignancy prediction is particularly exposed to this triad of</w:t>
      </w:r>
      <w:r>
        <w:t xml:space="preserve"> </w:t>
      </w:r>
      <w:r>
        <w:t xml:space="preserve">shifts because granulomatous disease burden, scanner protocols, and radiologist</w:t>
      </w:r>
      <w:r>
        <w:t xml:space="preserve"> </w:t>
      </w:r>
      <w:r>
        <w:t xml:space="preserve">thresholds vary sharply across regions.</w:t>
      </w:r>
    </w:p>
    <w:bookmarkStart w:id="17" w:name="X40df40c4323b87611e258bdecd41109c65f401e"/>
    <w:p>
      <w:pPr>
        <w:pStyle w:val="3"/>
      </w:pPr>
      <w:r>
        <w:t xml:space="preserve">Statistical alignment vs. adversarial objectives</w:t>
      </w:r>
    </w:p>
    <w:p>
      <w:pPr>
        <w:pStyle w:val="FirstParagraph"/>
      </w:pPr>
      <w:r>
        <w:t xml:space="preserve">Maximum Mean Discrepancy (as in TCA), correlation alignment (CORAL), and</w:t>
      </w:r>
      <w:r>
        <w:t xml:space="preserve"> </w:t>
      </w:r>
      <w:r>
        <w:t xml:space="preserve">transport-based projections minimize moment discrepancies in a latent</w:t>
      </w:r>
      <w:r>
        <w:t xml:space="preserve"> </w:t>
      </w:r>
      <w:r>
        <w:t xml:space="preserve">space </w:t>
      </w:r>
      <w:r>
        <w:t xml:space="preserve">[</w:t>
      </w:r>
      <w:hyperlink w:anchor="ref-pan2010domain">
        <w:r>
          <w:rPr>
            <w:rStyle w:val="af"/>
          </w:rPr>
          <w:t xml:space="preserve">33</w:t>
        </w:r>
      </w:hyperlink>
      <w:r>
        <w:t xml:space="preserve">,</w:t>
      </w:r>
      <w:hyperlink w:anchor="Xd20ec9efaf7cad77fe2665a3b298a644c8be26c">
        <w:r>
          <w:rPr>
            <w:rStyle w:val="af"/>
          </w:rPr>
          <w:t xml:space="preserve">58</w:t>
        </w:r>
      </w:hyperlink>
      <w:r>
        <w:t xml:space="preserve">–</w:t>
      </w:r>
      <w:hyperlink w:anchor="ref-li_transport-based_2024">
        <w:r>
          <w:rPr>
            <w:rStyle w:val="af"/>
          </w:rPr>
          <w:t xml:space="preserve">61</w:t>
        </w:r>
      </w:hyperlink>
      <w:r>
        <w:t xml:space="preserve">]</w:t>
      </w:r>
      <w:r>
        <w:t xml:space="preserve">. They are attractive</w:t>
      </w:r>
      <w:r>
        <w:t xml:space="preserve"> </w:t>
      </w:r>
      <w:r>
        <w:t xml:space="preserve">for medical tables because they offer closed-form or deterministic solutions and</w:t>
      </w:r>
      <w:r>
        <w:t xml:space="preserve"> </w:t>
      </w:r>
      <w:r>
        <w:t xml:space="preserve">remain stable when labeled target data are absent. Adversarial approaches (DANN,</w:t>
      </w:r>
      <w:r>
        <w:t xml:space="preserve"> </w:t>
      </w:r>
      <w:r>
        <w:t xml:space="preserve">cycle-consistent style transfer) attempt to erase domain cues via discriminators,</w:t>
      </w:r>
      <w:r>
        <w:t xml:space="preserve"> </w:t>
      </w:r>
      <w:r>
        <w:t xml:space="preserve">but surveys show they destabilize when cohorts are tiny, leading to mode collapse or</w:t>
      </w:r>
      <w:r>
        <w:t xml:space="preserve"> </w:t>
      </w:r>
      <w:r>
        <w:t xml:space="preserve">erasure of clinically salient signals </w:t>
      </w:r>
      <w:r>
        <w:t xml:space="preserve">[</w:t>
      </w:r>
      <w:hyperlink w:anchor="ref-guan2021domain">
        <w:r>
          <w:rPr>
            <w:rStyle w:val="af"/>
          </w:rPr>
          <w:t xml:space="preserve">24</w:t>
        </w:r>
      </w:hyperlink>
      <w:r>
        <w:t xml:space="preserve">,</w:t>
      </w:r>
      <w:hyperlink w:anchor="ref-guo_evaluation_2022">
        <w:r>
          <w:rPr>
            <w:rStyle w:val="af"/>
          </w:rPr>
          <w:t xml:space="preserve">27</w:t>
        </w:r>
      </w:hyperlink>
      <w:r>
        <w:t xml:space="preserve">,</w:t>
      </w:r>
      <w:hyperlink w:anchor="ref-zhang_adadiag_2022">
        <w:r>
          <w:rPr>
            <w:rStyle w:val="af"/>
          </w:rPr>
          <w:t xml:space="preserve">60</w:t>
        </w:r>
      </w:hyperlink>
      <w:r>
        <w:t xml:space="preserve">]</w:t>
      </w:r>
      <w:r>
        <w:t xml:space="preserve">. In ICU mortality and readmission tasks, DANN can underperform ERM</w:t>
      </w:r>
      <w:r>
        <w:t xml:space="preserve"> </w:t>
      </w:r>
      <w:r>
        <w:t xml:space="preserve">by wide margins because the discriminator trivially detects domain cues from missing</w:t>
      </w:r>
      <w:r>
        <w:t xml:space="preserve"> </w:t>
      </w:r>
      <w:r>
        <w:t xml:space="preserve">patterns, causing the encoder to discard predictive features. In contrast, MMD- or</w:t>
      </w:r>
      <w:r>
        <w:t xml:space="preserve"> </w:t>
      </w:r>
      <w:r>
        <w:t xml:space="preserve">CORAL-style alignment improves calibration modestly and avoids catastrophic</w:t>
      </w:r>
      <w:r>
        <w:t xml:space="preserve"> </w:t>
      </w:r>
      <w:r>
        <w:t xml:space="preserve">degradation, motivating our reliance on TCA for small-sample settings.</w:t>
      </w:r>
      <w:r>
        <w:t xml:space="preserve"> </w:t>
      </w:r>
      <w:r>
        <w:t xml:space="preserve">Classic error decompositions also separate covariate shift (</w:t>
      </w:r>
      <m:oMath>
        <m:sSub>
          <m:e>
            <m:r>
              <m:t>P</m:t>
            </m:r>
          </m:e>
          <m:sub>
            <m:r>
              <m:t>s</m:t>
            </m:r>
          </m:sub>
        </m:sSub>
        <m:r>
          <m:rPr>
            <m:sty m:val="p"/>
          </m:rPr>
          <m:t>(</m:t>
        </m:r>
        <m:r>
          <m:t>X</m:t>
        </m:r>
        <m:r>
          <m:rPr>
            <m:sty m:val="p"/>
          </m:rPr>
          <m:t>)</m:t>
        </m:r>
        <m:r>
          <m:rPr>
            <m:sty m:val="p"/>
          </m:rPr>
          <m:t>≠</m:t>
        </m:r>
        <m:sSub>
          <m:e>
            <m:r>
              <m:t>P</m:t>
            </m:r>
          </m:e>
          <m:sub>
            <m:r>
              <m:t>t</m:t>
            </m:r>
          </m:sub>
        </m:sSub>
        <m:r>
          <m:rPr>
            <m:sty m:val="p"/>
          </m:rPr>
          <m:t>(</m:t>
        </m:r>
        <m:r>
          <m:t>X</m:t>
        </m:r>
        <m:r>
          <m:rPr>
            <m:sty m:val="p"/>
          </m:rPr>
          <m:t>)</m:t>
        </m:r>
      </m:oMath>
      <w:r>
        <w:t xml:space="preserve">)</w:t>
      </w:r>
      <w:r>
        <w:t xml:space="preserve"> </w:t>
      </w:r>
      <w:r>
        <w:t xml:space="preserve">from label shift (</w:t>
      </w:r>
      <m:oMath>
        <m:sSub>
          <m:e>
            <m:r>
              <m:t>P</m:t>
            </m:r>
          </m:e>
          <m:sub>
            <m:r>
              <m:t>s</m:t>
            </m:r>
          </m:sub>
        </m:sSub>
        <m:r>
          <m:rPr>
            <m:sty m:val="p"/>
          </m:rPr>
          <m:t>(</m:t>
        </m:r>
        <m:r>
          <m:t>Y</m:t>
        </m:r>
        <m:r>
          <m:rPr>
            <m:sty m:val="p"/>
          </m:rPr>
          <m:t>)</m:t>
        </m:r>
        <m:r>
          <m:rPr>
            <m:sty m:val="p"/>
          </m:rPr>
          <m:t>≠</m:t>
        </m:r>
        <m:sSub>
          <m:e>
            <m:r>
              <m:t>P</m:t>
            </m:r>
          </m:e>
          <m:sub>
            <m:r>
              <m:t>t</m:t>
            </m:r>
          </m:sub>
        </m:sSub>
        <m:r>
          <m:rPr>
            <m:sty m:val="p"/>
          </m:rPr>
          <m:t>(</m:t>
        </m:r>
        <m:r>
          <m:t>Y</m:t>
        </m:r>
        <m:r>
          <m:rPr>
            <m:sty m:val="p"/>
          </m:rPr>
          <m:t>)</m:t>
        </m:r>
      </m:oMath>
      <w:r>
        <w:t xml:space="preserve">) and concept shift (</w:t>
      </w:r>
      <m:oMath>
        <m:sSub>
          <m:e>
            <m:r>
              <m:t>P</m:t>
            </m:r>
          </m:e>
          <m:sub>
            <m:r>
              <m:t>s</m:t>
            </m:r>
          </m:sub>
        </m:sSub>
        <m:r>
          <m:rPr>
            <m:sty m:val="p"/>
          </m:rPr>
          <m:t>(</m:t>
        </m:r>
        <m:r>
          <m:t>Y</m:t>
        </m:r>
        <m:r>
          <m:rPr>
            <m:sty m:val="p"/>
          </m:rPr>
          <m:t>|</m:t>
        </m:r>
        <m:r>
          <m:t>X</m:t>
        </m:r>
        <m:r>
          <m:rPr>
            <m:sty m:val="p"/>
          </m:rPr>
          <m:t>)</m:t>
        </m:r>
        <m:r>
          <m:rPr>
            <m:sty m:val="p"/>
          </m:rPr>
          <m:t>≠</m:t>
        </m:r>
        <m:sSub>
          <m:e>
            <m:r>
              <m:t>P</m:t>
            </m:r>
          </m:e>
          <m:sub>
            <m:r>
              <m:t>t</m:t>
            </m:r>
          </m:sub>
        </m:sSub>
        <m:r>
          <m:rPr>
            <m:sty m:val="p"/>
          </m:rPr>
          <m:t>(</m:t>
        </m:r>
        <m:r>
          <m:t>Y</m:t>
        </m:r>
        <m:r>
          <m:rPr>
            <m:sty m:val="p"/>
          </m:rPr>
          <m:t>|</m:t>
        </m:r>
        <m:r>
          <m:t>X</m:t>
        </m:r>
        <m:r>
          <m:rPr>
            <m:sty m:val="p"/>
          </m:rPr>
          <m:t>)</m:t>
        </m:r>
      </m:oMath>
      <w:r>
        <w:t xml:space="preserve">);</w:t>
      </w:r>
      <w:r>
        <w:t xml:space="preserve"> </w:t>
      </w:r>
      <w:r>
        <w:t xml:space="preserve">only the first benefits cleanly from moment matching, while the second demands</w:t>
      </w:r>
      <w:r>
        <w:t xml:space="preserve"> </w:t>
      </w:r>
      <w:r>
        <w:t xml:space="preserve">prevalence-aware calibration and the third often needs feature auditing or human</w:t>
      </w:r>
      <w:r>
        <w:t xml:space="preserve"> </w:t>
      </w:r>
      <w:r>
        <w:t xml:space="preserve">review </w:t>
      </w:r>
      <w:r>
        <w:t xml:space="preserve">[</w:t>
      </w:r>
      <w:hyperlink w:anchor="ref-koch2024distribution">
        <w:r>
          <w:rPr>
            <w:rStyle w:val="af"/>
          </w:rPr>
          <w:t xml:space="preserve">26</w:t>
        </w:r>
      </w:hyperlink>
      <w:r>
        <w:t xml:space="preserve">,</w:t>
      </w:r>
      <w:hyperlink w:anchor="ref-gardner_benchmarking_2024">
        <w:r>
          <w:rPr>
            <w:rStyle w:val="af"/>
          </w:rPr>
          <w:t xml:space="preserve">30</w:t>
        </w:r>
      </w:hyperlink>
      <w:r>
        <w:t xml:space="preserve">,</w:t>
      </w:r>
      <w:hyperlink w:anchor="ref-pan2010domain">
        <w:r>
          <w:rPr>
            <w:rStyle w:val="af"/>
          </w:rPr>
          <w:t xml:space="preserve">33</w:t>
        </w:r>
      </w:hyperlink>
      <w:r>
        <w:t xml:space="preserve">]</w:t>
      </w:r>
      <w:r>
        <w:t xml:space="preserve">. These</w:t>
      </w:r>
      <w:r>
        <w:t xml:space="preserve"> </w:t>
      </w:r>
      <w:r>
        <w:t xml:space="preserve">regimes frequently co-occur in multi-hospital deployments, explaining why single</w:t>
      </w:r>
      <w:r>
        <w:t xml:space="preserve"> </w:t>
      </w:r>
      <w:r>
        <w:t xml:space="preserve">DA objectives show mixed results.</w:t>
      </w:r>
    </w:p>
    <w:bookmarkEnd w:id="17"/>
    <w:bookmarkStart w:id="18" w:name="Xfc0f840fa44167f8c48ab8d812f64b7cdd077ac"/>
    <w:p>
      <w:pPr>
        <w:pStyle w:val="3"/>
      </w:pPr>
      <w:r>
        <w:t xml:space="preserve">Heterogeneity, missingness, and temporal drift</w:t>
      </w:r>
    </w:p>
    <w:p>
      <w:pPr>
        <w:pStyle w:val="FirstParagraph"/>
      </w:pPr>
      <w:r>
        <w:t xml:space="preserve">Medical DA must grapple with heterogeneous feature sets and evolving acquisition</w:t>
      </w:r>
      <w:r>
        <w:t xml:space="preserve"> </w:t>
      </w:r>
      <w:r>
        <w:t xml:space="preserve">policies. Feature-space DA (FSDA) and transport-based alignment project source and</w:t>
      </w:r>
      <w:r>
        <w:t xml:space="preserve"> </w:t>
      </w:r>
      <w:r>
        <w:t xml:space="preserve">target into shared latent spaces, while open-set domain adaptation handles mismatched</w:t>
      </w:r>
      <w:r>
        <w:t xml:space="preserve"> </w:t>
      </w:r>
      <w:r>
        <w:t xml:space="preserve">label spaces and schema drift that arise when hospitals collect different labs </w:t>
      </w:r>
      <w:r>
        <w:t xml:space="preserve">[</w:t>
      </w:r>
      <w:hyperlink w:anchor="ref-grubinger2015domain">
        <w:r>
          <w:rPr>
            <w:rStyle w:val="af"/>
          </w:rPr>
          <w:t xml:space="preserve">59</w:t>
        </w:r>
      </w:hyperlink>
      <w:r>
        <w:t xml:space="preserve">,</w:t>
      </w:r>
      <w:hyperlink w:anchor="ref-li_transport-based_2024">
        <w:r>
          <w:rPr>
            <w:rStyle w:val="af"/>
          </w:rPr>
          <w:t xml:space="preserve">61</w:t>
        </w:r>
      </w:hyperlink>
      <w:r>
        <w:t xml:space="preserve">–</w:t>
      </w:r>
      <w:hyperlink w:anchor="ref-pham_open-set_2025">
        <w:r>
          <w:rPr>
            <w:rStyle w:val="af"/>
          </w:rPr>
          <w:t xml:space="preserve">63</w:t>
        </w:r>
      </w:hyperlink>
      <w:r>
        <w:t xml:space="preserve">]</w:t>
      </w:r>
      <w:r>
        <w:t xml:space="preserve">. DomainATM,</w:t>
      </w:r>
      <w:r>
        <w:t xml:space="preserve"> </w:t>
      </w:r>
      <w:r>
        <w:t xml:space="preserve">feature-aware PCA, and ontological mapping frameworks first identify which</w:t>
      </w:r>
      <w:r>
        <w:t xml:space="preserve"> </w:t>
      </w:r>
      <w:r>
        <w:t xml:space="preserve">biomarkers are stable across sites before alignment, reducing negative transfer </w:t>
      </w:r>
      <w:r>
        <w:t xml:space="preserve">[</w:t>
      </w:r>
      <w:hyperlink w:anchor="ref-guan2021domain">
        <w:r>
          <w:rPr>
            <w:rStyle w:val="af"/>
          </w:rPr>
          <w:t xml:space="preserve">24</w:t>
        </w:r>
      </w:hyperlink>
      <w:r>
        <w:t xml:space="preserve">,</w:t>
      </w:r>
      <w:hyperlink w:anchor="ref-guan_domainatm_2023">
        <w:r>
          <w:rPr>
            <w:rStyle w:val="af"/>
          </w:rPr>
          <w:t xml:space="preserve">64</w:t>
        </w:r>
      </w:hyperlink>
      <w:r>
        <w:t xml:space="preserve">,</w:t>
      </w:r>
      <w:hyperlink w:anchor="ref-guan_domain_2022">
        <w:r>
          <w:rPr>
            <w:rStyle w:val="af"/>
          </w:rPr>
          <w:t xml:space="preserve">65</w:t>
        </w:r>
      </w:hyperlink>
      <w:r>
        <w:t xml:space="preserve">]</w:t>
      </w:r>
      <w:r>
        <w:t xml:space="preserve">. Missingness-shift studies demonstrate that</w:t>
      </w:r>
      <w:r>
        <w:t xml:space="preserve"> </w:t>
      </w:r>
      <w:r>
        <w:t xml:space="preserve">when ordering policies change (e.g., different lab panels for triage), standard</w:t>
      </w:r>
      <w:r>
        <w:t xml:space="preserve"> </w:t>
      </w:r>
      <w:r>
        <w:t xml:space="preserve">covariate-shift assumptions break; MNAR-aware corrections and explicit missingness</w:t>
      </w:r>
      <w:r>
        <w:t xml:space="preserve"> </w:t>
      </w:r>
      <w:r>
        <w:t xml:space="preserve">modeling become mandatory </w:t>
      </w:r>
      <w:r>
        <w:t xml:space="preserve">[</w:t>
      </w:r>
      <w:hyperlink w:anchor="ref-zhou_domain_2023">
        <w:r>
          <w:rPr>
            <w:rStyle w:val="af"/>
          </w:rPr>
          <w:t xml:space="preserve">66</w:t>
        </w:r>
      </w:hyperlink>
      <w:r>
        <w:t xml:space="preserve">,</w:t>
      </w:r>
      <w:hyperlink w:anchor="ref-stokes_domain_2025">
        <w:r>
          <w:rPr>
            <w:rStyle w:val="af"/>
          </w:rPr>
          <w:t xml:space="preserve">67</w:t>
        </w:r>
      </w:hyperlink>
      <w:r>
        <w:t xml:space="preserve">]</w:t>
      </w:r>
      <w:r>
        <w:t xml:space="preserve">. Temporal</w:t>
      </w:r>
      <w:r>
        <w:t xml:space="preserve"> </w:t>
      </w:r>
      <w:r>
        <w:t xml:space="preserve">adaptation work (Wild-Time, multi-attention encoders for COVID-19) highlights that</w:t>
      </w:r>
      <w:r>
        <w:t xml:space="preserve"> </w:t>
      </w:r>
      <w:r>
        <w:t xml:space="preserve">drift accumulates over months, so models require continual recalibration rather than</w:t>
      </w:r>
      <w:r>
        <w:t xml:space="preserve"> </w:t>
      </w:r>
      <w:r>
        <w:t xml:space="preserve">one-time transfer </w:t>
      </w:r>
      <w:r>
        <w:t xml:space="preserve">[</w:t>
      </w:r>
      <w:hyperlink w:anchor="ref-ahn_unsupervised_2023">
        <w:r>
          <w:rPr>
            <w:rStyle w:val="af"/>
          </w:rPr>
          <w:t xml:space="preserve">29</w:t>
        </w:r>
      </w:hyperlink>
      <w:r>
        <w:t xml:space="preserve">,</w:t>
      </w:r>
      <w:hyperlink w:anchor="ref-he_multi-attention_2022">
        <w:r>
          <w:rPr>
            <w:rStyle w:val="af"/>
          </w:rPr>
          <w:t xml:space="preserve">68</w:t>
        </w:r>
      </w:hyperlink>
      <w:r>
        <w:t xml:space="preserve">]</w:t>
      </w:r>
      <w:r>
        <w:t xml:space="preserve">.</w:t>
      </w:r>
    </w:p>
    <w:bookmarkEnd w:id="18"/>
    <w:bookmarkStart w:id="19" w:name="domain-generalization-and-open-set-gaps"/>
    <w:p>
      <w:pPr>
        <w:pStyle w:val="3"/>
      </w:pPr>
      <w:r>
        <w:t xml:space="preserve">Domain generalization and open-set gaps</w:t>
      </w:r>
    </w:p>
    <w:p>
      <w:pPr>
        <w:pStyle w:val="FirstParagraph"/>
      </w:pPr>
      <w:r>
        <w:t xml:space="preserve">TableShift, Wild-Tab, and Wild-Time benchmarks quantify how far models fall once</w:t>
      </w:r>
      <w:r>
        <w:t xml:space="preserve"> </w:t>
      </w:r>
      <w:r>
        <w:t xml:space="preserve">distributions move: they reveal a near-linear relation between in-distribution and</w:t>
      </w:r>
      <w:r>
        <w:t xml:space="preserve"> </w:t>
      </w:r>
      <w:r>
        <w:t xml:space="preserve">out-of-distribution accuracy, but also show that label shift dominates error budgets</w:t>
      </w:r>
      <w:r>
        <w:t xml:space="preserve"> </w:t>
      </w:r>
      <w:r>
        <w:t xml:space="preserve">and that prevailing domain-generalization objectives (GroupDRO, IRM, VREx) rarely</w:t>
      </w:r>
      <w:r>
        <w:t xml:space="preserve"> </w:t>
      </w:r>
      <w:r>
        <w:t xml:space="preserve">beat strong ERM or GBDT baselines on tabular data </w:t>
      </w:r>
      <w:r>
        <w:t xml:space="preserve">[</w:t>
      </w:r>
      <w:hyperlink w:anchor="ref-ahn_unsupervised_2023">
        <w:r>
          <w:rPr>
            <w:rStyle w:val="af"/>
          </w:rPr>
          <w:t xml:space="preserve">29</w:t>
        </w:r>
      </w:hyperlink>
      <w:r>
        <w:t xml:space="preserve">,</w:t>
      </w:r>
      <w:hyperlink w:anchor="ref-gardner_benchmarking_2024">
        <w:r>
          <w:rPr>
            <w:rStyle w:val="af"/>
          </w:rPr>
          <w:t xml:space="preserve">30</w:t>
        </w:r>
      </w:hyperlink>
      <w:r>
        <w:t xml:space="preserve">,</w:t>
      </w:r>
      <w:hyperlink w:anchor="ref-kolesnikov_wild-tab_2023">
        <w:r>
          <w:rPr>
            <w:rStyle w:val="af"/>
          </w:rPr>
          <w:t xml:space="preserve">57</w:t>
        </w:r>
      </w:hyperlink>
      <w:r>
        <w:t xml:space="preserve">,</w:t>
      </w:r>
      <w:hyperlink w:anchor="X4f9f0e8a6fc6d4d5516fc073f21d764bfed9221">
        <w:r>
          <w:rPr>
            <w:rStyle w:val="af"/>
          </w:rPr>
          <w:t xml:space="preserve">69</w:t>
        </w:r>
      </w:hyperlink>
      <w:r>
        <w:t xml:space="preserve">,</w:t>
      </w:r>
      <w:hyperlink w:anchor="ref-gardner_tableshift_nodate">
        <w:r>
          <w:rPr>
            <w:rStyle w:val="af"/>
          </w:rPr>
          <w:t xml:space="preserve">70</w:t>
        </w:r>
      </w:hyperlink>
      <w:r>
        <w:t xml:space="preserve">]</w:t>
      </w:r>
      <w:r>
        <w:t xml:space="preserve">. Open-set and partial-label settings</w:t>
      </w:r>
      <w:r>
        <w:t xml:space="preserve"> </w:t>
      </w:r>
      <w:r>
        <w:t xml:space="preserve">are common in healthcare (target hospital omits certain comorbidities); current DA</w:t>
      </w:r>
      <w:r>
        <w:t xml:space="preserve"> </w:t>
      </w:r>
      <w:r>
        <w:t xml:space="preserve">methods often assume aligned label spaces and therefore miscalibrate rare conditions.</w:t>
      </w:r>
      <w:r>
        <w:t xml:space="preserve"> </w:t>
      </w:r>
      <w:r>
        <w:t xml:space="preserve">Regulatory guidance now treats shift detection and recalibration as part of</w:t>
      </w:r>
      <w:r>
        <w:t xml:space="preserve"> </w:t>
      </w:r>
      <w:r>
        <w:t xml:space="preserve">post-market surveillance, emphasizing that robustness must be engineered rather than</w:t>
      </w:r>
      <w:r>
        <w:t xml:space="preserve"> </w:t>
      </w:r>
      <w:r>
        <w:t xml:space="preserve">assumed </w:t>
      </w:r>
      <w:r>
        <w:t xml:space="preserve">[</w:t>
      </w:r>
      <w:hyperlink w:anchor="ref-koch2024distribution">
        <w:r>
          <w:rPr>
            <w:rStyle w:val="af"/>
          </w:rPr>
          <w:t xml:space="preserve">26</w:t>
        </w:r>
      </w:hyperlink>
      <w:r>
        <w:t xml:space="preserve">]</w:t>
      </w:r>
      <w:r>
        <w:t xml:space="preserve">.</w:t>
      </w:r>
      <w:r>
        <w:t xml:space="preserve"> </w:t>
      </w:r>
      <w:r>
        <w:t xml:space="preserve">Complementary benchmarks and surveys on generic tabular learning echo these</w:t>
      </w:r>
      <w:r>
        <w:t xml:space="preserve"> </w:t>
      </w:r>
      <w:r>
        <w:t xml:space="preserve">findings: across hundreds of datasets, tuned GBDTs remain exceptionally strong</w:t>
      </w:r>
      <w:r>
        <w:t xml:space="preserve"> </w:t>
      </w:r>
      <w:r>
        <w:t xml:space="preserve">baselines, and many deep or domain-generalization architectures fail to deliver</w:t>
      </w:r>
      <w:r>
        <w:t xml:space="preserve"> </w:t>
      </w:r>
      <w:r>
        <w:t xml:space="preserve">consistent gains once evaluation moves beyond a handful of leaderboard tasks </w:t>
      </w:r>
      <w:r>
        <w:t xml:space="preserve">[</w:t>
      </w:r>
      <w:hyperlink w:anchor="ref-shmuel_comprehensive_2024">
        <w:r>
          <w:rPr>
            <w:rStyle w:val="af"/>
          </w:rPr>
          <w:t xml:space="preserve">36</w:t>
        </w:r>
      </w:hyperlink>
      <w:r>
        <w:t xml:space="preserve">,</w:t>
      </w:r>
      <w:hyperlink w:anchor="ref-fan_tabular_2024">
        <w:r>
          <w:rPr>
            <w:rStyle w:val="af"/>
          </w:rPr>
          <w:t xml:space="preserve">37</w:t>
        </w:r>
      </w:hyperlink>
      <w:r>
        <w:t xml:space="preserve">,</w:t>
      </w:r>
      <w:hyperlink w:anchor="ref-somvanshi2024survey">
        <w:r>
          <w:rPr>
            <w:rStyle w:val="af"/>
          </w:rPr>
          <w:t xml:space="preserve">46</w:t>
        </w:r>
      </w:hyperlink>
      <w:r>
        <w:t xml:space="preserve">]</w:t>
      </w:r>
      <w:r>
        <w:t xml:space="preserve">. Moreover, empirical decompositions</w:t>
      </w:r>
      <w:r>
        <w:t xml:space="preserve"> </w:t>
      </w:r>
      <w:r>
        <w:t xml:space="preserve">of error budgets highlight that label shift and calibration drift often dominate</w:t>
      </w:r>
      <w:r>
        <w:t xml:space="preserve"> </w:t>
      </w:r>
      <w:r>
        <w:t xml:space="preserve">covariate shift, suggesting that feature-space alignment alone is insufficient for</w:t>
      </w:r>
      <w:r>
        <w:t xml:space="preserve"> </w:t>
      </w:r>
      <w:r>
        <w:t xml:space="preserve">reliable deployment. Together with the medical DA literature, these results argue</w:t>
      </w:r>
      <w:r>
        <w:t xml:space="preserve"> </w:t>
      </w:r>
      <w:r>
        <w:t xml:space="preserve">for methods that combine strong small-sample priors, explicit feature governance,</w:t>
      </w:r>
      <w:r>
        <w:t xml:space="preserve"> </w:t>
      </w:r>
      <w:r>
        <w:t xml:space="preserve">and lightweight, task-aware alignment instead of relying on black-box</w:t>
      </w:r>
      <w:r>
        <w:t xml:space="preserve"> </w:t>
      </w:r>
      <w:r>
        <w:t xml:space="preserve">“robust”</w:t>
      </w:r>
      <w:r>
        <w:t xml:space="preserve"> </w:t>
      </w:r>
      <w:r>
        <w:t xml:space="preserve">architectures.</w:t>
      </w:r>
    </w:p>
    <w:bookmarkEnd w:id="19"/>
    <w:bookmarkStart w:id="21" w:name="Xac8cf3bf5ba1c9da677839d2feb6a6372fc7f68"/>
    <w:p>
      <w:pPr>
        <w:pStyle w:val="3"/>
      </w:pPr>
      <w:r>
        <w:t xml:space="preserve">Domain adaptation and transfer learning for clinical tabular and EHR data</w:t>
      </w:r>
    </w:p>
    <w:p>
      <w:pPr>
        <w:pStyle w:val="FirstParagraph"/>
      </w:pPr>
      <w:r>
        <w:t xml:space="preserve">Recent work brings these ideas to longitudinal EHR and claims data. AdaDiag-style</w:t>
      </w:r>
      <w:r>
        <w:t xml:space="preserve"> </w:t>
      </w:r>
      <w:r>
        <w:t xml:space="preserve">methods align source and target hospitals in a representation space while jointly</w:t>
      </w:r>
      <w:r>
        <w:t xml:space="preserve"> </w:t>
      </w:r>
      <w:r>
        <w:t xml:space="preserve">training prognostic models, reporting partial recovery of AUROC lost when models</w:t>
      </w:r>
      <w:r>
        <w:t xml:space="preserve"> </w:t>
      </w:r>
      <w:r>
        <w:t xml:space="preserve">trained on MIMIC-like cohorts are evaluated at external centers </w:t>
      </w:r>
      <w:r>
        <w:t xml:space="preserve">[</w:t>
      </w:r>
      <w:hyperlink w:anchor="ref-guan2021domain">
        <w:r>
          <w:rPr>
            <w:rStyle w:val="af"/>
          </w:rPr>
          <w:t xml:space="preserve">24</w:t>
        </w:r>
      </w:hyperlink>
      <w:r>
        <w:t xml:space="preserve">,</w:t>
      </w:r>
      <w:hyperlink w:anchor="ref-zhang_adadiag_2022">
        <w:r>
          <w:rPr>
            <w:rStyle w:val="af"/>
          </w:rPr>
          <w:t xml:space="preserve">60</w:t>
        </w:r>
      </w:hyperlink>
      <w:r>
        <w:t xml:space="preserve">]</w:t>
      </w:r>
      <w:r>
        <w:t xml:space="preserve">. Multi-center EHR foundation models go further by pre-training</w:t>
      </w:r>
      <w:r>
        <w:t xml:space="preserve"> </w:t>
      </w:r>
      <w:r>
        <w:t xml:space="preserve">sequence encoders on records from dozens of institutions and then fine-tuning on</w:t>
      </w:r>
      <w:r>
        <w:t xml:space="preserve"> </w:t>
      </w:r>
      <w:r>
        <w:t xml:space="preserve">downstream tasks, demonstrating that shared representations can reduce the amount</w:t>
      </w:r>
      <w:r>
        <w:t xml:space="preserve"> </w:t>
      </w:r>
      <w:r>
        <w:t xml:space="preserve">of labeled data required for local adaptation </w:t>
      </w:r>
      <w:r>
        <w:t xml:space="preserve">[</w:t>
      </w:r>
      <w:hyperlink w:anchor="ref-noauthor_multi-center_nodate">
        <w:r>
          <w:rPr>
            <w:rStyle w:val="af"/>
          </w:rPr>
          <w:t xml:space="preserve">71</w:t>
        </w:r>
      </w:hyperlink>
      <w:r>
        <w:t xml:space="preserve">]</w:t>
      </w:r>
      <w:r>
        <w:t xml:space="preserve">.</w:t>
      </w:r>
      <w:r>
        <w:t xml:space="preserve"> </w:t>
      </w:r>
      <w:r>
        <w:t xml:space="preserve">These approaches show that both unsupervised alignment and transfer learning have</w:t>
      </w:r>
      <w:r>
        <w:t xml:space="preserve"> </w:t>
      </w:r>
      <w:r>
        <w:t xml:space="preserve">value in clinical AI, but they typically assume abundant longitudinal data, focus</w:t>
      </w:r>
      <w:r>
        <w:t xml:space="preserve"> </w:t>
      </w:r>
      <w:r>
        <w:t xml:space="preserve">on large hospitals with rich EHR infrastructure, and operate on sequential rather</w:t>
      </w:r>
      <w:r>
        <w:t xml:space="preserve"> </w:t>
      </w:r>
      <w:r>
        <w:t xml:space="preserve">than static tabular summaries.</w:t>
      </w:r>
    </w:p>
    <w:p>
      <w:pPr>
        <w:pStyle w:val="a0"/>
      </w:pPr>
      <w:r>
        <w:t xml:space="preserve">Standard domain-adaptation theory provides a unifying lens: target risk can be</w:t>
      </w:r>
      <w:r>
        <w:t xml:space="preserve"> </w:t>
      </w:r>
      <w:r>
        <w:t xml:space="preserve">bounded by source risk plus a measure of distribution discrepancy and a term</w:t>
      </w:r>
      <w:r>
        <w:t xml:space="preserve"> </w:t>
      </w:r>
      <w:r>
        <w:t xml:space="preserve">capturing irreducible label-set differences </w:t>
      </w:r>
      <w:r>
        <w:t xml:space="preserve">[</w:t>
      </w:r>
      <w:hyperlink w:anchor="ref-guo_evaluation_2022">
        <w:r>
          <w:rPr>
            <w:rStyle w:val="af"/>
          </w:rPr>
          <w:t xml:space="preserve">27</w:t>
        </w:r>
      </w:hyperlink>
      <w:r>
        <w:t xml:space="preserve">,</w:t>
      </w:r>
      <w:hyperlink w:anchor="ref-pan2010domain">
        <w:r>
          <w:rPr>
            <w:rStyle w:val="af"/>
          </w:rPr>
          <w:t xml:space="preserve">33</w:t>
        </w:r>
      </w:hyperlink>
      <w:r>
        <w:t xml:space="preserve">]</w:t>
      </w:r>
      <w:r>
        <w:t xml:space="preserve">.</w:t>
      </w:r>
      <w:r>
        <w:t xml:space="preserve"> </w:t>
      </w:r>
      <w:r>
        <w:t xml:space="preserve">Reducing error on the source domain alone is therefore insufficient; one must also</w:t>
      </w:r>
      <w:r>
        <w:t xml:space="preserve"> </w:t>
      </w:r>
      <w:r>
        <w:t xml:space="preserve">control divergence between source and target feature distributions, for example via</w:t>
      </w:r>
      <w:r>
        <w:t xml:space="preserve"> </w:t>
      </w:r>
      <w:r>
        <w:t xml:space="preserve">moment-matching, adversarial objectives, or feature-space DA.</w:t>
      </w:r>
      <w:r>
        <w:t xml:space="preserve"> </w:t>
      </w:r>
      <w:r>
        <w:t xml:space="preserve">Beyond centralized settings, federated learning extends these ideas by allowing</w:t>
      </w:r>
      <w:r>
        <w:t xml:space="preserve"> </w:t>
      </w:r>
      <w:r>
        <w:t xml:space="preserve">multiple hospitals to collaborate without sharing raw data. Surveys on federated</w:t>
      </w:r>
      <w:r>
        <w:t xml:space="preserve"> </w:t>
      </w:r>
      <w:r>
        <w:t xml:space="preserve">learning for medical imaging and pattern recognition summarize how FL can pool</w:t>
      </w:r>
      <w:r>
        <w:t xml:space="preserve"> </w:t>
      </w:r>
      <w:r>
        <w:t xml:space="preserve">experience across institutions while preserving privacy, and methods such as</w:t>
      </w:r>
      <w:r>
        <w:t xml:space="preserve"> </w:t>
      </w:r>
      <w:r>
        <w:t xml:space="preserve">FedFusion explicitly combine domain adaptation with personalized encoders to handle</w:t>
      </w:r>
      <w:r>
        <w:t xml:space="preserve"> </w:t>
      </w:r>
      <w:r>
        <w:t xml:space="preserve">heterogeneous feature spaces and scarce labels </w:t>
      </w:r>
      <w:r>
        <w:t xml:space="preserve">[</w:t>
      </w:r>
      <w:hyperlink w:anchor="ref-rehman_federated_2023">
        <w:r>
          <w:rPr>
            <w:rStyle w:val="af"/>
          </w:rPr>
          <w:t xml:space="preserve">72</w:t>
        </w:r>
      </w:hyperlink>
      <w:r>
        <w:t xml:space="preserve">–</w:t>
      </w:r>
      <w:hyperlink w:anchor="ref-kahenga_fedfusion_2025">
        <w:r>
          <w:rPr>
            <w:rStyle w:val="af"/>
          </w:rPr>
          <w:t xml:space="preserve">74</w:t>
        </w:r>
      </w:hyperlink>
      <w:r>
        <w:t xml:space="preserve">]</w:t>
      </w:r>
      <w:r>
        <w:t xml:space="preserve">. However, most federated frameworks</w:t>
      </w:r>
      <w:r>
        <w:t xml:space="preserve"> </w:t>
      </w:r>
      <w:r>
        <w:t xml:space="preserve">target high-volume imaging or EHR tasks, assume substantial local computation and</w:t>
      </w:r>
      <w:r>
        <w:t xml:space="preserve"> </w:t>
      </w:r>
      <w:r>
        <w:t xml:space="preserve">at least some labeled data at each site, and still rely on shared model</w:t>
      </w:r>
      <w:r>
        <w:t xml:space="preserve"> </w:t>
      </w:r>
      <w:r>
        <w:t xml:space="preserve">architectures and broadly aligned feature schemas. They are therefore complementary</w:t>
      </w:r>
      <w:r>
        <w:t xml:space="preserve"> </w:t>
      </w:r>
      <w:r>
        <w:t xml:space="preserve">to, rather than a replacement for, lightweight DA strategies tailored to very small</w:t>
      </w:r>
      <w:r>
        <w:t xml:space="preserve"> </w:t>
      </w:r>
      <w:r>
        <w:t xml:space="preserve">tabular cohorts with partially mismatched feature sets.</w:t>
      </w:r>
    </w:p>
    <w:p>
      <w:pPr>
        <w:pStyle w:val="a0"/>
      </w:pPr>
      <w:r>
        <w:t xml:space="preserve">Table </w:t>
      </w:r>
      <w:hyperlink w:anchor="tbl:da_strategies">
        <w:r>
          <w:rPr>
            <w:rStyle w:val="af"/>
          </w:rPr>
          <w:t xml:space="preserve">2</w:t>
        </w:r>
      </w:hyperlink>
      <w:r>
        <w:t xml:space="preserve"> </w:t>
      </w:r>
      <w:r>
        <w:t xml:space="preserve">summarizes the main DA families discussed above and</w:t>
      </w:r>
      <w:r>
        <w:t xml:space="preserve"> </w:t>
      </w:r>
      <w:r>
        <w:t xml:space="preserve">their implications for cross-hospital tabular deployment.</w:t>
      </w:r>
    </w:p>
    <w:bookmarkStart w:id="20" w:name="tbl:da_strategies"/>
    <w:p>
      <w:pPr>
        <w:pStyle w:val="TableCaption"/>
      </w:pPr>
      <w:r>
        <w:t xml:space="preserve">Table 2: Representative domain-adaptation strategies in medical AI and their relevance to cross-hospital tabular risk prediction.</w:t>
      </w:r>
    </w:p>
    <w:tbl>
      <w:tblPr>
        <w:tblStyle w:val="Table"/>
        <w:tblW w:type="auto" w:w="0"/>
        <w:tblLook w:firstRow="1" w:lastRow="0" w:firstColumn="0" w:lastColumn="0" w:noHBand="0" w:noVBand="0" w:val="0020"/>
        <w:tblCaption w:val="Table 2: Representative domain-adaptation strategies in medical AI and their relevance to cross-hospital tabular risk prediction."/>
      </w:tblPr>
      <w:tblGrid>
        <w:gridCol w:w="1584"/>
        <w:gridCol w:w="1584"/>
        <w:gridCol w:w="1584"/>
        <w:gridCol w:w="1584"/>
        <w:gridCol w:w="1584"/>
      </w:tblGrid>
      <w:tr>
        <w:trPr>
          <w:tblHeader w:val="on"/>
        </w:trPr>
        <w:tc>
          <w:tcPr/>
          <w:p>
            <w:pPr>
              <w:pStyle w:val="Compact"/>
              <w:jc w:val="left"/>
            </w:pPr>
            <w:r>
              <w:rPr>
                <w:b/>
                <w:bCs/>
              </w:rPr>
              <w:t xml:space="preserve">Method family</w:t>
            </w:r>
          </w:p>
        </w:tc>
        <w:tc>
          <w:tcPr/>
          <w:p>
            <w:pPr>
              <w:pStyle w:val="Compact"/>
              <w:jc w:val="left"/>
            </w:pPr>
            <w:r>
              <w:rPr>
                <w:b/>
                <w:bCs/>
              </w:rPr>
              <w:t xml:space="preserve">Typical modality</w:t>
            </w:r>
          </w:p>
        </w:tc>
        <w:tc>
          <w:tcPr/>
          <w:p>
            <w:pPr>
              <w:pStyle w:val="Compact"/>
              <w:jc w:val="left"/>
            </w:pPr>
            <w:r>
              <w:rPr>
                <w:b/>
                <w:bCs/>
              </w:rPr>
              <w:t xml:space="preserve">Key assumptions</w:t>
            </w:r>
          </w:p>
        </w:tc>
        <w:tc>
          <w:tcPr/>
          <w:p>
            <w:pPr>
              <w:pStyle w:val="Compact"/>
              <w:jc w:val="left"/>
            </w:pPr>
            <w:r>
              <w:rPr>
                <w:b/>
                <w:bCs/>
              </w:rPr>
              <w:t xml:space="preserve">Pros</w:t>
            </w:r>
          </w:p>
        </w:tc>
        <w:tc>
          <w:tcPr/>
          <w:p>
            <w:pPr>
              <w:pStyle w:val="Compact"/>
              <w:jc w:val="left"/>
            </w:pPr>
            <w:r>
              <w:rPr>
                <w:b/>
                <w:bCs/>
              </w:rPr>
              <w:t xml:space="preserve">Limitations for small cross-hospital tabular cohorts</w:t>
            </w:r>
          </w:p>
        </w:tc>
      </w:tr>
      <w:tr>
        <w:tc>
          <w:tcPr/>
          <w:p>
            <w:pPr>
              <w:pStyle w:val="Compact"/>
              <w:jc w:val="left"/>
            </w:pPr>
            <w:r>
              <w:t xml:space="preserve">Statistical alignment (MMD, TCA, CORAL, transport)</w:t>
            </w:r>
          </w:p>
        </w:tc>
        <w:tc>
          <w:tcPr/>
          <w:p>
            <w:pPr>
              <w:pStyle w:val="Compact"/>
              <w:jc w:val="left"/>
            </w:pPr>
            <w:r>
              <w:t xml:space="preserve">Tabular, EHR, imaging</w:t>
            </w:r>
          </w:p>
        </w:tc>
        <w:tc>
          <w:tcPr/>
          <w:p>
            <w:pPr>
              <w:pStyle w:val="Compact"/>
              <w:jc w:val="left"/>
            </w:pPr>
            <w:r>
              <w:t xml:space="preserve">Shared feature schema; access to source data and unlabeled target samples; primarily covariate shift</w:t>
            </w:r>
          </w:p>
        </w:tc>
        <w:tc>
          <w:tcPr/>
          <w:p>
            <w:pPr>
              <w:pStyle w:val="Compact"/>
              <w:jc w:val="left"/>
            </w:pPr>
            <w:r>
              <w:t xml:space="preserve">Closed-form or deterministic mappings; stable when target labels are absent; easy to plug into existing pipelines </w:t>
            </w:r>
            <w:r>
              <w:t xml:space="preserve">[</w:t>
            </w:r>
            <w:hyperlink w:anchor="ref-pan2010domain">
              <w:r>
                <w:rPr>
                  <w:rStyle w:val="af"/>
                </w:rPr>
                <w:t xml:space="preserve">33</w:t>
              </w:r>
            </w:hyperlink>
            <w:r>
              <w:t xml:space="preserve">,</w:t>
            </w:r>
            <w:hyperlink w:anchor="Xd20ec9efaf7cad77fe2665a3b298a644c8be26c">
              <w:r>
                <w:rPr>
                  <w:rStyle w:val="af"/>
                </w:rPr>
                <w:t xml:space="preserve">58</w:t>
              </w:r>
            </w:hyperlink>
            <w:r>
              <w:t xml:space="preserve">,</w:t>
            </w:r>
            <w:hyperlink w:anchor="ref-grubinger2015domain">
              <w:r>
                <w:rPr>
                  <w:rStyle w:val="af"/>
                </w:rPr>
                <w:t xml:space="preserve">59</w:t>
              </w:r>
            </w:hyperlink>
            <w:r>
              <w:t xml:space="preserve">,</w:t>
            </w:r>
            <w:hyperlink w:anchor="ref-li_transport-based_2024">
              <w:r>
                <w:rPr>
                  <w:rStyle w:val="af"/>
                </w:rPr>
                <w:t xml:space="preserve">61</w:t>
              </w:r>
            </w:hyperlink>
            <w:r>
              <w:t xml:space="preserve">]</w:t>
            </w:r>
          </w:p>
        </w:tc>
        <w:tc>
          <w:tcPr/>
          <w:p>
            <w:pPr>
              <w:pStyle w:val="Compact"/>
              <w:jc w:val="left"/>
            </w:pPr>
            <w:r>
              <w:t xml:space="preserve">Does not directly correct label or concept shift; assumes overlapping feature sets; may misalign rare subgroups without additional calibration </w:t>
            </w:r>
            <w:r>
              <w:t xml:space="preserve">[</w:t>
            </w:r>
            <w:hyperlink w:anchor="ref-koch2024distribution">
              <w:r>
                <w:rPr>
                  <w:rStyle w:val="af"/>
                </w:rPr>
                <w:t xml:space="preserve">26</w:t>
              </w:r>
            </w:hyperlink>
            <w:r>
              <w:t xml:space="preserve">,</w:t>
            </w:r>
            <w:hyperlink w:anchor="ref-guo_evaluation_2022">
              <w:r>
                <w:rPr>
                  <w:rStyle w:val="af"/>
                </w:rPr>
                <w:t xml:space="preserve">27</w:t>
              </w:r>
            </w:hyperlink>
            <w:r>
              <w:t xml:space="preserve">,</w:t>
            </w:r>
            <w:hyperlink w:anchor="ref-gardner_benchmarking_2024">
              <w:r>
                <w:rPr>
                  <w:rStyle w:val="af"/>
                </w:rPr>
                <w:t xml:space="preserve">30</w:t>
              </w:r>
            </w:hyperlink>
            <w:r>
              <w:t xml:space="preserve">]</w:t>
            </w:r>
          </w:p>
        </w:tc>
      </w:tr>
      <w:tr>
        <w:tc>
          <w:tcPr/>
          <w:p>
            <w:pPr>
              <w:pStyle w:val="Compact"/>
              <w:jc w:val="left"/>
            </w:pPr>
            <w:r>
              <w:t xml:space="preserve">Adversarial representation learning (DANN-style)</w:t>
            </w:r>
          </w:p>
        </w:tc>
        <w:tc>
          <w:tcPr/>
          <w:p>
            <w:pPr>
              <w:pStyle w:val="Compact"/>
              <w:jc w:val="left"/>
            </w:pPr>
            <w:r>
              <w:t xml:space="preserve">Imaging, EHR sequences</w:t>
            </w:r>
          </w:p>
        </w:tc>
        <w:tc>
          <w:tcPr/>
          <w:p>
            <w:pPr>
              <w:pStyle w:val="Compact"/>
              <w:jc w:val="left"/>
            </w:pPr>
            <w:r>
              <w:t xml:space="preserve">Access to source and target data with domain labels; discriminator encouraged to remove site identity</w:t>
            </w:r>
          </w:p>
        </w:tc>
        <w:tc>
          <w:tcPr/>
          <w:p>
            <w:pPr>
              <w:pStyle w:val="Compact"/>
              <w:jc w:val="left"/>
            </w:pPr>
            <w:r>
              <w:t xml:space="preserve">Learns domain-invariant representations jointly with task loss; flexible for complex modalities </w:t>
            </w:r>
            <w:r>
              <w:t xml:space="preserve">[</w:t>
            </w:r>
            <w:hyperlink w:anchor="ref-guo_evaluation_2022">
              <w:r>
                <w:rPr>
                  <w:rStyle w:val="af"/>
                </w:rPr>
                <w:t xml:space="preserve">27</w:t>
              </w:r>
            </w:hyperlink>
            <w:r>
              <w:t xml:space="preserve">,</w:t>
            </w:r>
            <w:hyperlink w:anchor="ref-zhang_adadiag_2022">
              <w:r>
                <w:rPr>
                  <w:rStyle w:val="af"/>
                </w:rPr>
                <w:t xml:space="preserve">60</w:t>
              </w:r>
            </w:hyperlink>
            <w:r>
              <w:t xml:space="preserve">]</w:t>
            </w:r>
          </w:p>
        </w:tc>
        <w:tc>
          <w:tcPr/>
          <w:p>
            <w:pPr>
              <w:pStyle w:val="Compact"/>
              <w:jc w:val="left"/>
            </w:pPr>
            <w:r>
              <w:t xml:space="preserve">Unstable on tiny cohorts; discriminators exploit missingness patterns, causing encoders to discard predictive features; can underperform ERM in ICU-style tasks </w:t>
            </w:r>
            <w:r>
              <w:t xml:space="preserve">[</w:t>
            </w:r>
            <w:hyperlink w:anchor="ref-guan2021domain">
              <w:r>
                <w:rPr>
                  <w:rStyle w:val="af"/>
                </w:rPr>
                <w:t xml:space="preserve">24</w:t>
              </w:r>
            </w:hyperlink>
            <w:r>
              <w:t xml:space="preserve">,</w:t>
            </w:r>
            <w:hyperlink w:anchor="ref-zhang_adadiag_2022">
              <w:r>
                <w:rPr>
                  <w:rStyle w:val="af"/>
                </w:rPr>
                <w:t xml:space="preserve">60</w:t>
              </w:r>
            </w:hyperlink>
            <w:r>
              <w:t xml:space="preserve">]</w:t>
            </w:r>
          </w:p>
        </w:tc>
      </w:tr>
      <w:tr>
        <w:tc>
          <w:tcPr/>
          <w:p>
            <w:pPr>
              <w:pStyle w:val="Compact"/>
              <w:jc w:val="left"/>
            </w:pPr>
            <w:r>
              <w:t xml:space="preserve">Feature-space DA and domain-aware FS (FSDA, DomainATM)</w:t>
            </w:r>
          </w:p>
        </w:tc>
        <w:tc>
          <w:tcPr/>
          <w:p>
            <w:pPr>
              <w:pStyle w:val="Compact"/>
              <w:jc w:val="left"/>
            </w:pPr>
            <w:r>
              <w:t xml:space="preserve">Tabular, EHR</w:t>
            </w:r>
          </w:p>
        </w:tc>
        <w:tc>
          <w:tcPr/>
          <w:p>
            <w:pPr>
              <w:pStyle w:val="Compact"/>
              <w:jc w:val="left"/>
            </w:pPr>
            <w:r>
              <w:t xml:space="preserve">At least partially shared feature space; access to both domains during training</w:t>
            </w:r>
          </w:p>
        </w:tc>
        <w:tc>
          <w:tcPr/>
          <w:p>
            <w:pPr>
              <w:pStyle w:val="Compact"/>
              <w:jc w:val="left"/>
            </w:pPr>
            <w:r>
              <w:t xml:space="preserve">Selects features that are predictive and stable across sites; reduces reliance on site-specific surrogates and noisy biomarkers </w:t>
            </w:r>
            <w:r>
              <w:t xml:space="preserve">[</w:t>
            </w:r>
            <w:hyperlink w:anchor="ref-guan2021domain">
              <w:r>
                <w:rPr>
                  <w:rStyle w:val="af"/>
                </w:rPr>
                <w:t xml:space="preserve">24</w:t>
              </w:r>
            </w:hyperlink>
            <w:r>
              <w:t xml:space="preserve">,</w:t>
            </w:r>
            <w:hyperlink w:anchor="ref-luo2021fsda">
              <w:r>
                <w:rPr>
                  <w:rStyle w:val="af"/>
                </w:rPr>
                <w:t xml:space="preserve">62</w:t>
              </w:r>
            </w:hyperlink>
            <w:r>
              <w:t xml:space="preserve">,</w:t>
            </w:r>
            <w:hyperlink w:anchor="ref-guan_domainatm_2023">
              <w:r>
                <w:rPr>
                  <w:rStyle w:val="af"/>
                </w:rPr>
                <w:t xml:space="preserve">64</w:t>
              </w:r>
            </w:hyperlink>
            <w:r>
              <w:t xml:space="preserve">,</w:t>
            </w:r>
            <w:hyperlink w:anchor="ref-guan_domain_2022">
              <w:r>
                <w:rPr>
                  <w:rStyle w:val="af"/>
                </w:rPr>
                <w:t xml:space="preserve">65</w:t>
              </w:r>
            </w:hyperlink>
            <w:r>
              <w:t xml:space="preserve">]</w:t>
            </w:r>
          </w:p>
        </w:tc>
        <w:tc>
          <w:tcPr/>
          <w:p>
            <w:pPr>
              <w:pStyle w:val="Compact"/>
              <w:jc w:val="left"/>
            </w:pPr>
            <w:r>
              <w:t xml:space="preserve">Still assumes sizable overlap in measured variables; does not natively handle missing entire feature blocks or unlabeled target hospitals with severe schema mismatch</w:t>
            </w:r>
          </w:p>
        </w:tc>
      </w:tr>
      <w:tr>
        <w:tc>
          <w:tcPr/>
          <w:p>
            <w:pPr>
              <w:pStyle w:val="Compact"/>
              <w:jc w:val="left"/>
            </w:pPr>
            <w:r>
              <w:t xml:space="preserve">Domain generalization and temporal adaptation (TableShift, Wild-Tab, Wild-Time)</w:t>
            </w:r>
          </w:p>
        </w:tc>
        <w:tc>
          <w:tcPr/>
          <w:p>
            <w:pPr>
              <w:pStyle w:val="Compact"/>
              <w:jc w:val="left"/>
            </w:pPr>
            <w:r>
              <w:t xml:space="preserve">Tabular</w:t>
            </w:r>
          </w:p>
        </w:tc>
        <w:tc>
          <w:tcPr/>
          <w:p>
            <w:pPr>
              <w:pStyle w:val="Compact"/>
              <w:jc w:val="left"/>
            </w:pPr>
            <w:r>
              <w:t xml:space="preserve">Multiple labeled source distributions; no target labels during training</w:t>
            </w:r>
          </w:p>
        </w:tc>
        <w:tc>
          <w:tcPr/>
          <w:p>
            <w:pPr>
              <w:pStyle w:val="Compact"/>
              <w:jc w:val="left"/>
            </w:pPr>
            <w:r>
              <w:t xml:space="preserve">Reveal failure modes under temporal, demographic, and institutional shift; provide standardized evaluation suites </w:t>
            </w:r>
            <w:r>
              <w:t xml:space="preserve">[</w:t>
            </w:r>
            <w:hyperlink w:anchor="ref-ahn_unsupervised_2023">
              <w:r>
                <w:rPr>
                  <w:rStyle w:val="af"/>
                </w:rPr>
                <w:t xml:space="preserve">29</w:t>
              </w:r>
            </w:hyperlink>
            <w:r>
              <w:t xml:space="preserve">,</w:t>
            </w:r>
            <w:hyperlink w:anchor="ref-gardner_benchmarking_2024">
              <w:r>
                <w:rPr>
                  <w:rStyle w:val="af"/>
                </w:rPr>
                <w:t xml:space="preserve">30</w:t>
              </w:r>
            </w:hyperlink>
            <w:r>
              <w:t xml:space="preserve">,</w:t>
            </w:r>
            <w:hyperlink w:anchor="ref-kolesnikov_wild-tab_2023">
              <w:r>
                <w:rPr>
                  <w:rStyle w:val="af"/>
                </w:rPr>
                <w:t xml:space="preserve">57</w:t>
              </w:r>
            </w:hyperlink>
            <w:r>
              <w:t xml:space="preserve">,</w:t>
            </w:r>
            <w:hyperlink w:anchor="ref-gardner_tableshift_nodate">
              <w:r>
                <w:rPr>
                  <w:rStyle w:val="af"/>
                </w:rPr>
                <w:t xml:space="preserve">70</w:t>
              </w:r>
            </w:hyperlink>
            <w:r>
              <w:t xml:space="preserve">]</w:t>
            </w:r>
          </w:p>
        </w:tc>
        <w:tc>
          <w:tcPr/>
          <w:p>
            <w:pPr>
              <w:pStyle w:val="Compact"/>
              <w:jc w:val="left"/>
            </w:pPr>
            <w:r>
              <w:t xml:space="preserve">Many domain-generalization objectives (e.g., GroupDRO, IRM, VREx) rarely beat strong ERM or GBDT baselines; benchmarks show label shift and calibration drift dominate what feature matching can fix </w:t>
            </w:r>
            <w:r>
              <w:t xml:space="preserve">[</w:t>
            </w:r>
            <w:hyperlink w:anchor="ref-gardner_benchmarking_2024">
              <w:r>
                <w:rPr>
                  <w:rStyle w:val="af"/>
                </w:rPr>
                <w:t xml:space="preserve">30</w:t>
              </w:r>
            </w:hyperlink>
            <w:r>
              <w:t xml:space="preserve">,</w:t>
            </w:r>
            <w:hyperlink w:anchor="X4f9f0e8a6fc6d4d5516fc073f21d764bfed9221">
              <w:r>
                <w:rPr>
                  <w:rStyle w:val="af"/>
                </w:rPr>
                <w:t xml:space="preserve">69</w:t>
              </w:r>
            </w:hyperlink>
            <w:r>
              <w:t xml:space="preserve">]</w:t>
            </w:r>
          </w:p>
        </w:tc>
      </w:tr>
      <w:tr>
        <w:tc>
          <w:tcPr/>
          <w:p>
            <w:pPr>
              <w:pStyle w:val="Compact"/>
              <w:jc w:val="left"/>
            </w:pPr>
            <w:r>
              <w:t xml:space="preserve">Federated and federated-DA frameworks (FL, FedFusion-style)</w:t>
            </w:r>
          </w:p>
        </w:tc>
        <w:tc>
          <w:tcPr/>
          <w:p>
            <w:pPr>
              <w:pStyle w:val="Compact"/>
              <w:jc w:val="left"/>
            </w:pPr>
            <w:r>
              <w:t xml:space="preserve">Imaging, tabular</w:t>
            </w:r>
          </w:p>
        </w:tc>
        <w:tc>
          <w:tcPr/>
          <w:p>
            <w:pPr>
              <w:pStyle w:val="Compact"/>
              <w:jc w:val="left"/>
            </w:pPr>
            <w:r>
              <w:t xml:space="preserve">Multiple compute-capable hospitals; communication budget; typically some local labels and shared model architecture </w:t>
            </w:r>
            <w:r>
              <w:t xml:space="preserve">[</w:t>
            </w:r>
            <w:hyperlink w:anchor="ref-rehman_federated_2023">
              <w:r>
                <w:rPr>
                  <w:rStyle w:val="af"/>
                </w:rPr>
                <w:t xml:space="preserve">72</w:t>
              </w:r>
            </w:hyperlink>
            <w:r>
              <w:t xml:space="preserve">–</w:t>
            </w:r>
            <w:hyperlink w:anchor="ref-kahenga_fedfusion_2025">
              <w:r>
                <w:rPr>
                  <w:rStyle w:val="af"/>
                </w:rPr>
                <w:t xml:space="preserve">74</w:t>
              </w:r>
            </w:hyperlink>
            <w:r>
              <w:t xml:space="preserve">]</w:t>
            </w:r>
          </w:p>
        </w:tc>
        <w:tc>
          <w:tcPr/>
          <w:p>
            <w:pPr>
              <w:pStyle w:val="Compact"/>
              <w:jc w:val="left"/>
            </w:pPr>
            <w:r>
              <w:t xml:space="preserve">Preserve data privacy while learning from distributed cohorts; can combine personalization with domain adaptation and label efficiency</w:t>
            </w:r>
          </w:p>
        </w:tc>
        <w:tc>
          <w:tcPr/>
          <w:p>
            <w:pPr>
              <w:pStyle w:val="Compact"/>
              <w:jc w:val="left"/>
            </w:pPr>
            <w:r>
              <w:t xml:space="preserve">Often require significant local computation and labeled target data; focus on large imaging or EHR tasks; do not directly address very small tabular cohorts with feature mismatch and strict label scarcity</w:t>
            </w:r>
          </w:p>
        </w:tc>
      </w:tr>
    </w:tbl>
    <w:bookmarkEnd w:id="20"/>
    <w:p>
      <w:pPr>
        <w:pStyle w:val="a0"/>
      </w:pPr>
      <w:r>
        <w:t xml:space="preserve">Existing EHR-focused methods mostly address temporal drift or site differences in</w:t>
      </w:r>
      <w:r>
        <w:t xml:space="preserve"> </w:t>
      </w:r>
      <w:r>
        <w:t xml:space="preserve">large cohorts, whereas our setting combines small, imbalanced tabular cohorts,</w:t>
      </w:r>
      <w:r>
        <w:t xml:space="preserve"> </w:t>
      </w:r>
      <w:r>
        <w:t xml:space="preserve">heterogeneous feature sets, and unlabeled target hospitals. This gap motivates</w:t>
      </w:r>
      <w:r>
        <w:t xml:space="preserve"> </w:t>
      </w:r>
      <w:r>
        <w:t xml:space="preserve">PANDA’s combination of strong tabular priors, cross-domain feature selection, and</w:t>
      </w:r>
      <w:r>
        <w:t xml:space="preserve"> </w:t>
      </w:r>
      <w:r>
        <w:t xml:space="preserve">lightweight alignment tailored to static risk scores rather than long EHR sequences.</w:t>
      </w:r>
    </w:p>
    <w:bookmarkEnd w:id="21"/>
    <w:bookmarkEnd w:id="22"/>
    <w:bookmarkStart w:id="27" w:name="Xe32056160dae8ca948415d0bcac467e7dc0a8c1"/>
    <w:p>
      <w:pPr>
        <w:pStyle w:val="2"/>
      </w:pPr>
      <w:r>
        <w:t xml:space="preserve">Feature selection and domain-aware stability for small medical cohorts</w:t>
      </w:r>
    </w:p>
    <w:p>
      <w:pPr>
        <w:pStyle w:val="FirstParagraph"/>
      </w:pPr>
      <w:r>
        <w:t xml:space="preserve">High-dimensional yet small-sample tabular cohorts are ubiquitous in medicine: lung</w:t>
      </w:r>
      <w:r>
        <w:t xml:space="preserve"> </w:t>
      </w:r>
      <w:r>
        <w:t xml:space="preserve">screening registries, omics panels, and survey-based risk scores often contain</w:t>
      </w:r>
      <w:r>
        <w:t xml:space="preserve"> </w:t>
      </w:r>
      <w:r>
        <w:t xml:space="preserve">hundreds of variables for only a few hundred or thousand patients. Naïve</w:t>
      </w:r>
      <w:r>
        <w:t xml:space="preserve"> </w:t>
      </w:r>
      <w:r>
        <w:t xml:space="preserve">learning in this regime leads to unstable decision boundaries and non-reproducible</w:t>
      </w:r>
      <w:r>
        <w:t xml:space="preserve"> </w:t>
      </w:r>
      <w:r>
        <w:t xml:space="preserve">feature attributions. Feature selection methods aim to reduce dimensionality,</w:t>
      </w:r>
      <w:r>
        <w:t xml:space="preserve"> </w:t>
      </w:r>
      <w:r>
        <w:t xml:space="preserve">stabilize inference, and focus clinician attention on biomarkers that are both</w:t>
      </w:r>
      <w:r>
        <w:t xml:space="preserve"> </w:t>
      </w:r>
      <w:r>
        <w:t xml:space="preserve">predictive and economical to collect.</w:t>
      </w:r>
    </w:p>
    <w:bookmarkStart w:id="23" w:name="X122f316413d4080cf4376b4f072f75552ca0c67"/>
    <w:p>
      <w:pPr>
        <w:pStyle w:val="3"/>
      </w:pPr>
      <w:r>
        <w:t xml:space="preserve">Small-sample and high-dimensional feature selection</w:t>
      </w:r>
    </w:p>
    <w:p>
      <w:pPr>
        <w:pStyle w:val="FirstParagraph"/>
      </w:pPr>
      <w:r>
        <w:t xml:space="preserve">Classical filter and wrapper methods, such as mutual information ranking or</w:t>
      </w:r>
      <w:r>
        <w:t xml:space="preserve"> </w:t>
      </w:r>
      <w:r>
        <w:t xml:space="preserve">recursive feature elimination with SVMs, laid the groundwork for identifying</w:t>
      </w:r>
      <w:r>
        <w:t xml:space="preserve"> </w:t>
      </w:r>
      <w:r>
        <w:t xml:space="preserve">compact biomarker sets but struggle when features are highly correlated or when</w:t>
      </w:r>
      <w:r>
        <w:t xml:space="preserve"> </w:t>
      </w:r>
      <w:r>
        <w:t xml:space="preserve">class imbalance is severe </w:t>
      </w:r>
      <w:r>
        <w:t xml:space="preserve">[</w:t>
      </w:r>
      <w:hyperlink w:anchor="ref-guyon2002gene">
        <w:r>
          <w:rPr>
            <w:rStyle w:val="af"/>
          </w:rPr>
          <w:t xml:space="preserve">75</w:t>
        </w:r>
      </w:hyperlink>
      <w:r>
        <w:t xml:space="preserve">]</w:t>
      </w:r>
      <w:r>
        <w:t xml:space="preserve">. More recent approaches explicitly</w:t>
      </w:r>
      <w:r>
        <w:t xml:space="preserve"> </w:t>
      </w:r>
      <w:r>
        <w:t xml:space="preserve">target high-dimensional, low-sample-size settings. WPFS-style methods learn</w:t>
      </w:r>
      <w:r>
        <w:t xml:space="preserve"> </w:t>
      </w:r>
      <w:r>
        <w:t xml:space="preserve">feature weights jointly with a classifier, GRACES uses graph convolutions to</w:t>
      </w:r>
      <w:r>
        <w:t xml:space="preserve"> </w:t>
      </w:r>
      <w:r>
        <w:t xml:space="preserve">propagate importance across correlated features, and DeepFS leverages deep networks</w:t>
      </w:r>
      <w:r>
        <w:t xml:space="preserve"> </w:t>
      </w:r>
      <w:r>
        <w:t xml:space="preserve">to screen features via nonlinear embeddings </w:t>
      </w:r>
      <w:r>
        <w:t xml:space="preserve">[</w:t>
      </w:r>
      <w:hyperlink w:anchor="ref-chen2023graces">
        <w:r>
          <w:rPr>
            <w:rStyle w:val="af"/>
          </w:rPr>
          <w:t xml:space="preserve">76</w:t>
        </w:r>
      </w:hyperlink>
      <w:r>
        <w:t xml:space="preserve">–</w:t>
      </w:r>
      <w:hyperlink w:anchor="ref-li2023deep">
        <w:r>
          <w:rPr>
            <w:rStyle w:val="af"/>
          </w:rPr>
          <w:t xml:space="preserve">78</w:t>
        </w:r>
      </w:hyperlink>
      <w:r>
        <w:t xml:space="preserve">]</w:t>
      </w:r>
      <w:r>
        <w:t xml:space="preserve">. These techniques are attractive for medical AI because they can</w:t>
      </w:r>
      <w:r>
        <w:t xml:space="preserve"> </w:t>
      </w:r>
      <w:r>
        <w:t xml:space="preserve">down-select from hundreds of candidate variables to a dozen stable predictors while</w:t>
      </w:r>
      <w:r>
        <w:t xml:space="preserve"> </w:t>
      </w:r>
      <w:r>
        <w:t xml:space="preserve">controlling overfitting. Empirical studies on omics and imaging-genomics datasets</w:t>
      </w:r>
      <w:r>
        <w:t xml:space="preserve"> </w:t>
      </w:r>
      <w:r>
        <w:t xml:space="preserve">show that such methods can maintain or even improve AUC while halving the number of</w:t>
      </w:r>
      <w:r>
        <w:t xml:space="preserve"> </w:t>
      </w:r>
      <w:r>
        <w:t xml:space="preserve">features, directly reducing assay costs and simplifying model interpretation.</w:t>
      </w:r>
      <w:r>
        <w:t xml:space="preserve"> </w:t>
      </w:r>
      <w:r>
        <w:t xml:space="preserve">However, most of these works assume a single training domain: the selected subset</w:t>
      </w:r>
      <w:r>
        <w:t xml:space="preserve"> </w:t>
      </w:r>
      <w:r>
        <w:t xml:space="preserve">is optimized for internal performance and may not transfer when another hospital</w:t>
      </w:r>
      <w:r>
        <w:t xml:space="preserve"> </w:t>
      </w:r>
      <w:r>
        <w:t xml:space="preserve">measures a slightly different panel or when missingness patterns change.</w:t>
      </w:r>
      <w:r>
        <w:t xml:space="preserve"> </w:t>
      </w:r>
      <w:r>
        <w:t xml:space="preserve">From a methodological standpoint, this marks a shift from classical LASSO or</w:t>
      </w:r>
      <w:r>
        <w:t xml:space="preserve"> </w:t>
      </w:r>
      <w:r>
        <w:t xml:space="preserve">univariate ranking—which rely on linear or marginal-effect assumptions and can be</w:t>
      </w:r>
      <w:r>
        <w:t xml:space="preserve"> </w:t>
      </w:r>
      <w:r>
        <w:t xml:space="preserve">highly unstable in small cohorts—to architectures that explicitly model complex</w:t>
      </w:r>
      <w:r>
        <w:t xml:space="preserve"> </w:t>
      </w:r>
      <w:r>
        <w:t xml:space="preserve">feature interactions and redundancy. WPFS and GRACES, for example, introduce</w:t>
      </w:r>
      <w:r>
        <w:t xml:space="preserve"> </w:t>
      </w:r>
      <w:r>
        <w:t xml:space="preserve">auxiliary networks or graph structures to propagate importance across correlated</w:t>
      </w:r>
      <w:r>
        <w:t xml:space="preserve"> </w:t>
      </w:r>
      <w:r>
        <w:t xml:space="preserve">features, while DeepFS leverages deep encoders to identify nonlinear manifolds</w:t>
      </w:r>
      <w:r>
        <w:t xml:space="preserve"> </w:t>
      </w:r>
      <w:r>
        <w:t xml:space="preserve">where only a subset of variables drive variation </w:t>
      </w:r>
      <w:r>
        <w:t xml:space="preserve">[</w:t>
      </w:r>
      <w:hyperlink w:anchor="ref-chen2023graces">
        <w:r>
          <w:rPr>
            <w:rStyle w:val="af"/>
          </w:rPr>
          <w:t xml:space="preserve">76</w:t>
        </w:r>
      </w:hyperlink>
      <w:r>
        <w:t xml:space="preserve">–</w:t>
      </w:r>
      <w:hyperlink w:anchor="ref-li2023deep">
        <w:r>
          <w:rPr>
            <w:rStyle w:val="af"/>
          </w:rPr>
          <w:t xml:space="preserve">78</w:t>
        </w:r>
      </w:hyperlink>
      <w:r>
        <w:t xml:space="preserve">]</w:t>
      </w:r>
      <w:r>
        <w:t xml:space="preserve">. These designs are particularly appealing in high-dimensional, sparse</w:t>
      </w:r>
      <w:r>
        <w:t xml:space="preserve"> </w:t>
      </w:r>
      <w:r>
        <w:t xml:space="preserve">medical settings (omics panels, questionnaire data), but they still optimize for</w:t>
      </w:r>
      <w:r>
        <w:t xml:space="preserve"> </w:t>
      </w:r>
      <w:r>
        <w:t xml:space="preserve">one domain at a time and do not ensure that the chosen biomarkers remain predictive</w:t>
      </w:r>
      <w:r>
        <w:t xml:space="preserve"> </w:t>
      </w:r>
      <w:r>
        <w:t xml:space="preserve">under cross-hospital shift.</w:t>
      </w:r>
    </w:p>
    <w:bookmarkEnd w:id="23"/>
    <w:bookmarkStart w:id="24" w:name="X9a3f330298be89dfaef5700f7cf1e72f5479700"/>
    <w:p>
      <w:pPr>
        <w:pStyle w:val="3"/>
      </w:pPr>
      <w:r>
        <w:t xml:space="preserve">Feature selection with transformers and foundation models</w:t>
      </w:r>
    </w:p>
    <w:p>
      <w:pPr>
        <w:pStyle w:val="FirstParagraph"/>
      </w:pPr>
      <w:r>
        <w:t xml:space="preserve">Attention-based models provide an alternative route to feature selection by</w:t>
      </w:r>
      <w:r>
        <w:t xml:space="preserve"> </w:t>
      </w:r>
      <w:r>
        <w:t xml:space="preserve">interpreting attention weights, learned masks, or perturbation scores as measures of</w:t>
      </w:r>
      <w:r>
        <w:t xml:space="preserve"> </w:t>
      </w:r>
      <w:r>
        <w:t xml:space="preserve">importance. TabNet learns sparse feature masks that indicate which variables are</w:t>
      </w:r>
      <w:r>
        <w:t xml:space="preserve"> </w:t>
      </w:r>
      <w:r>
        <w:t xml:space="preserve">consulted at each decision step, while transformer-based architectures expose</w:t>
      </w:r>
      <w:r>
        <w:t xml:space="preserve"> </w:t>
      </w:r>
      <w:r>
        <w:t xml:space="preserve">token-level attention maps that can be aggregated across layers and heads </w:t>
      </w:r>
      <w:r>
        <w:t xml:space="preserve">[</w:t>
      </w:r>
      <w:hyperlink w:anchor="ref-arik2021tabnet">
        <w:r>
          <w:rPr>
            <w:rStyle w:val="af"/>
          </w:rPr>
          <w:t xml:space="preserve">10</w:t>
        </w:r>
      </w:hyperlink>
      <w:r>
        <w:t xml:space="preserve">–</w:t>
      </w:r>
      <w:hyperlink w:anchor="ref-somepalli2021saint">
        <w:r>
          <w:rPr>
            <w:rStyle w:val="af"/>
          </w:rPr>
          <w:t xml:space="preserve">12</w:t>
        </w:r>
      </w:hyperlink>
      <w:r>
        <w:t xml:space="preserve">,</w:t>
      </w:r>
      <w:hyperlink w:anchor="ref-somvanshi2024survey">
        <w:r>
          <w:rPr>
            <w:rStyle w:val="af"/>
          </w:rPr>
          <w:t xml:space="preserve">46</w:t>
        </w:r>
      </w:hyperlink>
      <w:r>
        <w:t xml:space="preserve">]</w:t>
      </w:r>
      <w:r>
        <w:t xml:space="preserve">. In practice,</w:t>
      </w:r>
      <w:r>
        <w:t xml:space="preserve"> </w:t>
      </w:r>
      <w:r>
        <w:t xml:space="preserve">researchers often perform permutation-based importance estimation using a strong</w:t>
      </w:r>
      <w:r>
        <w:t xml:space="preserve"> </w:t>
      </w:r>
      <w:r>
        <w:t xml:space="preserve">tabular backbone—GBDT or TabPFN—and then apply RFE-style pruning, retaining the</w:t>
      </w:r>
      <w:r>
        <w:t xml:space="preserve"> </w:t>
      </w:r>
      <w:r>
        <w:t xml:space="preserve">top-k features that consistently contribute to performance. This paradigm is</w:t>
      </w:r>
      <w:r>
        <w:t xml:space="preserve"> </w:t>
      </w:r>
      <w:r>
        <w:t xml:space="preserve">well-suited to small medical cohorts because it leverages the inductive biases of</w:t>
      </w:r>
      <w:r>
        <w:t xml:space="preserve"> </w:t>
      </w:r>
      <w:r>
        <w:t xml:space="preserve">powerful models while regularizing the input space. For foundation models such as</w:t>
      </w:r>
      <w:r>
        <w:t xml:space="preserve"> </w:t>
      </w:r>
      <w:r>
        <w:t xml:space="preserve">TabPFN, feature selection also mitigates closed-world constraints: by removing</w:t>
      </w:r>
      <w:r>
        <w:t xml:space="preserve"> </w:t>
      </w:r>
      <w:r>
        <w:t xml:space="preserve">unstable or site-specific variables, one can reduce the chance that attention</w:t>
      </w:r>
      <w:r>
        <w:t xml:space="preserve"> </w:t>
      </w:r>
      <w:r>
        <w:t xml:space="preserve">focuses on hospital identifiers or acquisition artifacts rather than pathology.</w:t>
      </w:r>
    </w:p>
    <w:bookmarkEnd w:id="24"/>
    <w:bookmarkStart w:id="26" w:name="X379d715db7ab7121e77a70a1f09573b2eec24ff"/>
    <w:p>
      <w:pPr>
        <w:pStyle w:val="3"/>
      </w:pPr>
      <w:r>
        <w:t xml:space="preserve">Domain-aware and cross-site feature selection</w:t>
      </w:r>
    </w:p>
    <w:p>
      <w:pPr>
        <w:pStyle w:val="FirstParagraph"/>
      </w:pPr>
      <w:r>
        <w:t xml:space="preserve">Standard feature selection treats all samples as exchangeable, implicitly assuming</w:t>
      </w:r>
      <w:r>
        <w:t xml:space="preserve"> </w:t>
      </w:r>
      <w:r>
        <w:t xml:space="preserve">that feature-importance rankings are identical across domains. Domain-aware methods</w:t>
      </w:r>
      <w:r>
        <w:t xml:space="preserve"> </w:t>
      </w:r>
      <w:r>
        <w:t xml:space="preserve">instead optimize a subset that is simultaneously predictive in multiple hospitals</w:t>
      </w:r>
      <w:r>
        <w:t xml:space="preserve"> </w:t>
      </w:r>
      <w:r>
        <w:t xml:space="preserve">or under multiple sampling schemes. FSDA and related frameworks extend DA</w:t>
      </w:r>
      <w:r>
        <w:t xml:space="preserve"> </w:t>
      </w:r>
      <w:r>
        <w:t xml:space="preserve">objectives with feature-level penalties, rewarding variables whose contributions</w:t>
      </w:r>
      <w:r>
        <w:t xml:space="preserve"> </w:t>
      </w:r>
      <w:r>
        <w:t xml:space="preserve">remain stable after alignment </w:t>
      </w:r>
      <w:r>
        <w:t xml:space="preserve">[</w:t>
      </w:r>
      <w:hyperlink w:anchor="ref-sun2019informative">
        <w:r>
          <w:rPr>
            <w:rStyle w:val="af"/>
          </w:rPr>
          <w:t xml:space="preserve">32</w:t>
        </w:r>
      </w:hyperlink>
      <w:r>
        <w:t xml:space="preserve">,</w:t>
      </w:r>
      <w:hyperlink w:anchor="ref-luo2021fsda">
        <w:r>
          <w:rPr>
            <w:rStyle w:val="af"/>
          </w:rPr>
          <w:t xml:space="preserve">62</w:t>
        </w:r>
      </w:hyperlink>
      <w:r>
        <w:t xml:space="preserve">]</w:t>
      </w:r>
      <w:r>
        <w:t xml:space="preserve">. Multi-site</w:t>
      </w:r>
      <w:r>
        <w:t xml:space="preserve"> </w:t>
      </w:r>
      <w:r>
        <w:t xml:space="preserve">studies on EHR and imaging data show that such cross-domain criteria can discard</w:t>
      </w:r>
      <w:r>
        <w:t xml:space="preserve"> </w:t>
      </w:r>
      <w:r>
        <w:t xml:space="preserve">site-specific surrogates (e.g., local procedure codes) while preserving clinically</w:t>
      </w:r>
      <w:r>
        <w:t xml:space="preserve"> </w:t>
      </w:r>
      <w:r>
        <w:t xml:space="preserve">meaningful biomarkers. PANDA adopts this philosophy in a pragmatic way: TabPFN is</w:t>
      </w:r>
      <w:r>
        <w:t xml:space="preserve"> </w:t>
      </w:r>
      <w:r>
        <w:t xml:space="preserve">used as a strong scoring model, but feature elimination is guided jointly by</w:t>
      </w:r>
      <w:r>
        <w:t xml:space="preserve"> </w:t>
      </w:r>
      <w:r>
        <w:t xml:space="preserve">source-site performance and cross-site stability, leading to a compact</w:t>
      </w:r>
      <w:r>
        <w:t xml:space="preserve"> </w:t>
      </w:r>
      <w:r>
        <w:t xml:space="preserve">“best8”</w:t>
      </w:r>
      <w:r>
        <w:t xml:space="preserve"> </w:t>
      </w:r>
      <w:r>
        <w:t xml:space="preserve">subset that is consistently informative in both hospitals. These</w:t>
      </w:r>
      <w:r>
        <w:t xml:space="preserve"> </w:t>
      </w:r>
      <w:r>
        <w:t xml:space="preserve">domain-aware subsets provide low-dimensional, harmonized inputs to TCA, reducing</w:t>
      </w:r>
      <w:r>
        <w:t xml:space="preserve"> </w:t>
      </w:r>
      <w:r>
        <w:t xml:space="preserve">the risk of negative transfer and making the subsequent alignment problem better</w:t>
      </w:r>
      <w:r>
        <w:t xml:space="preserve"> </w:t>
      </w:r>
      <w:r>
        <w:t xml:space="preserve">posed.</w:t>
      </w:r>
      <w:r>
        <w:t xml:space="preserve"> </w:t>
      </w:r>
      <w:r>
        <w:t xml:space="preserve">Viewed through this lens, feature selection becomes a form of implicit domain</w:t>
      </w:r>
      <w:r>
        <w:t xml:space="preserve"> </w:t>
      </w:r>
      <w:r>
        <w:t xml:space="preserve">alignment: instead of matching full distributions in a high-dimensional space, one</w:t>
      </w:r>
      <w:r>
        <w:t xml:space="preserve"> </w:t>
      </w:r>
      <w:r>
        <w:t xml:space="preserve">first discards variables whose predictive contribution is strongly domain-specific</w:t>
      </w:r>
      <w:r>
        <w:t xml:space="preserve"> </w:t>
      </w:r>
      <w:r>
        <w:t xml:space="preserve">and focuses on biomarkers that are consistently informative across sites. This is</w:t>
      </w:r>
      <w:r>
        <w:t xml:space="preserve"> </w:t>
      </w:r>
      <w:r>
        <w:t xml:space="preserve">particularly valuable when hospitals measure different panels or exhibit pronounced</w:t>
      </w:r>
      <w:r>
        <w:t xml:space="preserve"> </w:t>
      </w:r>
      <w:r>
        <w:t xml:space="preserve">missingness shift, because aligning on a smaller, shared subset of stable features</w:t>
      </w:r>
      <w:r>
        <w:t xml:space="preserve"> </w:t>
      </w:r>
      <w:r>
        <w:t xml:space="preserve">is both statistically and operationally simpler. PANDA effectively instantiates</w:t>
      </w:r>
      <w:r>
        <w:t xml:space="preserve"> </w:t>
      </w:r>
      <w:r>
        <w:t xml:space="preserve">this principle by using a pre-trained tabular foundation model to rank features</w:t>
      </w:r>
      <w:r>
        <w:t xml:space="preserve"> </w:t>
      </w:r>
      <w:r>
        <w:t xml:space="preserve">jointly across two hospitals and retaining only those with robust importance,</w:t>
      </w:r>
      <w:r>
        <w:t xml:space="preserve"> </w:t>
      </w:r>
      <w:r>
        <w:t xml:space="preserve">thereby coupling representation learning with domain-aware feature governance.</w:t>
      </w:r>
    </w:p>
    <w:bookmarkStart w:id="25" w:name="tbl:fs_methods"/>
    <w:p>
      <w:pPr>
        <w:pStyle w:val="TableCaption"/>
      </w:pPr>
      <w:r>
        <w:t xml:space="preserve">Table 3: Representative feature selection methods for small, imbalanced, high-dimensional biomedical tabular data.</w:t>
      </w:r>
    </w:p>
    <w:tbl>
      <w:tblPr>
        <w:tblStyle w:val="Table"/>
        <w:tblW w:type="auto" w:w="0"/>
        <w:tblLook w:firstRow="1" w:lastRow="0" w:firstColumn="0" w:lastColumn="0" w:noHBand="0" w:noVBand="0" w:val="0020"/>
        <w:tblCaption w:val="Table 3: Representative feature selection methods for small, imbalanced, high-dimensional biomedical tabular data."/>
      </w:tblPr>
      <w:tblGrid>
        <w:gridCol w:w="1584"/>
        <w:gridCol w:w="1584"/>
        <w:gridCol w:w="1584"/>
        <w:gridCol w:w="1584"/>
        <w:gridCol w:w="1584"/>
      </w:tblGrid>
      <w:tr>
        <w:trPr>
          <w:tblHeader w:val="on"/>
        </w:trPr>
        <w:tc>
          <w:tcPr/>
          <w:p>
            <w:pPr>
              <w:pStyle w:val="Compact"/>
              <w:jc w:val="left"/>
            </w:pPr>
            <w:r>
              <w:rPr>
                <w:b/>
                <w:bCs/>
              </w:rPr>
              <w:t xml:space="preserve">Method</w:t>
            </w:r>
          </w:p>
        </w:tc>
        <w:tc>
          <w:tcPr/>
          <w:p>
            <w:pPr>
              <w:pStyle w:val="Compact"/>
              <w:jc w:val="left"/>
            </w:pPr>
            <w:r>
              <w:rPr>
                <w:b/>
                <w:bCs/>
              </w:rPr>
              <w:t xml:space="preserve">Model family</w:t>
            </w:r>
          </w:p>
        </w:tc>
        <w:tc>
          <w:tcPr/>
          <w:p>
            <w:pPr>
              <w:pStyle w:val="Compact"/>
              <w:jc w:val="left"/>
            </w:pPr>
            <w:r>
              <w:rPr>
                <w:b/>
                <w:bCs/>
              </w:rPr>
              <w:t xml:space="preserve">Small-sample / imbalance handling</w:t>
            </w:r>
          </w:p>
        </w:tc>
        <w:tc>
          <w:tcPr/>
          <w:p>
            <w:pPr>
              <w:pStyle w:val="Compact"/>
              <w:jc w:val="left"/>
            </w:pPr>
            <w:r>
              <w:rPr>
                <w:b/>
                <w:bCs/>
              </w:rPr>
              <w:t xml:space="preserve">Interpretability characteristics</w:t>
            </w:r>
          </w:p>
        </w:tc>
        <w:tc>
          <w:tcPr/>
          <w:p>
            <w:pPr>
              <w:pStyle w:val="Compact"/>
              <w:jc w:val="left"/>
            </w:pPr>
            <w:r>
              <w:rPr>
                <w:b/>
                <w:bCs/>
              </w:rPr>
              <w:t xml:space="preserve">Representative biomedical use cases</w:t>
            </w:r>
          </w:p>
        </w:tc>
      </w:tr>
      <w:tr>
        <w:tc>
          <w:tcPr/>
          <w:p>
            <w:pPr>
              <w:pStyle w:val="Compact"/>
              <w:jc w:val="left"/>
            </w:pPr>
            <w:r>
              <w:t xml:space="preserve">Recursive feature elimination (RFE) with linear or tree models</w:t>
            </w:r>
          </w:p>
        </w:tc>
        <w:tc>
          <w:tcPr/>
          <w:p>
            <w:pPr>
              <w:pStyle w:val="Compact"/>
              <w:jc w:val="left"/>
            </w:pPr>
            <w:r>
              <w:t xml:space="preserve">Wrapper around SVM, logistic regression, or tree ensembles</w:t>
            </w:r>
          </w:p>
        </w:tc>
        <w:tc>
          <w:tcPr/>
          <w:p>
            <w:pPr>
              <w:pStyle w:val="Compact"/>
              <w:jc w:val="left"/>
            </w:pPr>
            <w:r>
              <w:t xml:space="preserve">Wrapper search over feature subsets can overfit when</w:t>
            </w:r>
            <w:r>
              <w:t xml:space="preserve"> </w:t>
            </w:r>
            <m:oMath>
              <m:r>
                <m:t>N</m:t>
              </m:r>
            </m:oMath>
            <w:r>
              <w:t xml:space="preserve"> </w:t>
            </w:r>
            <w:r>
              <w:t xml:space="preserve">is small and features are correlated; often combined with cross-validation and class-balanced sampling</w:t>
            </w:r>
          </w:p>
        </w:tc>
        <w:tc>
          <w:tcPr/>
          <w:p>
            <w:pPr>
              <w:pStyle w:val="Compact"/>
              <w:jc w:val="left"/>
            </w:pPr>
            <w:r>
              <w:t xml:space="preserve">Produces explicit ranked feature lists and compact subsets; easy to inspect and map to clinical variables </w:t>
            </w:r>
            <w:r>
              <w:t xml:space="preserve">[</w:t>
            </w:r>
            <w:hyperlink w:anchor="ref-guyon2002gene">
              <w:r>
                <w:rPr>
                  <w:rStyle w:val="af"/>
                </w:rPr>
                <w:t xml:space="preserve">75</w:t>
              </w:r>
            </w:hyperlink>
            <w:r>
              <w:t xml:space="preserve">]</w:t>
            </w:r>
          </w:p>
        </w:tc>
        <w:tc>
          <w:tcPr/>
          <w:p>
            <w:pPr>
              <w:pStyle w:val="Compact"/>
              <w:jc w:val="left"/>
            </w:pPr>
            <w:r>
              <w:t xml:space="preserve">Widely used in early gene-expression and biomarker panels; basis for many clinical risk-score and radiomics pipelines</w:t>
            </w:r>
          </w:p>
        </w:tc>
      </w:tr>
      <w:tr>
        <w:tc>
          <w:tcPr/>
          <w:p>
            <w:pPr>
              <w:pStyle w:val="Compact"/>
              <w:jc w:val="left"/>
            </w:pPr>
            <w:r>
              <w:t xml:space="preserve">LASSO / elastic-net logistic regression</w:t>
            </w:r>
          </w:p>
        </w:tc>
        <w:tc>
          <w:tcPr/>
          <w:p>
            <w:pPr>
              <w:pStyle w:val="Compact"/>
              <w:jc w:val="left"/>
            </w:pPr>
            <w:r>
              <w:t xml:space="preserve">Embedded linear models</w:t>
            </w:r>
          </w:p>
        </w:tc>
        <w:tc>
          <w:tcPr/>
          <w:p>
            <w:pPr>
              <w:pStyle w:val="Compact"/>
              <w:jc w:val="left"/>
            </w:pPr>
            <m:oMath>
              <m:sSub>
                <m:e>
                  <m:r>
                    <m:t>ℓ</m:t>
                  </m:r>
                </m:e>
                <m:sub>
                  <m:r>
                    <m:t>1</m:t>
                  </m:r>
                </m:sub>
              </m:sSub>
            </m:oMath>
            <w:r>
              <w:t xml:space="preserve"> </w:t>
            </w:r>
            <w:r>
              <w:t xml:space="preserve">or</w:t>
            </w:r>
            <w:r>
              <w:t xml:space="preserve"> </w:t>
            </w:r>
            <m:oMath>
              <m:sSub>
                <m:e>
                  <m:r>
                    <m:t>ℓ</m:t>
                  </m:r>
                </m:e>
                <m:sub>
                  <m:r>
                    <m:t>1</m:t>
                  </m:r>
                </m:sub>
              </m:sSub>
              <m:r>
                <m:rPr>
                  <m:sty m:val="p"/>
                </m:rPr>
                <m:t>+</m:t>
              </m:r>
              <m:sSub>
                <m:e>
                  <m:r>
                    <m:t>ℓ</m:t>
                  </m:r>
                </m:e>
                <m:sub>
                  <m:r>
                    <m:t>2</m:t>
                  </m:r>
                </m:sub>
              </m:sSub>
            </m:oMath>
            <w:r>
              <w:t xml:space="preserve"> </w:t>
            </w:r>
            <w:r>
              <w:t xml:space="preserve">penalties shrink coefficients, providing some robustness to high dimensionality; still assumes linear log-odds and can be unstable under heavy collinearity</w:t>
            </w:r>
          </w:p>
        </w:tc>
        <w:tc>
          <w:tcPr/>
          <w:p>
            <w:pPr>
              <w:pStyle w:val="Compact"/>
              <w:jc w:val="left"/>
            </w:pPr>
            <w:r>
              <w:t xml:space="preserve">Sparse coefficients directly indicate selected features; compatible with odds-ratio interpretation familiar to clinicians </w:t>
            </w:r>
            <w:r>
              <w:t xml:space="preserve">[</w:t>
            </w:r>
            <w:hyperlink w:anchor="ref-tibshirani1996regression">
              <w:r>
                <w:rPr>
                  <w:rStyle w:val="af"/>
                </w:rPr>
                <w:t xml:space="preserve">79</w:t>
              </w:r>
            </w:hyperlink>
            <w:r>
              <w:t xml:space="preserve">]</w:t>
            </w:r>
          </w:p>
        </w:tc>
        <w:tc>
          <w:tcPr/>
          <w:p>
            <w:pPr>
              <w:pStyle w:val="Compact"/>
              <w:jc w:val="left"/>
            </w:pPr>
            <w:r>
              <w:t xml:space="preserve">Common in radiomics and EHR risk models where interpretability and coefficient-based reporting are required</w:t>
            </w:r>
          </w:p>
        </w:tc>
      </w:tr>
      <w:tr>
        <w:tc>
          <w:tcPr/>
          <w:p>
            <w:pPr>
              <w:pStyle w:val="Compact"/>
              <w:jc w:val="left"/>
            </w:pPr>
            <w:r>
              <w:t xml:space="preserve">GRACES</w:t>
            </w:r>
          </w:p>
        </w:tc>
        <w:tc>
          <w:tcPr/>
          <w:p>
            <w:pPr>
              <w:pStyle w:val="Compact"/>
              <w:jc w:val="left"/>
            </w:pPr>
            <w:r>
              <w:t xml:space="preserve">Graph-convolutional-network-based FS </w:t>
            </w:r>
            <w:r>
              <w:t xml:space="preserve">[</w:t>
            </w:r>
            <w:hyperlink w:anchor="ref-chen2023graces">
              <w:r>
                <w:rPr>
                  <w:rStyle w:val="af"/>
                </w:rPr>
                <w:t xml:space="preserve">76</w:t>
              </w:r>
            </w:hyperlink>
            <w:r>
              <w:t xml:space="preserve">]</w:t>
            </w:r>
          </w:p>
        </w:tc>
        <w:tc>
          <w:tcPr/>
          <w:p>
            <w:pPr>
              <w:pStyle w:val="Compact"/>
              <w:jc w:val="left"/>
            </w:pPr>
            <w:r>
              <w:t xml:space="preserve">Specifically targets high-dimensional, low-sample-size data by modeling feature relations on a graph; alleviates overfitting compared with independent filters</w:t>
            </w:r>
          </w:p>
        </w:tc>
        <w:tc>
          <w:tcPr/>
          <w:p>
            <w:pPr>
              <w:pStyle w:val="Compact"/>
              <w:jc w:val="left"/>
            </w:pPr>
            <w:r>
              <w:t xml:space="preserve">Outputs a compact subset informed by graph structure; can be visualized as a network of interacting biomarkers</w:t>
            </w:r>
          </w:p>
        </w:tc>
        <w:tc>
          <w:tcPr/>
          <w:p>
            <w:pPr>
              <w:pStyle w:val="Compact"/>
              <w:jc w:val="left"/>
            </w:pPr>
            <w:r>
              <w:t xml:space="preserve">Demonstrated on omics-style datasets; suitable when prior knowledge or correlations between biomarkers are important</w:t>
            </w:r>
          </w:p>
        </w:tc>
      </w:tr>
      <w:tr>
        <w:tc>
          <w:tcPr/>
          <w:p>
            <w:pPr>
              <w:pStyle w:val="Compact"/>
              <w:jc w:val="left"/>
            </w:pPr>
            <w:r>
              <w:t xml:space="preserve">DeepFS</w:t>
            </w:r>
          </w:p>
        </w:tc>
        <w:tc>
          <w:tcPr/>
          <w:p>
            <w:pPr>
              <w:pStyle w:val="Compact"/>
              <w:jc w:val="left"/>
            </w:pPr>
            <w:r>
              <w:t xml:space="preserve">Deep feature screening with autoencoders </w:t>
            </w:r>
            <w:r>
              <w:t xml:space="preserve">[</w:t>
            </w:r>
            <w:hyperlink w:anchor="ref-liu2022deepfs">
              <w:r>
                <w:rPr>
                  <w:rStyle w:val="af"/>
                </w:rPr>
                <w:t xml:space="preserve">77</w:t>
              </w:r>
            </w:hyperlink>
            <w:r>
              <w:t xml:space="preserve">,</w:t>
            </w:r>
            <w:hyperlink w:anchor="ref-li2023deep">
              <w:r>
                <w:rPr>
                  <w:rStyle w:val="af"/>
                </w:rPr>
                <w:t xml:space="preserve">78</w:t>
              </w:r>
            </w:hyperlink>
            <w:r>
              <w:t xml:space="preserve">]</w:t>
            </w:r>
          </w:p>
        </w:tc>
        <w:tc>
          <w:tcPr/>
          <w:p>
            <w:pPr>
              <w:pStyle w:val="Compact"/>
              <w:jc w:val="left"/>
            </w:pPr>
            <w:r>
              <w:t xml:space="preserve">Uses deep encoders to learn low-dimensional representations and rank features, handling ultra-high-dimensional, sparse, and potentially imbalanced data</w:t>
            </w:r>
          </w:p>
        </w:tc>
        <w:tc>
          <w:tcPr/>
          <w:p>
            <w:pPr>
              <w:pStyle w:val="Compact"/>
              <w:jc w:val="left"/>
            </w:pPr>
            <w:r>
              <w:t xml:space="preserve">Provides importance scores for each original feature; retains flexibility to operate in supervised or unsupervised mode</w:t>
            </w:r>
          </w:p>
        </w:tc>
        <w:tc>
          <w:tcPr/>
          <w:p>
            <w:pPr>
              <w:pStyle w:val="Compact"/>
              <w:jc w:val="left"/>
            </w:pPr>
            <w:r>
              <w:t xml:space="preserve">Evaluated on synthetic and biomedical high-dimensional datasets; useful when the number of variables far exceeds the number of patients</w:t>
            </w:r>
          </w:p>
        </w:tc>
      </w:tr>
      <w:tr>
        <w:tc>
          <w:tcPr/>
          <w:p>
            <w:pPr>
              <w:pStyle w:val="Compact"/>
              <w:jc w:val="left"/>
            </w:pPr>
            <w:r>
              <w:t xml:space="preserve">Domain-aware FS (FSDA-style)</w:t>
            </w:r>
          </w:p>
        </w:tc>
        <w:tc>
          <w:tcPr/>
          <w:p>
            <w:pPr>
              <w:pStyle w:val="Compact"/>
              <w:jc w:val="left"/>
            </w:pPr>
            <w:r>
              <w:t xml:space="preserve">Feature selection for domain adaptation </w:t>
            </w:r>
            <w:r>
              <w:t xml:space="preserve">[</w:t>
            </w:r>
            <w:hyperlink w:anchor="ref-luo2021fsda">
              <w:r>
                <w:rPr>
                  <w:rStyle w:val="af"/>
                </w:rPr>
                <w:t xml:space="preserve">62</w:t>
              </w:r>
            </w:hyperlink>
            <w:r>
              <w:t xml:space="preserve">]</w:t>
            </w:r>
          </w:p>
        </w:tc>
        <w:tc>
          <w:tcPr/>
          <w:p>
            <w:pPr>
              <w:pStyle w:val="Compact"/>
              <w:jc w:val="left"/>
            </w:pPr>
            <w:r>
              <w:t xml:space="preserve">Encourages selection of features that remain predictive across domains, implicitly handling covariate shift between sites</w:t>
            </w:r>
          </w:p>
        </w:tc>
        <w:tc>
          <w:tcPr/>
          <w:p>
            <w:pPr>
              <w:pStyle w:val="Compact"/>
              <w:jc w:val="left"/>
            </w:pPr>
            <w:r>
              <w:t xml:space="preserve">Produces subsets that are jointly predictive and domain-stable, supporting cross-hospital deployment</w:t>
            </w:r>
          </w:p>
        </w:tc>
        <w:tc>
          <w:tcPr/>
          <w:p>
            <w:pPr>
              <w:pStyle w:val="Compact"/>
              <w:jc w:val="left"/>
            </w:pPr>
            <w:r>
              <w:t xml:space="preserve">Applied to benchmark DA tasks; conceptually aligned with cross-hospital biomarker selection in multi-center medical studies</w:t>
            </w:r>
          </w:p>
        </w:tc>
      </w:tr>
      <w:tr>
        <w:tc>
          <w:tcPr/>
          <w:p>
            <w:pPr>
              <w:pStyle w:val="Compact"/>
              <w:jc w:val="left"/>
            </w:pPr>
            <w:r>
              <w:t xml:space="preserve">Transformer / foundation-model-based FS</w:t>
            </w:r>
          </w:p>
        </w:tc>
        <w:tc>
          <w:tcPr/>
          <w:p>
            <w:pPr>
              <w:pStyle w:val="Compact"/>
              <w:jc w:val="left"/>
            </w:pPr>
            <w:r>
              <w:t xml:space="preserve">Attention- or score-based selection using TabNet, TabTransformer, and tabular foundation models </w:t>
            </w:r>
            <w:r>
              <w:t xml:space="preserve">[</w:t>
            </w:r>
            <w:hyperlink w:anchor="ref-arik2021tabnet">
              <w:r>
                <w:rPr>
                  <w:rStyle w:val="af"/>
                </w:rPr>
                <w:t xml:space="preserve">10</w:t>
              </w:r>
            </w:hyperlink>
            <w:r>
              <w:t xml:space="preserve">,</w:t>
            </w:r>
            <w:hyperlink w:anchor="ref-huang2020tabtransformer">
              <w:r>
                <w:rPr>
                  <w:rStyle w:val="af"/>
                </w:rPr>
                <w:t xml:space="preserve">11</w:t>
              </w:r>
            </w:hyperlink>
            <w:r>
              <w:t xml:space="preserve">,</w:t>
            </w:r>
            <w:hyperlink w:anchor="ref-somvanshi2024survey">
              <w:r>
                <w:rPr>
                  <w:rStyle w:val="af"/>
                </w:rPr>
                <w:t xml:space="preserve">46</w:t>
              </w:r>
            </w:hyperlink>
            <w:r>
              <w:t xml:space="preserve">]</w:t>
            </w:r>
          </w:p>
        </w:tc>
        <w:tc>
          <w:tcPr/>
          <w:p>
            <w:pPr>
              <w:pStyle w:val="Compact"/>
              <w:jc w:val="left"/>
            </w:pPr>
            <w:r>
              <w:t xml:space="preserve">Leverages high-capacity or pre-trained models to estimate nonlinear feature importance; can be combined with RFE to mitigate small-sample overfitting</w:t>
            </w:r>
          </w:p>
        </w:tc>
        <w:tc>
          <w:tcPr/>
          <w:p>
            <w:pPr>
              <w:pStyle w:val="Compact"/>
              <w:jc w:val="left"/>
            </w:pPr>
            <w:r>
              <w:t xml:space="preserve">Attention weights, feature masks, or permutation-based scores yield ranked features; aligns with explainable-AI practices</w:t>
            </w:r>
          </w:p>
        </w:tc>
        <w:tc>
          <w:tcPr/>
          <w:p>
            <w:pPr>
              <w:pStyle w:val="Compact"/>
              <w:jc w:val="left"/>
            </w:pPr>
            <w:r>
              <w:t xml:space="preserve">Increasingly used in biomedical tabular and omics datasets; PANDA’s cross-cohort RFE uses a tabular foundation model as the scoring backbone</w:t>
            </w:r>
          </w:p>
        </w:tc>
      </w:tr>
    </w:tbl>
    <w:bookmarkEnd w:id="25"/>
    <w:bookmarkEnd w:id="26"/>
    <w:bookmarkEnd w:id="27"/>
    <w:bookmarkStart w:id="34" w:name="X1a07d5bc92b2689a8992d9cd2950aebfc19f35b"/>
    <w:p>
      <w:pPr>
        <w:pStyle w:val="2"/>
      </w:pPr>
      <w:r>
        <w:t xml:space="preserve">Pulmonary nodule malignancy prediction: from clinical scores to multi-modal AI</w:t>
      </w:r>
    </w:p>
    <w:bookmarkStart w:id="29" w:name="clinical-risk-scores-and-logistic-models"/>
    <w:p>
      <w:pPr>
        <w:pStyle w:val="3"/>
      </w:pPr>
      <w:r>
        <w:t xml:space="preserve">Clinical risk scores and logistic models</w:t>
      </w:r>
    </w:p>
    <w:p>
      <w:pPr>
        <w:pStyle w:val="FirstParagraph"/>
      </w:pPr>
      <w:r>
        <w:t xml:space="preserve">Pulmonary nodule malignancy prediction is a canonical testbed for cross-domain</w:t>
      </w:r>
      <w:r>
        <w:t xml:space="preserve"> </w:t>
      </w:r>
      <w:r>
        <w:t xml:space="preserve">robustness. Classical logistic scores—Mayo Clinic, Veterans Affairs, Brock</w:t>
      </w:r>
      <w:r>
        <w:t xml:space="preserve"> </w:t>
      </w:r>
      <w:r>
        <w:t xml:space="preserve">(PanCan), PKUPH, Li, and derivatives—achieve internal AUCs above 0.85 but</w:t>
      </w:r>
      <w:r>
        <w:t xml:space="preserve"> </w:t>
      </w:r>
      <w:r>
        <w:t xml:space="preserve">regularly drop to 0.60–0.80 in external validations, especially in Asian or</w:t>
      </w:r>
      <w:r>
        <w:t xml:space="preserve"> </w:t>
      </w:r>
      <w:r>
        <w:t xml:space="preserve">community-screening cohorts where disease prevalence and case mix differ from the original</w:t>
      </w:r>
      <w:r>
        <w:t xml:space="preserve"> </w:t>
      </w:r>
      <w:r>
        <w:t xml:space="preserve">development populations </w:t>
      </w:r>
      <w:r>
        <w:t xml:space="preserve">[</w:t>
      </w:r>
      <w:hyperlink w:anchor="ref-swensen1997chest">
        <w:r>
          <w:rPr>
            <w:rStyle w:val="af"/>
          </w:rPr>
          <w:t xml:space="preserve">1</w:t>
        </w:r>
      </w:hyperlink>
      <w:r>
        <w:t xml:space="preserve">–</w:t>
      </w:r>
      <w:hyperlink w:anchor="ref-garau_external_2020">
        <w:r>
          <w:rPr>
            <w:rStyle w:val="af"/>
          </w:rPr>
          <w:t xml:space="preserve">7</w:t>
        </w:r>
      </w:hyperlink>
      <w:r>
        <w:t xml:space="preserve">,</w:t>
      </w:r>
      <w:hyperlink w:anchor="ref-swensen1997archives">
        <w:r>
          <w:rPr>
            <w:rStyle w:val="af"/>
          </w:rPr>
          <w:t xml:space="preserve">80</w:t>
        </w:r>
      </w:hyperlink>
      <w:r>
        <w:t xml:space="preserve">]</w:t>
      </w:r>
      <w:r>
        <w:t xml:space="preserve">. These scores typically combine age, smoking history,</w:t>
      </w:r>
      <w:r>
        <w:t xml:space="preserve"> </w:t>
      </w:r>
      <w:r>
        <w:t xml:space="preserve">nodule size, location, and morphology into a logit-based risk function. Meta-analyses</w:t>
      </w:r>
      <w:r>
        <w:t xml:space="preserve"> </w:t>
      </w:r>
      <w:r>
        <w:t xml:space="preserve">covering tens of thousands of nodules confirm that calibration deteriorates most</w:t>
      </w:r>
      <w:r>
        <w:t xml:space="preserve"> </w:t>
      </w:r>
      <w:r>
        <w:t xml:space="preserve">severely in subgroups such as solitary upper-lobe nodules and specific ethnic</w:t>
      </w:r>
      <w:r>
        <w:t xml:space="preserve"> </w:t>
      </w:r>
      <w:r>
        <w:t xml:space="preserve">groups, reflecting both label-shift and covariate-shift mechanisms </w:t>
      </w:r>
      <w:r>
        <w:t xml:space="preserve">[</w:t>
      </w:r>
      <w:hyperlink w:anchor="ref-zhang_comprehensive_2022">
        <w:r>
          <w:rPr>
            <w:rStyle w:val="af"/>
          </w:rPr>
          <w:t xml:space="preserve">5</w:t>
        </w:r>
      </w:hyperlink>
      <w:r>
        <w:t xml:space="preserve">,</w:t>
      </w:r>
      <w:hyperlink w:anchor="ref-garau_external_2020">
        <w:r>
          <w:rPr>
            <w:rStyle w:val="af"/>
          </w:rPr>
          <w:t xml:space="preserve">7</w:t>
        </w:r>
      </w:hyperlink>
      <w:r>
        <w:t xml:space="preserve">,</w:t>
      </w:r>
      <w:hyperlink w:anchor="ref-chen_pulmonary_2025">
        <w:r>
          <w:rPr>
            <w:rStyle w:val="af"/>
          </w:rPr>
          <w:t xml:space="preserve">81</w:t>
        </w:r>
      </w:hyperlink>
      <w:r>
        <w:t xml:space="preserve">]</w:t>
      </w:r>
      <w:r>
        <w:t xml:space="preserve">. Recent Chinese multi-centre studies further report that Brock- and PKUPH-type models can</w:t>
      </w:r>
      <w:r>
        <w:t xml:space="preserve"> </w:t>
      </w:r>
      <w:r>
        <w:t xml:space="preserve">experience substantial AUC declines when applied to contemporary Chinese screening cohorts, even</w:t>
      </w:r>
      <w:r>
        <w:t xml:space="preserve"> </w:t>
      </w:r>
      <w:r>
        <w:t xml:space="preserve">after refitting, consistent with shifts in underlying prevalence and competing benign conditions </w:t>
      </w:r>
      <w:r>
        <w:t xml:space="preserve">[</w:t>
      </w:r>
      <w:hyperlink w:anchor="ref-zhang_comprehensive_2022">
        <w:r>
          <w:rPr>
            <w:rStyle w:val="af"/>
          </w:rPr>
          <w:t xml:space="preserve">5</w:t>
        </w:r>
      </w:hyperlink>
      <w:r>
        <w:t xml:space="preserve">,</w:t>
      </w:r>
      <w:hyperlink w:anchor="ref-liu_establishment_2024">
        <w:r>
          <w:rPr>
            <w:rStyle w:val="af"/>
          </w:rPr>
          <w:t xml:space="preserve">6</w:t>
        </w:r>
      </w:hyperlink>
      <w:r>
        <w:t xml:space="preserve">]</w:t>
      </w:r>
      <w:r>
        <w:t xml:space="preserve">. While</w:t>
      </w:r>
      <w:r>
        <w:t xml:space="preserve"> </w:t>
      </w:r>
      <w:r>
        <w:t xml:space="preserve">recalibration or re-estimation of coefficients can partially restore performance,</w:t>
      </w:r>
      <w:r>
        <w:t xml:space="preserve"> </w:t>
      </w:r>
      <w:r>
        <w:t xml:space="preserve">these fixes require local labels and do not address feature-mismatch: new hospitals</w:t>
      </w:r>
      <w:r>
        <w:t xml:space="preserve"> </w:t>
      </w:r>
      <w:r>
        <w:t xml:space="preserve">may lack some variables (e.g., emphysema grading) or measure them differently.</w:t>
      </w:r>
    </w:p>
    <w:p>
      <w:pPr>
        <w:pStyle w:val="a0"/>
      </w:pPr>
      <w:r>
        <w:t xml:space="preserve">Targeted audits make the degradation concrete. In TB-endemic Korean hospitals,</w:t>
      </w:r>
      <w:r>
        <w:t xml:space="preserve"> </w:t>
      </w:r>
      <w:r>
        <w:t xml:space="preserve">Mayo and VA shrink to AUC</w:t>
      </w:r>
      <w:r>
        <w:t xml:space="preserve"> </w:t>
      </w:r>
      <m:oMath>
        <m:r>
          <m:rPr>
            <m:sty m:val="p"/>
          </m:rPr>
          <m:t>≈</m:t>
        </m:r>
      </m:oMath>
      <w:r>
        <w:t xml:space="preserve">0.60 while Brock declines to</w:t>
      </w:r>
      <w:r>
        <w:t xml:space="preserve"> </w:t>
      </w:r>
      <m:oMath>
        <m:r>
          <m:rPr>
            <m:sty m:val="p"/>
          </m:rPr>
          <m:t>≈</m:t>
        </m:r>
      </m:oMath>
      <w:r>
        <w:t xml:space="preserve">0.68</w:t>
      </w:r>
      <w:r>
        <w:t xml:space="preserve"> </w:t>
      </w:r>
      <w:r>
        <w:t xml:space="preserve">despite an internal AUC near 0.94, and Chinese multi-center studies find that</w:t>
      </w:r>
      <w:r>
        <w:t xml:space="preserve"> </w:t>
      </w:r>
      <w:r>
        <w:t xml:space="preserve">Brock and PKUPH can fall from</w:t>
      </w:r>
      <w:r>
        <w:t xml:space="preserve"> </w:t>
      </w:r>
      <m:oMath>
        <m:r>
          <m:rPr>
            <m:sty m:val="p"/>
          </m:rPr>
          <m:t>≈</m:t>
        </m:r>
      </m:oMath>
      <w:r>
        <w:t xml:space="preserve">0.90 internally to 0.70–0.77 once</w:t>
      </w:r>
      <w:r>
        <w:t xml:space="preserve"> </w:t>
      </w:r>
      <w:r>
        <w:t xml:space="preserve">prevalence and granulomatous disease rates shift </w:t>
      </w:r>
      <w:r>
        <w:t xml:space="preserve">[</w:t>
      </w:r>
      <w:hyperlink w:anchor="ref-yang_comparison_2018">
        <w:r>
          <w:rPr>
            <w:rStyle w:val="af"/>
          </w:rPr>
          <w:t xml:space="preserve">82</w:t>
        </w:r>
      </w:hyperlink>
      <w:r>
        <w:t xml:space="preserve">–</w:t>
      </w:r>
      <w:hyperlink w:anchor="ref-li_evaluation_2020">
        <w:r>
          <w:rPr>
            <w:rStyle w:val="af"/>
          </w:rPr>
          <w:t xml:space="preserve">84</w:t>
        </w:r>
      </w:hyperlink>
      <w:r>
        <w:t xml:space="preserve">]</w:t>
      </w:r>
      <w:r>
        <w:t xml:space="preserve">. PET-augmented variants such as the</w:t>
      </w:r>
      <w:r>
        <w:t xml:space="preserve"> </w:t>
      </w:r>
      <w:r>
        <w:t xml:space="preserve">Herder score raise internal discrimination to</w:t>
      </w:r>
      <w:r>
        <w:t xml:space="preserve"> </w:t>
      </w:r>
      <m:oMath>
        <m:r>
          <m:rPr>
            <m:sty m:val="p"/>
          </m:rPr>
          <m:t>≈</m:t>
        </m:r>
      </m:oMath>
      <w:r>
        <w:t xml:space="preserve">0.92 by incorporating</w:t>
      </w:r>
      <w:r>
        <w:t xml:space="preserve"> </w:t>
      </w:r>
      <w:r>
        <w:t xml:space="preserve">metabolic imaging, yet they lose specificity in TB-endemic or inflammatory</w:t>
      </w:r>
      <w:r>
        <w:t xml:space="preserve"> </w:t>
      </w:r>
      <w:r>
        <w:t xml:space="preserve">regions where uptake is nonspecific </w:t>
      </w:r>
      <w:r>
        <w:t xml:space="preserve">[</w:t>
      </w:r>
      <w:hyperlink w:anchor="ref-yang_comparison_2018">
        <w:r>
          <w:rPr>
            <w:rStyle w:val="af"/>
          </w:rPr>
          <w:t xml:space="preserve">82</w:t>
        </w:r>
      </w:hyperlink>
      <w:r>
        <w:t xml:space="preserve">,</w:t>
      </w:r>
      <w:hyperlink w:anchor="ref-herder_clinical_2005">
        <w:r>
          <w:rPr>
            <w:rStyle w:val="af"/>
          </w:rPr>
          <w:t xml:space="preserve">85</w:t>
        </w:r>
      </w:hyperlink>
      <w:r>
        <w:t xml:space="preserve">]</w:t>
      </w:r>
      <w:r>
        <w:t xml:space="preserve">.</w:t>
      </w:r>
      <w:r>
        <w:t xml:space="preserve"> </w:t>
      </w:r>
      <w:r>
        <w:t xml:space="preserve">These case studies underscore that most clinical scores embed site-specific</w:t>
      </w:r>
      <w:r>
        <w:t xml:space="preserve"> </w:t>
      </w:r>
      <w:r>
        <w:t xml:space="preserve">prevalence, referral patterns, and feature definitions, so</w:t>
      </w:r>
      <w:r>
        <w:t xml:space="preserve"> </w:t>
      </w:r>
      <w:r>
        <w:t xml:space="preserve">“plug-and-play”</w:t>
      </w:r>
      <w:r>
        <w:t xml:space="preserve"> </w:t>
      </w:r>
      <w:r>
        <w:t xml:space="preserve">deployment without alignment is unrealistic.</w:t>
      </w:r>
    </w:p>
    <w:p>
      <w:pPr>
        <w:pStyle w:val="a0"/>
      </w:pPr>
      <w:r>
        <w:t xml:space="preserve">Each classical score carries its own design trade-offs. The Mayo Clinic model was</w:t>
      </w:r>
      <w:r>
        <w:t xml:space="preserve"> </w:t>
      </w:r>
      <w:r>
        <w:t xml:space="preserve">derived from several hundred clinic-referred patients with indeterminate nodules,</w:t>
      </w:r>
      <w:r>
        <w:t xml:space="preserve"> </w:t>
      </w:r>
      <w:r>
        <w:t xml:space="preserve">emphasizing age, smoking, nodule diameter, spiculation, and upper-lobe location,</w:t>
      </w:r>
      <w:r>
        <w:t xml:space="preserve"> </w:t>
      </w:r>
      <w:r>
        <w:t xml:space="preserve">whereas the Veterans Affairs model targeted high-risk, predominantly male veterans</w:t>
      </w:r>
      <w:r>
        <w:t xml:space="preserve"> </w:t>
      </w:r>
      <w:r>
        <w:t xml:space="preserve">with larger lesions </w:t>
      </w:r>
      <w:r>
        <w:t xml:space="preserve">[</w:t>
      </w:r>
      <w:hyperlink w:anchor="ref-swensen1997chest">
        <w:r>
          <w:rPr>
            <w:rStyle w:val="af"/>
          </w:rPr>
          <w:t xml:space="preserve">1</w:t>
        </w:r>
      </w:hyperlink>
      <w:r>
        <w:t xml:space="preserve">,</w:t>
      </w:r>
      <w:hyperlink w:anchor="ref-swensen1997archives">
        <w:r>
          <w:rPr>
            <w:rStyle w:val="af"/>
          </w:rPr>
          <w:t xml:space="preserve">80</w:t>
        </w:r>
      </w:hyperlink>
      <w:r>
        <w:t xml:space="preserve">]</w:t>
      </w:r>
      <w:r>
        <w:t xml:space="preserve">. The Brock (PanCan)</w:t>
      </w:r>
      <w:r>
        <w:t xml:space="preserve"> </w:t>
      </w:r>
      <w:r>
        <w:t xml:space="preserve">model was trained in a screening cohort enriched for small nodules and incorporates</w:t>
      </w:r>
      <w:r>
        <w:t xml:space="preserve"> </w:t>
      </w:r>
      <w:r>
        <w:t xml:space="preserve">emphysema, family history, and more granular morphology descriptors, while the</w:t>
      </w:r>
      <w:r>
        <w:t xml:space="preserve"> </w:t>
      </w:r>
      <w:r>
        <w:t xml:space="preserve">PKUPH and Li scores adapt similar feature sets to Chinese tertiary-hospital and</w:t>
      </w:r>
      <w:r>
        <w:t xml:space="preserve"> </w:t>
      </w:r>
      <w:r>
        <w:t xml:space="preserve">screening populations </w:t>
      </w:r>
      <w:r>
        <w:t xml:space="preserve">[</w:t>
      </w:r>
      <w:hyperlink w:anchor="ref-mcwilliams2013probability">
        <w:r>
          <w:rPr>
            <w:rStyle w:val="af"/>
          </w:rPr>
          <w:t xml:space="preserve">2</w:t>
        </w:r>
      </w:hyperlink>
      <w:r>
        <w:t xml:space="preserve">–</w:t>
      </w:r>
      <w:hyperlink w:anchor="ref-he2021novel">
        <w:r>
          <w:rPr>
            <w:rStyle w:val="af"/>
          </w:rPr>
          <w:t xml:space="preserve">4</w:t>
        </w:r>
      </w:hyperlink>
      <w:r>
        <w:t xml:space="preserve">,</w:t>
      </w:r>
      <w:hyperlink w:anchor="ref-liu_establishment_2024">
        <w:r>
          <w:rPr>
            <w:rStyle w:val="af"/>
          </w:rPr>
          <w:t xml:space="preserve">6</w:t>
        </w:r>
      </w:hyperlink>
      <w:r>
        <w:t xml:space="preserve">]</w:t>
      </w:r>
      <w:r>
        <w:t xml:space="preserve">. A recent meta-analysis focused on the Brock model reports</w:t>
      </w:r>
      <w:r>
        <w:t xml:space="preserve"> </w:t>
      </w:r>
      <w:r>
        <w:t xml:space="preserve">pooled AUC</w:t>
      </w:r>
      <w:r>
        <w:t xml:space="preserve"> </w:t>
      </w:r>
      <m:oMath>
        <m:r>
          <m:rPr>
            <m:sty m:val="p"/>
          </m:rPr>
          <m:t>≈</m:t>
        </m:r>
        <m:r>
          <m:t>0.80</m:t>
        </m:r>
      </m:oMath>
      <w:r>
        <w:t xml:space="preserve"> </w:t>
      </w:r>
      <w:r>
        <w:t xml:space="preserve">across</w:t>
      </w:r>
      <w:r>
        <w:t xml:space="preserve"> </w:t>
      </w:r>
      <m:oMath>
        <m:r>
          <m:rPr>
            <m:sty m:val="p"/>
          </m:rPr>
          <m:t>&gt;</m:t>
        </m:r>
        <m:r>
          <m:t>80</m:t>
        </m:r>
        <m:r>
          <m:rPr>
            <m:sty m:val="p"/>
          </m:rPr>
          <m:t>,</m:t>
        </m:r>
        <m:r>
          <m:t>000</m:t>
        </m:r>
      </m:oMath>
      <w:r>
        <w:t xml:space="preserve"> </w:t>
      </w:r>
      <w:r>
        <w:t xml:space="preserve">patients but highlights substantially</w:t>
      </w:r>
      <w:r>
        <w:t xml:space="preserve"> </w:t>
      </w:r>
      <w:r>
        <w:t xml:space="preserve">lower performance in Asian cohorts, solitary nodules, subsolid nodules, and larger</w:t>
      </w:r>
      <w:r>
        <w:t xml:space="preserve"> </w:t>
      </w:r>
      <w:r>
        <w:t xml:space="preserve">lesions (AUC often</w:t>
      </w:r>
      <w:r>
        <w:t xml:space="preserve"> </w:t>
      </w:r>
      <m:oMath>
        <m:r>
          <m:rPr>
            <m:sty m:val="p"/>
          </m:rPr>
          <m:t>≈</m:t>
        </m:r>
        <m:r>
          <m:t>0.74</m:t>
        </m:r>
      </m:oMath>
      <w:r>
        <w:t xml:space="preserve"> </w:t>
      </w:r>
      <w:r>
        <w:t xml:space="preserve">or below), underscoring that apparent</w:t>
      </w:r>
      <w:r>
        <w:t xml:space="preserve"> </w:t>
      </w:r>
      <w:r>
        <w:t xml:space="preserve">“universality”</w:t>
      </w:r>
      <w:r>
        <w:t xml:space="preserve"> </w:t>
      </w:r>
      <w:r>
        <w:t xml:space="preserve">in development data masks sizeable domain-specific errors </w:t>
      </w:r>
      <w:r>
        <w:t xml:space="preserve">[</w:t>
      </w:r>
      <w:hyperlink w:anchor="ref-chen_pulmonary_2025">
        <w:r>
          <w:rPr>
            <w:rStyle w:val="af"/>
          </w:rPr>
          <w:t xml:space="preserve">81</w:t>
        </w:r>
      </w:hyperlink>
      <w:r>
        <w:t xml:space="preserve">]</w:t>
      </w:r>
      <w:r>
        <w:t xml:space="preserve">.</w:t>
      </w:r>
      <w:r>
        <w:t xml:space="preserve"> </w:t>
      </w:r>
      <w:r>
        <w:t xml:space="preserve">Across Mayo, VA, Brock, and PKUPH, external validations repeatedly document drops</w:t>
      </w:r>
      <w:r>
        <w:t xml:space="preserve"> </w:t>
      </w:r>
      <w:r>
        <w:t xml:space="preserve">from internal c-statistics in the high-0.80s to 0.60–0.75 when applied to community</w:t>
      </w:r>
      <w:r>
        <w:t xml:space="preserve"> </w:t>
      </w:r>
      <w:r>
        <w:t xml:space="preserve">screening or granulomatous-disease–endemic regions </w:t>
      </w:r>
      <w:r>
        <w:t xml:space="preserve">[</w:t>
      </w:r>
      <w:hyperlink w:anchor="ref-zhang_comprehensive_2022">
        <w:r>
          <w:rPr>
            <w:rStyle w:val="af"/>
          </w:rPr>
          <w:t xml:space="preserve">5</w:t>
        </w:r>
      </w:hyperlink>
      <w:r>
        <w:t xml:space="preserve">–</w:t>
      </w:r>
      <w:hyperlink w:anchor="ref-garau_external_2020">
        <w:r>
          <w:rPr>
            <w:rStyle w:val="af"/>
          </w:rPr>
          <w:t xml:space="preserve">7</w:t>
        </w:r>
      </w:hyperlink>
      <w:r>
        <w:t xml:space="preserve">]</w:t>
      </w:r>
      <w:r>
        <w:t xml:space="preserve">.</w:t>
      </w:r>
    </w:p>
    <w:p>
      <w:pPr>
        <w:pStyle w:val="a0"/>
      </w:pPr>
      <w:r>
        <w:t xml:space="preserve">These patterns can be summarized along three axes: development cohorts are often</w:t>
      </w:r>
      <w:r>
        <w:t xml:space="preserve"> </w:t>
      </w:r>
      <w:r>
        <w:t xml:space="preserve">single-center and demographically narrow; variables focus on easily collected</w:t>
      </w:r>
      <w:r>
        <w:t xml:space="preserve"> </w:t>
      </w:r>
      <w:r>
        <w:t xml:space="preserve">clinical and simple CT descriptors; and the underlying model is a logistic</w:t>
      </w:r>
      <w:r>
        <w:t xml:space="preserve"> </w:t>
      </w:r>
      <w:r>
        <w:t xml:space="preserve">regression that assumes a linear log-odds relationship between covariates and</w:t>
      </w:r>
      <w:r>
        <w:t xml:space="preserve"> </w:t>
      </w:r>
      <w:r>
        <w:t xml:space="preserve">malignancy. Table </w:t>
      </w:r>
      <w:hyperlink w:anchor="tbl:nodule_scores">
        <w:r>
          <w:rPr>
            <w:rStyle w:val="af"/>
          </w:rPr>
          <w:t xml:space="preserve">4</w:t>
        </w:r>
      </w:hyperlink>
      <w:r>
        <w:t xml:space="preserve"> </w:t>
      </w:r>
      <w:r>
        <w:t xml:space="preserve">sketches representative scores along</w:t>
      </w:r>
      <w:r>
        <w:t xml:space="preserve"> </w:t>
      </w:r>
      <w:r>
        <w:t xml:space="preserve">these dimensions. In development, all achieve reasonable discrimination and are</w:t>
      </w:r>
      <w:r>
        <w:t xml:space="preserve"> </w:t>
      </w:r>
      <w:r>
        <w:t xml:space="preserve">simple enough to implement as bedside calculators, but the same simplicity makes</w:t>
      </w:r>
      <w:r>
        <w:t xml:space="preserve"> </w:t>
      </w:r>
      <w:r>
        <w:t xml:space="preserve">them brittle under shift: logistic coefficients absorb local prevalence, imaging</w:t>
      </w:r>
      <w:r>
        <w:t xml:space="preserve"> </w:t>
      </w:r>
      <w:r>
        <w:t xml:space="preserve">protocols, and referral patterns, so external use without recalibration results in</w:t>
      </w:r>
      <w:r>
        <w:t xml:space="preserve"> </w:t>
      </w:r>
      <w:r>
        <w:t xml:space="preserve">systematic underestimation or overestimation of risk in particular subgroups.</w:t>
      </w:r>
    </w:p>
    <w:bookmarkStart w:id="28" w:name="tbl:nodule_scores"/>
    <w:p>
      <w:pPr>
        <w:pStyle w:val="TableCaption"/>
      </w:pPr>
      <w:r>
        <w:t xml:space="preserve">Table 4: Representative pulmonary nodule malignancy scores and common external-validation issues.</w:t>
      </w:r>
    </w:p>
    <w:tbl>
      <w:tblPr>
        <w:tblStyle w:val="Table"/>
        <w:tblW w:type="auto" w:w="0"/>
        <w:tblLook w:firstRow="1" w:lastRow="0" w:firstColumn="0" w:lastColumn="0" w:noHBand="0" w:noVBand="0" w:val="0020"/>
        <w:tblCaption w:val="Table 4: Representative pulmonary nodule malignancy scores and common external-validation issues."/>
      </w:tblPr>
      <w:tblGrid>
        <w:gridCol w:w="1980"/>
        <w:gridCol w:w="1980"/>
        <w:gridCol w:w="1980"/>
        <w:gridCol w:w="1980"/>
      </w:tblGrid>
      <w:tr>
        <w:trPr>
          <w:tblHeader w:val="on"/>
        </w:trPr>
        <w:tc>
          <w:tcPr/>
          <w:p>
            <w:pPr>
              <w:pStyle w:val="Compact"/>
              <w:jc w:val="left"/>
            </w:pPr>
            <w:r>
              <w:rPr>
                <w:b/>
                <w:bCs/>
              </w:rPr>
              <w:t xml:space="preserve">Score</w:t>
            </w:r>
          </w:p>
        </w:tc>
        <w:tc>
          <w:tcPr/>
          <w:p>
            <w:pPr>
              <w:pStyle w:val="Compact"/>
              <w:jc w:val="left"/>
            </w:pPr>
            <w:r>
              <w:rPr>
                <w:b/>
                <w:bCs/>
              </w:rPr>
              <w:t xml:space="preserve">Development cohort</w:t>
            </w:r>
          </w:p>
        </w:tc>
        <w:tc>
          <w:tcPr/>
          <w:p>
            <w:pPr>
              <w:pStyle w:val="Compact"/>
              <w:jc w:val="left"/>
            </w:pPr>
            <w:r>
              <w:rPr>
                <w:b/>
                <w:bCs/>
              </w:rPr>
              <w:t xml:space="preserve">Key variables</w:t>
            </w:r>
          </w:p>
        </w:tc>
        <w:tc>
          <w:tcPr/>
          <w:p>
            <w:pPr>
              <w:pStyle w:val="Compact"/>
              <w:jc w:val="left"/>
            </w:pPr>
            <w:r>
              <w:rPr>
                <w:b/>
                <w:bCs/>
              </w:rPr>
              <w:t xml:space="preserve">External-validation observations</w:t>
            </w:r>
          </w:p>
        </w:tc>
      </w:tr>
      <w:tr>
        <w:tc>
          <w:tcPr/>
          <w:p>
            <w:pPr>
              <w:pStyle w:val="Compact"/>
              <w:jc w:val="left"/>
            </w:pPr>
            <w:r>
              <w:t xml:space="preserve">Mayo Clinic</w:t>
            </w:r>
          </w:p>
        </w:tc>
        <w:tc>
          <w:tcPr/>
          <w:p>
            <w:pPr>
              <w:pStyle w:val="Compact"/>
              <w:jc w:val="left"/>
            </w:pPr>
            <w:r>
              <w:t xml:space="preserve">Clinic-referred indeterminate nodules in smokers</w:t>
            </w:r>
          </w:p>
        </w:tc>
        <w:tc>
          <w:tcPr/>
          <w:p>
            <w:pPr>
              <w:pStyle w:val="Compact"/>
              <w:jc w:val="left"/>
            </w:pPr>
            <w:r>
              <w:t xml:space="preserve">Age, smoking history, nodule size, spiculation, upper-lobe location</w:t>
            </w:r>
          </w:p>
        </w:tc>
        <w:tc>
          <w:tcPr/>
          <w:p>
            <w:pPr>
              <w:pStyle w:val="Compact"/>
              <w:jc w:val="left"/>
            </w:pPr>
            <w:r>
              <w:t xml:space="preserve">Internal AUC in the high-0.80s; frequent overestimation of risk and AUC drops to</w:t>
            </w:r>
            <w:r>
              <w:t xml:space="preserve"> </w:t>
            </w:r>
            <m:oMath>
              <m:r>
                <m:rPr>
                  <m:sty m:val="p"/>
                </m:rPr>
                <m:t>≈</m:t>
              </m:r>
            </m:oMath>
            <w:r>
              <w:t xml:space="preserve">0.6–0.7 in screening and non-U.S. cohorts</w:t>
            </w:r>
          </w:p>
        </w:tc>
      </w:tr>
      <w:tr>
        <w:tc>
          <w:tcPr/>
          <w:p>
            <w:pPr>
              <w:pStyle w:val="Compact"/>
              <w:jc w:val="left"/>
            </w:pPr>
            <w:r>
              <w:t xml:space="preserve">Veterans Affairs</w:t>
            </w:r>
          </w:p>
        </w:tc>
        <w:tc>
          <w:tcPr/>
          <w:p>
            <w:pPr>
              <w:pStyle w:val="Compact"/>
              <w:jc w:val="left"/>
            </w:pPr>
            <w:r>
              <w:t xml:space="preserve">Predominantly male veterans with larger nodules</w:t>
            </w:r>
          </w:p>
        </w:tc>
        <w:tc>
          <w:tcPr/>
          <w:p>
            <w:pPr>
              <w:pStyle w:val="Compact"/>
              <w:jc w:val="left"/>
            </w:pPr>
            <w:r>
              <w:t xml:space="preserve">Age, smoking, nodule diameter, location</w:t>
            </w:r>
          </w:p>
        </w:tc>
        <w:tc>
          <w:tcPr/>
          <w:p>
            <w:pPr>
              <w:pStyle w:val="Compact"/>
              <w:jc w:val="left"/>
            </w:pPr>
            <w:r>
              <w:t xml:space="preserve">Good performance in veterans; miscalibration when transported to mixed-gender or lower-risk populations</w:t>
            </w:r>
          </w:p>
        </w:tc>
      </w:tr>
      <w:tr>
        <w:tc>
          <w:tcPr/>
          <w:p>
            <w:pPr>
              <w:pStyle w:val="Compact"/>
              <w:jc w:val="left"/>
            </w:pPr>
            <w:r>
              <w:t xml:space="preserve">Brock (PanCan)</w:t>
            </w:r>
          </w:p>
        </w:tc>
        <w:tc>
          <w:tcPr/>
          <w:p>
            <w:pPr>
              <w:pStyle w:val="Compact"/>
              <w:jc w:val="left"/>
            </w:pPr>
            <w:r>
              <w:t xml:space="preserve">CT screening cohort with many small nodules</w:t>
            </w:r>
          </w:p>
        </w:tc>
        <w:tc>
          <w:tcPr/>
          <w:p>
            <w:pPr>
              <w:pStyle w:val="Compact"/>
              <w:jc w:val="left"/>
            </w:pPr>
            <w:r>
              <w:t xml:space="preserve">Age, sex, family history, emphysema, size, type, location</w:t>
            </w:r>
          </w:p>
        </w:tc>
        <w:tc>
          <w:tcPr/>
          <w:p>
            <w:pPr>
              <w:pStyle w:val="Compact"/>
              <w:jc w:val="left"/>
            </w:pPr>
            <w:r>
              <w:t xml:space="preserve">Meta-analytic pooled AUC</w:t>
            </w:r>
            <w:r>
              <w:t xml:space="preserve"> </w:t>
            </w:r>
            <m:oMath>
              <m:r>
                <m:rPr>
                  <m:sty m:val="p"/>
                </m:rPr>
                <m:t>≈</m:t>
              </m:r>
              <m:r>
                <m:t>0.80</m:t>
              </m:r>
            </m:oMath>
            <w:r>
              <w:t xml:space="preserve">; markedly lower AUC in Asian, solitary, and subsolid nodules </w:t>
            </w:r>
            <w:r>
              <w:t xml:space="preserve">[</w:t>
            </w:r>
            <w:hyperlink w:anchor="ref-chen_pulmonary_2025">
              <w:r>
                <w:rPr>
                  <w:rStyle w:val="af"/>
                </w:rPr>
                <w:t xml:space="preserve">81</w:t>
              </w:r>
            </w:hyperlink>
            <w:r>
              <w:t xml:space="preserve">]</w:t>
            </w:r>
          </w:p>
        </w:tc>
      </w:tr>
      <w:tr>
        <w:tc>
          <w:tcPr/>
          <w:p>
            <w:pPr>
              <w:pStyle w:val="Compact"/>
              <w:jc w:val="left"/>
            </w:pPr>
            <w:r>
              <w:t xml:space="preserve">PKUPH / Li</w:t>
            </w:r>
          </w:p>
        </w:tc>
        <w:tc>
          <w:tcPr/>
          <w:p>
            <w:pPr>
              <w:pStyle w:val="Compact"/>
              <w:jc w:val="left"/>
            </w:pPr>
            <w:r>
              <w:t xml:space="preserve">Chinese tertiary-hospital and screening cohorts</w:t>
            </w:r>
          </w:p>
        </w:tc>
        <w:tc>
          <w:tcPr/>
          <w:p>
            <w:pPr>
              <w:pStyle w:val="Compact"/>
              <w:jc w:val="left"/>
            </w:pPr>
            <w:r>
              <w:t xml:space="preserve">Age, smoking, nodule size and type, lobulation, spiculation</w:t>
            </w:r>
          </w:p>
        </w:tc>
        <w:tc>
          <w:tcPr/>
          <w:p>
            <w:pPr>
              <w:pStyle w:val="Compact"/>
              <w:jc w:val="left"/>
            </w:pPr>
            <w:r>
              <w:t xml:space="preserve">High internal AUC but drops in external series; performance depends strongly on CT protocol and case mix </w:t>
            </w:r>
            <w:r>
              <w:t xml:space="preserve">[</w:t>
            </w:r>
            <w:hyperlink w:anchor="ref-li2011development">
              <w:r>
                <w:rPr>
                  <w:rStyle w:val="af"/>
                </w:rPr>
                <w:t xml:space="preserve">3</w:t>
              </w:r>
            </w:hyperlink>
            <w:r>
              <w:t xml:space="preserve">,</w:t>
            </w:r>
            <w:hyperlink w:anchor="ref-he2021novel">
              <w:r>
                <w:rPr>
                  <w:rStyle w:val="af"/>
                </w:rPr>
                <w:t xml:space="preserve">4</w:t>
              </w:r>
            </w:hyperlink>
            <w:r>
              <w:t xml:space="preserve">,</w:t>
            </w:r>
            <w:hyperlink w:anchor="ref-liu_establishment_2024">
              <w:r>
                <w:rPr>
                  <w:rStyle w:val="af"/>
                </w:rPr>
                <w:t xml:space="preserve">6</w:t>
              </w:r>
            </w:hyperlink>
            <w:r>
              <w:t xml:space="preserve">]</w:t>
            </w:r>
          </w:p>
        </w:tc>
      </w:tr>
    </w:tbl>
    <w:bookmarkEnd w:id="28"/>
    <w:p>
      <w:pPr>
        <w:pStyle w:val="a0"/>
      </w:pPr>
      <w:r>
        <w:t xml:space="preserve">From the perspective of this thesis, these scores provide clinically interpretable</w:t>
      </w:r>
      <w:r>
        <w:t xml:space="preserve"> </w:t>
      </w:r>
      <w:r>
        <w:t xml:space="preserve">baselines and useful prior knowledge about which coarse-grained descriptors matter,</w:t>
      </w:r>
      <w:r>
        <w:t xml:space="preserve"> </w:t>
      </w:r>
      <w:r>
        <w:t xml:space="preserve">but they do not solve cross-hospital robustness. Their small development cohorts</w:t>
      </w:r>
      <w:r>
        <w:t xml:space="preserve"> </w:t>
      </w:r>
      <w:r>
        <w:t xml:space="preserve">and rigid functional form make it difficult to incorporate new biomarkers or adapt</w:t>
      </w:r>
      <w:r>
        <w:t xml:space="preserve"> </w:t>
      </w:r>
      <w:r>
        <w:t xml:space="preserve">to feature-mismatch without re-estimating the entire model, motivating more flexible</w:t>
      </w:r>
      <w:r>
        <w:t xml:space="preserve"> </w:t>
      </w:r>
      <w:r>
        <w:t xml:space="preserve">tabular approaches that can share information across hospitals while respecting</w:t>
      </w:r>
      <w:r>
        <w:t xml:space="preserve"> </w:t>
      </w:r>
      <w:r>
        <w:t xml:space="preserve">regulatory demands for calibration and subgroup transparency.</w:t>
      </w:r>
    </w:p>
    <w:bookmarkEnd w:id="29"/>
    <w:bookmarkStart w:id="31" w:name="X63398fade823538a894520f71f3a97fb0da0703"/>
    <w:p>
      <w:pPr>
        <w:pStyle w:val="3"/>
      </w:pPr>
      <w:r>
        <w:t xml:space="preserve">Radiomics pipelines with traditional machine learning</w:t>
      </w:r>
    </w:p>
    <w:p>
      <w:pPr>
        <w:pStyle w:val="FirstParagraph"/>
      </w:pPr>
      <w:r>
        <w:t xml:space="preserve">Radiomics pipelines extract hundreds to thousands of hand-crafted features from CT</w:t>
      </w:r>
      <w:r>
        <w:t xml:space="preserve"> </w:t>
      </w:r>
      <w:r>
        <w:t xml:space="preserve">volumes, offering richer representations than clinical risk scores but introducing</w:t>
      </w:r>
      <w:r>
        <w:t xml:space="preserve"> </w:t>
      </w:r>
      <w:r>
        <w:t xml:space="preserve">major reproducibility hazards. Texture and wavelet descriptors vary with voxel</w:t>
      </w:r>
      <w:r>
        <w:t xml:space="preserve"> </w:t>
      </w:r>
      <w:r>
        <w:t xml:space="preserve">spacing, reconstruction kernel, and segmentation protocol; ComBat-style harmonization</w:t>
      </w:r>
      <w:r>
        <w:t xml:space="preserve"> </w:t>
      </w:r>
      <w:r>
        <w:t xml:space="preserve">reduces scanner effects yet requires batch labels and can blur subtle lesions </w:t>
      </w:r>
      <w:r>
        <w:t xml:space="preserve">[</w:t>
      </w:r>
      <w:hyperlink w:anchor="ref-garau_external_2020">
        <w:r>
          <w:rPr>
            <w:rStyle w:val="af"/>
          </w:rPr>
          <w:t xml:space="preserve">7</w:t>
        </w:r>
      </w:hyperlink>
      <w:r>
        <w:t xml:space="preserve">,</w:t>
      </w:r>
      <w:hyperlink w:anchor="ref-hellin2024unraveling">
        <w:r>
          <w:rPr>
            <w:rStyle w:val="af"/>
          </w:rPr>
          <w:t xml:space="preserve">16</w:t>
        </w:r>
      </w:hyperlink>
      <w:r>
        <w:t xml:space="preserve">]</w:t>
      </w:r>
      <w:r>
        <w:t xml:space="preserve">. In internal validation, radiomics-based classifiers that pair</w:t>
      </w:r>
      <w:r>
        <w:t xml:space="preserve"> </w:t>
      </w:r>
      <w:r>
        <w:t xml:space="preserve">LASSO- or stability-selected feature subsets with SVMs, random forests, or GBDTs</w:t>
      </w:r>
      <w:r>
        <w:t xml:space="preserve"> </w:t>
      </w:r>
      <w:r>
        <w:t xml:space="preserve">typically report AUCs in the 0.75–0.90 range, but these numbers rarely carry over</w:t>
      </w:r>
      <w:r>
        <w:t xml:space="preserve"> </w:t>
      </w:r>
      <w:r>
        <w:t xml:space="preserve">to new scanners or hospitals. External validations on LIDC-IDRI, LUNA16, and NLST</w:t>
      </w:r>
      <w:r>
        <w:t xml:space="preserve"> </w:t>
      </w:r>
      <w:r>
        <w:t xml:space="preserve">repeatedly report double-digit AUC drops when deployed to scanners with different</w:t>
      </w:r>
      <w:r>
        <w:t xml:space="preserve"> </w:t>
      </w:r>
      <w:r>
        <w:t xml:space="preserve">kernels or patient mixes, while shortcut-learning analyses show that models sometimes</w:t>
      </w:r>
      <w:r>
        <w:t xml:space="preserve"> </w:t>
      </w:r>
      <w:r>
        <w:t xml:space="preserve">rely on grid artifacts or reconstruction noise rather than morphology </w:t>
      </w:r>
      <w:r>
        <w:t xml:space="preserve">[</w:t>
      </w:r>
      <w:hyperlink w:anchor="ref-ardila_end--end_2019">
        <w:r>
          <w:rPr>
            <w:rStyle w:val="af"/>
          </w:rPr>
          <w:t xml:space="preserve">14</w:t>
        </w:r>
      </w:hyperlink>
      <w:r>
        <w:t xml:space="preserve">,</w:t>
      </w:r>
      <w:hyperlink w:anchor="ref-zech_variable_2018">
        <w:r>
          <w:rPr>
            <w:rStyle w:val="af"/>
          </w:rPr>
          <w:t xml:space="preserve">15</w:t>
        </w:r>
      </w:hyperlink>
      <w:r>
        <w:t xml:space="preserve">,</w:t>
      </w:r>
      <w:hyperlink w:anchor="ref-koch2024distribution">
        <w:r>
          <w:rPr>
            <w:rStyle w:val="af"/>
          </w:rPr>
          <w:t xml:space="preserve">26</w:t>
        </w:r>
      </w:hyperlink>
      <w:r>
        <w:t xml:space="preserve">]</w:t>
      </w:r>
      <w:r>
        <w:t xml:space="preserve">. These failures illustrate that radiomics</w:t>
      </w:r>
      <w:r>
        <w:t xml:space="preserve"> </w:t>
      </w:r>
      <w:r>
        <w:t xml:space="preserve">alone cannot guarantee transportability and that alignment plus feature vetting are</w:t>
      </w:r>
      <w:r>
        <w:t xml:space="preserve"> </w:t>
      </w:r>
      <w:r>
        <w:t xml:space="preserve">required before cross-hospital use.</w:t>
      </w:r>
    </w:p>
    <w:p>
      <w:pPr>
        <w:pStyle w:val="a0"/>
      </w:pPr>
      <w:r>
        <w:t xml:space="preserve">Concrete exemplars reinforce that fragility. The Bayesian Integrated Malignancy</w:t>
      </w:r>
      <w:r>
        <w:t xml:space="preserve"> </w:t>
      </w:r>
      <w:r>
        <w:t xml:space="preserve">Calculator (BIMC) blended radiomics with clinical covariates and modestly</w:t>
      </w:r>
      <w:r>
        <w:t xml:space="preserve"> </w:t>
      </w:r>
      <w:r>
        <w:t xml:space="preserve">outperformed Mayo, Brock, and PKUPH (AUC</w:t>
      </w:r>
      <w:r>
        <w:t xml:space="preserve"> </w:t>
      </w:r>
      <m:oMath>
        <m:r>
          <m:rPr>
            <m:sty m:val="p"/>
          </m:rPr>
          <m:t>≈</m:t>
        </m:r>
      </m:oMath>
      <w:r>
        <w:t xml:space="preserve">0.90 vs.</w:t>
      </w:r>
      <w:r>
        <w:t xml:space="preserve"> </w:t>
      </w:r>
      <m:oMath>
        <m:r>
          <m:rPr>
            <m:sty m:val="p"/>
          </m:rPr>
          <m:t>≈</m:t>
        </m:r>
      </m:oMath>
      <w:r>
        <w:t xml:space="preserve">0.78) on an</w:t>
      </w:r>
      <w:r>
        <w:t xml:space="preserve"> </w:t>
      </w:r>
      <w:r>
        <w:t xml:space="preserve">Italian derivation cohort, yet its advantage diminished when scanners, slice</w:t>
      </w:r>
      <w:r>
        <w:t xml:space="preserve"> </w:t>
      </w:r>
      <w:r>
        <w:t xml:space="preserve">thickness, or kernels changed </w:t>
      </w:r>
      <w:r>
        <w:t xml:space="preserve">[</w:t>
      </w:r>
      <w:hyperlink w:anchor="ref-perandini_solid_2016">
        <w:r>
          <w:rPr>
            <w:rStyle w:val="af"/>
          </w:rPr>
          <w:t xml:space="preserve">86</w:t>
        </w:r>
      </w:hyperlink>
      <w:r>
        <w:t xml:space="preserve">]</w:t>
      </w:r>
      <w:r>
        <w:t xml:space="preserve">. Hawkins-style NLST</w:t>
      </w:r>
      <w:r>
        <w:t xml:space="preserve"> </w:t>
      </w:r>
      <w:r>
        <w:t xml:space="preserve">radiomics achieved AUC</w:t>
      </w:r>
      <w:r>
        <w:t xml:space="preserve"> </w:t>
      </w:r>
      <m:oMath>
        <m:r>
          <m:rPr>
            <m:sty m:val="p"/>
          </m:rPr>
          <m:t>≈</m:t>
        </m:r>
      </m:oMath>
      <w:r>
        <w:t xml:space="preserve">0.83 without external validation, and retrospective</w:t>
      </w:r>
      <w:r>
        <w:t xml:space="preserve"> </w:t>
      </w:r>
      <w:r>
        <w:t xml:space="preserve">audits show that a single reconstruction tweak can reorder the features selected by</w:t>
      </w:r>
      <w:r>
        <w:t xml:space="preserve"> </w:t>
      </w:r>
      <w:r>
        <w:t xml:space="preserve">LASSO </w:t>
      </w:r>
      <w:r>
        <w:t xml:space="preserve">[</w:t>
      </w:r>
      <w:hyperlink w:anchor="ref-garau_external_2020">
        <w:r>
          <w:rPr>
            <w:rStyle w:val="af"/>
          </w:rPr>
          <w:t xml:space="preserve">7</w:t>
        </w:r>
      </w:hyperlink>
      <w:r>
        <w:t xml:space="preserve">,</w:t>
      </w:r>
      <w:hyperlink w:anchor="ref-hellin2024unraveling">
        <w:r>
          <w:rPr>
            <w:rStyle w:val="af"/>
          </w:rPr>
          <w:t xml:space="preserve">16</w:t>
        </w:r>
      </w:hyperlink>
      <w:r>
        <w:t xml:space="preserve">]</w:t>
      </w:r>
      <w:r>
        <w:t xml:space="preserve">. Radiomics therefore supplies</w:t>
      </w:r>
      <w:r>
        <w:t xml:space="preserve"> </w:t>
      </w:r>
      <w:r>
        <w:t xml:space="preserve">richer morphology descriptors but still requires harmonization, feature governance,</w:t>
      </w:r>
      <w:r>
        <w:t xml:space="preserve"> </w:t>
      </w:r>
      <w:r>
        <w:t xml:space="preserve">and domain-aware alignment rather than assuming reproducibility across hospitals.</w:t>
      </w:r>
    </w:p>
    <w:bookmarkStart w:id="30" w:name="tbl:radiomics_models"/>
    <w:p>
      <w:pPr>
        <w:pStyle w:val="TableCaption"/>
      </w:pPr>
      <w:r>
        <w:t xml:space="preserve">Table 5: Representative radiomics-based pulmonary nodule malignancy models and reported generalization behavior.</w:t>
      </w:r>
    </w:p>
    <w:tbl>
      <w:tblPr>
        <w:tblStyle w:val="Table"/>
        <w:tblW w:type="auto" w:w="0"/>
        <w:tblLook w:firstRow="1" w:lastRow="0" w:firstColumn="0" w:lastColumn="0" w:noHBand="0" w:noVBand="0" w:val="0020"/>
        <w:tblCaption w:val="Table 5: Representative radiomics-based pulmonary nodule malignancy models and reported generalization behavior."/>
      </w:tblPr>
      <w:tblGrid>
        <w:gridCol w:w="1131"/>
        <w:gridCol w:w="1131"/>
        <w:gridCol w:w="1131"/>
        <w:gridCol w:w="1131"/>
        <w:gridCol w:w="1131"/>
        <w:gridCol w:w="1131"/>
        <w:gridCol w:w="1131"/>
      </w:tblGrid>
      <w:tr>
        <w:trPr>
          <w:tblHeader w:val="on"/>
        </w:trPr>
        <w:tc>
          <w:tcPr/>
          <w:p>
            <w:pPr>
              <w:pStyle w:val="Compact"/>
              <w:jc w:val="left"/>
            </w:pPr>
            <w:r>
              <w:rPr>
                <w:b/>
                <w:bCs/>
              </w:rPr>
              <w:t xml:space="preserve">Study / model</w:t>
            </w:r>
          </w:p>
        </w:tc>
        <w:tc>
          <w:tcPr/>
          <w:p>
            <w:pPr>
              <w:pStyle w:val="Compact"/>
              <w:jc w:val="left"/>
            </w:pPr>
            <w:r>
              <w:rPr>
                <w:b/>
                <w:bCs/>
              </w:rPr>
              <w:t xml:space="preserve">Imaging data</w:t>
            </w:r>
          </w:p>
        </w:tc>
        <w:tc>
          <w:tcPr/>
          <w:p>
            <w:pPr>
              <w:pStyle w:val="Compact"/>
              <w:jc w:val="left"/>
            </w:pPr>
            <w:r>
              <w:rPr>
                <w:b/>
                <w:bCs/>
              </w:rPr>
              <w:t xml:space="preserve">Centers / nodules</w:t>
            </w:r>
          </w:p>
        </w:tc>
        <w:tc>
          <w:tcPr/>
          <w:p>
            <w:pPr>
              <w:pStyle w:val="Compact"/>
              <w:jc w:val="left"/>
            </w:pPr>
            <w:r>
              <w:rPr>
                <w:b/>
                <w:bCs/>
              </w:rPr>
              <w:t xml:space="preserve">Classifier</w:t>
            </w:r>
          </w:p>
        </w:tc>
        <w:tc>
          <w:tcPr/>
          <w:p>
            <w:pPr>
              <w:pStyle w:val="Compact"/>
              <w:jc w:val="left"/>
            </w:pPr>
            <w:r>
              <w:rPr>
                <w:b/>
                <w:bCs/>
              </w:rPr>
              <w:t xml:space="preserve">Internal AUC</w:t>
            </w:r>
          </w:p>
        </w:tc>
        <w:tc>
          <w:tcPr/>
          <w:p>
            <w:pPr>
              <w:pStyle w:val="Compact"/>
              <w:jc w:val="left"/>
            </w:pPr>
            <w:r>
              <w:rPr>
                <w:b/>
                <w:bCs/>
              </w:rPr>
              <w:t xml:space="preserve">External AUC</w:t>
            </w:r>
          </w:p>
        </w:tc>
        <w:tc>
          <w:tcPr/>
          <w:p>
            <w:pPr>
              <w:pStyle w:val="Compact"/>
              <w:jc w:val="left"/>
            </w:pPr>
            <w:r>
              <w:rPr>
                <w:b/>
                <w:bCs/>
              </w:rPr>
              <w:t xml:space="preserve">Harmonization / scanner sensitivity</w:t>
            </w:r>
          </w:p>
        </w:tc>
      </w:tr>
      <w:tr>
        <w:tc>
          <w:tcPr/>
          <w:p>
            <w:pPr>
              <w:pStyle w:val="Compact"/>
              <w:jc w:val="left"/>
            </w:pPr>
            <w:r>
              <w:t xml:space="preserve">Generic radiomics pipelines</w:t>
            </w:r>
          </w:p>
        </w:tc>
        <w:tc>
          <w:tcPr/>
          <w:p>
            <w:pPr>
              <w:pStyle w:val="Compact"/>
              <w:jc w:val="left"/>
            </w:pPr>
            <w:r>
              <w:t xml:space="preserve">2D/3D chest CT or low-dose CT nodules</w:t>
            </w:r>
          </w:p>
        </w:tc>
        <w:tc>
          <w:tcPr/>
          <w:p>
            <w:pPr>
              <w:pStyle w:val="Compact"/>
              <w:jc w:val="left"/>
            </w:pPr>
            <w:r>
              <w:t xml:space="preserve">Single- or few-center cohorts (sizes vary)</w:t>
            </w:r>
          </w:p>
        </w:tc>
        <w:tc>
          <w:tcPr/>
          <w:p>
            <w:pPr>
              <w:pStyle w:val="Compact"/>
              <w:jc w:val="left"/>
            </w:pPr>
            <w:r>
              <w:t xml:space="preserve">LASSO- or stability-selected features with SVM, RF, or GBDT</w:t>
            </w:r>
          </w:p>
        </w:tc>
        <w:tc>
          <w:tcPr/>
          <w:p>
            <w:pPr>
              <w:pStyle w:val="Compact"/>
              <w:jc w:val="left"/>
            </w:pPr>
            <w:r>
              <w:t xml:space="preserve">Typically 0.75–0.90</w:t>
            </w:r>
          </w:p>
        </w:tc>
        <w:tc>
          <w:tcPr/>
          <w:p>
            <w:pPr>
              <w:pStyle w:val="Compact"/>
              <w:jc w:val="left"/>
            </w:pPr>
            <w:r>
              <w:t xml:space="preserve">0.10–0.20 lower</w:t>
            </w:r>
          </w:p>
        </w:tc>
        <w:tc>
          <w:tcPr/>
          <w:p>
            <w:pPr>
              <w:pStyle w:val="Compact"/>
              <w:jc w:val="left"/>
            </w:pPr>
            <w:r>
              <w:t xml:space="preserve">Performance degrades when kernel, slice thickness, or vendor changes; ComBat-style harmonization can reduce but not eliminate scanner effects </w:t>
            </w:r>
            <w:r>
              <w:t xml:space="preserve">[</w:t>
            </w:r>
            <w:hyperlink w:anchor="ref-garau_external_2020">
              <w:r>
                <w:rPr>
                  <w:rStyle w:val="af"/>
                </w:rPr>
                <w:t xml:space="preserve">7</w:t>
              </w:r>
            </w:hyperlink>
            <w:r>
              <w:t xml:space="preserve">,</w:t>
            </w:r>
            <w:hyperlink w:anchor="ref-hellin2024unraveling">
              <w:r>
                <w:rPr>
                  <w:rStyle w:val="af"/>
                </w:rPr>
                <w:t xml:space="preserve">16</w:t>
              </w:r>
            </w:hyperlink>
            <w:r>
              <w:t xml:space="preserve">]</w:t>
            </w:r>
          </w:p>
        </w:tc>
      </w:tr>
      <w:tr>
        <w:tc>
          <w:tcPr/>
          <w:p>
            <w:pPr>
              <w:pStyle w:val="Compact"/>
              <w:jc w:val="left"/>
            </w:pPr>
            <w:r>
              <w:t xml:space="preserve">Multi-center reproducibility analyses</w:t>
            </w:r>
          </w:p>
        </w:tc>
        <w:tc>
          <w:tcPr/>
          <w:p>
            <w:pPr>
              <w:pStyle w:val="Compact"/>
              <w:jc w:val="left"/>
            </w:pPr>
            <w:r>
              <w:t xml:space="preserve">3D CT radiomics features across scanners</w:t>
            </w:r>
          </w:p>
        </w:tc>
        <w:tc>
          <w:tcPr/>
          <w:p>
            <w:pPr>
              <w:pStyle w:val="Compact"/>
              <w:jc w:val="left"/>
            </w:pPr>
            <w:r>
              <w:t xml:space="preserve">Multi-center CT datasets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Many texture features show intraclass correlation coefficients</w:t>
            </w:r>
            <w:r>
              <w:t xml:space="preserve"> </w:t>
            </w:r>
            <m:oMath>
              <m:r>
                <m:rPr>
                  <m:sty m:val="p"/>
                </m:rPr>
                <m:t>&lt;</m:t>
              </m:r>
              <m:r>
                <m:t>0.5</m:t>
              </m:r>
            </m:oMath>
            <w:r>
              <w:t xml:space="preserve"> </w:t>
            </w:r>
            <w:r>
              <w:t xml:space="preserve">across vendors and protocols; harmonization helps but cannot fully restore stability </w:t>
            </w:r>
            <w:r>
              <w:t xml:space="preserve">[</w:t>
            </w:r>
            <w:hyperlink w:anchor="ref-hellin2024unraveling">
              <w:r>
                <w:rPr>
                  <w:rStyle w:val="af"/>
                </w:rPr>
                <w:t xml:space="preserve">16</w:t>
              </w:r>
            </w:hyperlink>
            <w:r>
              <w:t xml:space="preserve">]</w:t>
            </w:r>
          </w:p>
        </w:tc>
      </w:tr>
      <w:tr>
        <w:tc>
          <w:tcPr/>
          <w:p>
            <w:pPr>
              <w:pStyle w:val="Compact"/>
              <w:jc w:val="left"/>
            </w:pPr>
            <w:r>
              <w:t xml:space="preserve">Radiomics + clinical scoring models</w:t>
            </w:r>
          </w:p>
        </w:tc>
        <w:tc>
          <w:tcPr/>
          <w:p>
            <w:pPr>
              <w:pStyle w:val="Compact"/>
              <w:jc w:val="left"/>
            </w:pPr>
            <w:r>
              <w:t xml:space="preserve">Radiomics signatures combined with clinical descriptors</w:t>
            </w:r>
          </w:p>
        </w:tc>
        <w:tc>
          <w:tcPr/>
          <w:p>
            <w:pPr>
              <w:pStyle w:val="Compact"/>
              <w:jc w:val="left"/>
            </w:pPr>
            <w:r>
              <w:t xml:space="preserve">Hospital-specific or regional nodule cohorts</w:t>
            </w:r>
          </w:p>
        </w:tc>
        <w:tc>
          <w:tcPr/>
          <w:p>
            <w:pPr>
              <w:pStyle w:val="Compact"/>
              <w:jc w:val="left"/>
            </w:pPr>
            <w:r>
              <w:t xml:space="preserve">Elastic-net / logistic regression, RF, or GBDT</w:t>
            </w:r>
          </w:p>
        </w:tc>
        <w:tc>
          <w:tcPr/>
          <w:p>
            <w:pPr>
              <w:pStyle w:val="Compact"/>
              <w:jc w:val="left"/>
            </w:pPr>
            <w:r>
              <w:t xml:space="preserve">High (</w:t>
            </w:r>
            <m:oMath>
              <m:r>
                <m:rPr>
                  <m:sty m:val="p"/>
                </m:rPr>
                <m:t>≥</m:t>
              </m:r>
              <m:r>
                <m:t>0.80</m:t>
              </m:r>
            </m:oMath>
            <w:r>
              <w:t xml:space="preserve">)</w:t>
            </w:r>
          </w:p>
        </w:tc>
        <w:tc>
          <w:tcPr/>
          <w:p>
            <w:pPr>
              <w:pStyle w:val="Compact"/>
              <w:jc w:val="left"/>
            </w:pPr>
            <w:r>
              <w:t xml:space="preserve">Mid-0.70s or lower</w:t>
            </w:r>
          </w:p>
        </w:tc>
        <w:tc>
          <w:tcPr/>
          <w:p>
            <w:pPr>
              <w:pStyle w:val="Compact"/>
              <w:jc w:val="left"/>
            </w:pPr>
            <w:r>
              <w:t xml:space="preserve">External validations report double-digit AUC loss and sensitivity to case mix and acquisition protocol </w:t>
            </w:r>
            <w:r>
              <w:t xml:space="preserve">[</w:t>
            </w:r>
            <w:hyperlink w:anchor="ref-garau_external_2020">
              <w:r>
                <w:rPr>
                  <w:rStyle w:val="af"/>
                </w:rPr>
                <w:t xml:space="preserve">7</w:t>
              </w:r>
            </w:hyperlink>
            <w:r>
              <w:t xml:space="preserve">]</w:t>
            </w:r>
          </w:p>
        </w:tc>
      </w:tr>
    </w:tbl>
    <w:bookmarkEnd w:id="30"/>
    <w:p>
      <w:pPr>
        <w:pStyle w:val="a0"/>
      </w:pPr>
      <w:r>
        <w:t xml:space="preserve">Published inter-scanner analyses often report intraclass correlation coefficients</w:t>
      </w:r>
      <w:r>
        <w:t xml:space="preserve"> </w:t>
      </w:r>
      <w:r>
        <w:t xml:space="preserve">below 0.5 for entropy and run-length features, indicating poor reliability even</w:t>
      </w:r>
      <w:r>
        <w:t xml:space="preserve"> </w:t>
      </w:r>
      <w:r>
        <w:t xml:space="preserve">before model fitting </w:t>
      </w:r>
      <w:r>
        <w:t xml:space="preserve">[</w:t>
      </w:r>
      <w:hyperlink w:anchor="ref-hellin2024unraveling">
        <w:r>
          <w:rPr>
            <w:rStyle w:val="af"/>
          </w:rPr>
          <w:t xml:space="preserve">16</w:t>
        </w:r>
      </w:hyperlink>
      <w:r>
        <w:t xml:space="preserve">]</w:t>
      </w:r>
      <w:r>
        <w:t xml:space="preserve">. ComBat can regress out known batch</w:t>
      </w:r>
      <w:r>
        <w:t xml:space="preserve"> </w:t>
      </w:r>
      <w:r>
        <w:t xml:space="preserve">effects when acquisition labels are available, but it can also blur subtle lesions</w:t>
      </w:r>
      <w:r>
        <w:t xml:space="preserve"> </w:t>
      </w:r>
      <w:r>
        <w:t xml:space="preserve">and fails when batch membership is unknown at inference time, leaving a gap that</w:t>
      </w:r>
      <w:r>
        <w:t xml:space="preserve"> </w:t>
      </w:r>
      <w:r>
        <w:t xml:space="preserve">tabular-alignment pipelines attempt to close. Beyond handcrafted features, many</w:t>
      </w:r>
      <w:r>
        <w:t xml:space="preserve"> </w:t>
      </w:r>
      <w:r>
        <w:t xml:space="preserve">radiomics pipelines incorporate LASSO, elastic-net logistic regression, or</w:t>
      </w:r>
      <w:r>
        <w:t xml:space="preserve"> </w:t>
      </w:r>
      <w:r>
        <w:t xml:space="preserve">stability-selection frameworks to shrink coefficients and stabilize feature sets</w:t>
      </w:r>
      <w:r>
        <w:t xml:space="preserve"> </w:t>
      </w:r>
      <w:r>
        <w:t xml:space="preserve">before training SVM, random forest, or GBDT classifiers. Although these strategies</w:t>
      </w:r>
      <w:r>
        <w:t xml:space="preserve"> </w:t>
      </w:r>
      <w:r>
        <w:t xml:space="preserve">help curb overfitting in small cohorts, they do not eliminate sensitivity to</w:t>
      </w:r>
      <w:r>
        <w:t xml:space="preserve"> </w:t>
      </w:r>
      <w:r>
        <w:t xml:space="preserve">acquisition protocols: the same feature may be retained in one scanner configuration</w:t>
      </w:r>
      <w:r>
        <w:t xml:space="preserve"> </w:t>
      </w:r>
      <w:r>
        <w:t xml:space="preserve">and discarded in another because its estimated importance changes with kernel or</w:t>
      </w:r>
      <w:r>
        <w:t xml:space="preserve"> </w:t>
      </w:r>
      <w:r>
        <w:t xml:space="preserve">slice thickness. Multi-center studies frequently report 10–20 percentage-point AUC</w:t>
      </w:r>
      <w:r>
        <w:t xml:space="preserve"> </w:t>
      </w:r>
      <w:r>
        <w:t xml:space="preserve">drops when models are transported without revisiting segmentation, feature</w:t>
      </w:r>
      <w:r>
        <w:t xml:space="preserve"> </w:t>
      </w:r>
      <w:r>
        <w:t xml:space="preserve">extraction, and harmonization choices </w:t>
      </w:r>
      <w:r>
        <w:t xml:space="preserve">[</w:t>
      </w:r>
      <w:hyperlink w:anchor="ref-garau_external_2020">
        <w:r>
          <w:rPr>
            <w:rStyle w:val="af"/>
          </w:rPr>
          <w:t xml:space="preserve">7</w:t>
        </w:r>
      </w:hyperlink>
      <w:r>
        <w:t xml:space="preserve">,</w:t>
      </w:r>
      <w:hyperlink w:anchor="ref-hellin2024unraveling">
        <w:r>
          <w:rPr>
            <w:rStyle w:val="af"/>
          </w:rPr>
          <w:t xml:space="preserve">16</w:t>
        </w:r>
      </w:hyperlink>
      <w:r>
        <w:t xml:space="preserve">]</w:t>
      </w:r>
      <w:r>
        <w:t xml:space="preserve">.</w:t>
      </w:r>
      <w:r>
        <w:t xml:space="preserve"> </w:t>
      </w:r>
      <w:r>
        <w:t xml:space="preserve">As a result, radiomics pipelines tend to behave like carefully tuned, center-specific</w:t>
      </w:r>
      <w:r>
        <w:t xml:space="preserve"> </w:t>
      </w:r>
      <w:r>
        <w:t xml:space="preserve">instruments rather than plug-and-play risk predictors, and their complexity makes it</w:t>
      </w:r>
      <w:r>
        <w:t xml:space="preserve"> </w:t>
      </w:r>
      <w:r>
        <w:t xml:space="preserve">hard for clinicians to trace failure modes back to specific preprocessing or</w:t>
      </w:r>
      <w:r>
        <w:t xml:space="preserve"> </w:t>
      </w:r>
      <w:r>
        <w:t xml:space="preserve">feature-engineering steps.</w:t>
      </w:r>
    </w:p>
    <w:bookmarkEnd w:id="31"/>
    <w:bookmarkStart w:id="32" w:name="deep-learning-cad-systems"/>
    <w:p>
      <w:pPr>
        <w:pStyle w:val="3"/>
      </w:pPr>
      <w:r>
        <w:t xml:space="preserve">Deep-learning CAD systems</w:t>
      </w:r>
    </w:p>
    <w:p>
      <w:pPr>
        <w:pStyle w:val="FirstParagraph"/>
      </w:pPr>
      <w:r>
        <w:t xml:space="preserve">End-to-end deep-learning computer-aided diagnosis (CAD) systems extend the radiomics</w:t>
      </w:r>
      <w:r>
        <w:t xml:space="preserve"> </w:t>
      </w:r>
      <w:r>
        <w:t xml:space="preserve">pipeline by learning 3D convolutional representations directly from CT volumes or</w:t>
      </w:r>
      <w:r>
        <w:t xml:space="preserve"> </w:t>
      </w:r>
      <w:r>
        <w:t xml:space="preserve">multi-view patches. Large-scale screening trials such as NLST have enabled</w:t>
      </w:r>
      <w:r>
        <w:t xml:space="preserve"> </w:t>
      </w:r>
      <w:r>
        <w:t xml:space="preserve">3D CNNs to achieve AUCs in the mid-0.90s on internal validation, sometimes</w:t>
      </w:r>
      <w:r>
        <w:t xml:space="preserve"> </w:t>
      </w:r>
      <w:r>
        <w:t xml:space="preserve">matching or surpassing expert radiologists </w:t>
      </w:r>
      <w:r>
        <w:t xml:space="preserve">[</w:t>
      </w:r>
      <w:hyperlink w:anchor="ref-ardila_end--end_2019">
        <w:r>
          <w:rPr>
            <w:rStyle w:val="af"/>
          </w:rPr>
          <w:t xml:space="preserve">14</w:t>
        </w:r>
      </w:hyperlink>
      <w:r>
        <w:t xml:space="preserve">]</w:t>
      </w:r>
      <w:r>
        <w:t xml:space="preserve">. Subsequent</w:t>
      </w:r>
      <w:r>
        <w:t xml:space="preserve"> </w:t>
      </w:r>
      <w:r>
        <w:t xml:space="preserve">works combine deep features with handcrafted radiomics or clinical covariates,</w:t>
      </w:r>
      <w:r>
        <w:t xml:space="preserve"> </w:t>
      </w:r>
      <w:r>
        <w:t xml:space="preserve">showing further gains on curated datasets </w:t>
      </w:r>
      <w:r>
        <w:t xml:space="preserve">[</w:t>
      </w:r>
      <w:hyperlink w:anchor="ref-li_predicting_2019">
        <w:r>
          <w:rPr>
            <w:rStyle w:val="af"/>
          </w:rPr>
          <w:t xml:space="preserve">87</w:t>
        </w:r>
      </w:hyperlink>
      <w:r>
        <w:t xml:space="preserve">,</w:t>
      </w:r>
      <w:hyperlink w:anchor="ref-lin_combined_2024">
        <w:r>
          <w:rPr>
            <w:rStyle w:val="af"/>
          </w:rPr>
          <w:t xml:space="preserve">88</w:t>
        </w:r>
      </w:hyperlink>
      <w:r>
        <w:t xml:space="preserve">]</w:t>
      </w:r>
      <w:r>
        <w:t xml:space="preserve">.</w:t>
      </w:r>
      <w:r>
        <w:t xml:space="preserve"> </w:t>
      </w:r>
      <w:r>
        <w:t xml:space="preserve">Causey et al.’s NoduleX reproduced radiologist malignancy ratings with AUC</w:t>
      </w:r>
      <w:r>
        <w:t xml:space="preserve"> </w:t>
      </w:r>
      <m:oMath>
        <m:r>
          <m:rPr>
            <m:sty m:val="p"/>
          </m:rPr>
          <m:t>≈</m:t>
        </m:r>
      </m:oMath>
      <w:r>
        <w:t xml:space="preserve">0.99 on LIDC-IDRI, and Google’s NLST-scale 3D CNN maintained AUC</w:t>
      </w:r>
      <w:r>
        <w:t xml:space="preserve"> </w:t>
      </w:r>
      <m:oMath>
        <m:r>
          <m:rPr>
            <m:sty m:val="p"/>
          </m:rPr>
          <m:t>≈</m:t>
        </m:r>
      </m:oMath>
      <w:r>
        <w:t xml:space="preserve">0.94 on an independent hospital cohort of 1</w:t>
      </w:r>
      <w:r>
        <w:t xml:space="preserve">,</w:t>
      </w:r>
      <w:r>
        <w:t xml:space="preserve">139 CTs, illustrating how</w:t>
      </w:r>
      <w:r>
        <w:t xml:space="preserve"> </w:t>
      </w:r>
      <w:r>
        <w:t xml:space="preserve">massive, homogeneous datasets can suppress variance </w:t>
      </w:r>
      <w:r>
        <w:t xml:space="preserve">[</w:t>
      </w:r>
      <w:hyperlink w:anchor="ref-ardila_end--end_2019">
        <w:r>
          <w:rPr>
            <w:rStyle w:val="af"/>
          </w:rPr>
          <w:t xml:space="preserve">14</w:t>
        </w:r>
      </w:hyperlink>
      <w:r>
        <w:t xml:space="preserve">,</w:t>
      </w:r>
      <w:hyperlink w:anchor="ref-causey_highly_2018">
        <w:r>
          <w:rPr>
            <w:rStyle w:val="af"/>
          </w:rPr>
          <w:t xml:space="preserve">89</w:t>
        </w:r>
      </w:hyperlink>
      <w:r>
        <w:t xml:space="preserve">]</w:t>
      </w:r>
      <w:r>
        <w:t xml:space="preserve">.</w:t>
      </w:r>
      <w:r>
        <w:t xml:space="preserve"> </w:t>
      </w:r>
      <w:r>
        <w:t xml:space="preserve">However, these successes often rely on tightly controlled acquisition protocols and</w:t>
      </w:r>
      <w:r>
        <w:t xml:space="preserve"> </w:t>
      </w:r>
      <w:r>
        <w:t xml:space="preserve">substantial annotation effort. External validations reveal double-digit AUC drops</w:t>
      </w:r>
      <w:r>
        <w:t xml:space="preserve"> </w:t>
      </w:r>
      <w:r>
        <w:t xml:space="preserve">when voxel spacing, reconstruction kernels, or vendor mix shift, and shortcut-learning</w:t>
      </w:r>
      <w:r>
        <w:t xml:space="preserve"> </w:t>
      </w:r>
      <w:r>
        <w:t xml:space="preserve">analyses demonstrate that CNNs may rely on markers, reconstruction noise, or scanner</w:t>
      </w:r>
      <w:r>
        <w:t xml:space="preserve"> </w:t>
      </w:r>
      <w:r>
        <w:t xml:space="preserve">metadata rather than nodule morphology </w:t>
      </w:r>
      <w:r>
        <w:t xml:space="preserve">[</w:t>
      </w:r>
      <w:hyperlink w:anchor="ref-zech_variable_2018">
        <w:r>
          <w:rPr>
            <w:rStyle w:val="af"/>
          </w:rPr>
          <w:t xml:space="preserve">15</w:t>
        </w:r>
      </w:hyperlink>
      <w:r>
        <w:t xml:space="preserve">,</w:t>
      </w:r>
      <w:hyperlink w:anchor="ref-hellin2024unraveling">
        <w:r>
          <w:rPr>
            <w:rStyle w:val="af"/>
          </w:rPr>
          <w:t xml:space="preserve">16</w:t>
        </w:r>
      </w:hyperlink>
      <w:r>
        <w:t xml:space="preserve">,</w:t>
      </w:r>
      <w:hyperlink w:anchor="ref-koch2024distribution">
        <w:r>
          <w:rPr>
            <w:rStyle w:val="af"/>
          </w:rPr>
          <w:t xml:space="preserve">26</w:t>
        </w:r>
      </w:hyperlink>
      <w:r>
        <w:t xml:space="preserve">]</w:t>
      </w:r>
      <w:r>
        <w:t xml:space="preserve">. Moreover, most deep CAD systems treat imaging in isolation or</w:t>
      </w:r>
      <w:r>
        <w:t xml:space="preserve"> </w:t>
      </w:r>
      <w:r>
        <w:t xml:space="preserve">only append a handful of clinical variables, limiting their ability to reason over</w:t>
      </w:r>
      <w:r>
        <w:t xml:space="preserve"> </w:t>
      </w:r>
      <w:r>
        <w:t xml:space="preserve">complex comorbidity profiles or laboratory trajectories. Multi-view and multi-scale</w:t>
      </w:r>
      <w:r>
        <w:t xml:space="preserve"> </w:t>
      </w:r>
      <w:r>
        <w:t xml:space="preserve">architectures that process cropped nodules, surrounding parenchyma, and whole-lung</w:t>
      </w:r>
      <w:r>
        <w:t xml:space="preserve"> </w:t>
      </w:r>
      <w:r>
        <w:t xml:space="preserve">context can mitigate some of these issues, but they further increase computational</w:t>
      </w:r>
      <w:r>
        <w:t xml:space="preserve"> </w:t>
      </w:r>
      <w:r>
        <w:t xml:space="preserve">cost and annotation effort. Multi-task variants that jointly predict malignancy,</w:t>
      </w:r>
      <w:r>
        <w:t xml:space="preserve"> </w:t>
      </w:r>
      <w:r>
        <w:t xml:space="preserve">growth, or histological subtype promise richer supervision but require large,</w:t>
      </w:r>
      <w:r>
        <w:t xml:space="preserve"> </w:t>
      </w:r>
      <w:r>
        <w:t xml:space="preserve">carefully curated datasets that few hospitals possess. In practice, many published</w:t>
      </w:r>
      <w:r>
        <w:t xml:space="preserve"> </w:t>
      </w:r>
      <w:r>
        <w:t xml:space="preserve">CAD systems are trained and tuned on a single trial or institution, with limited</w:t>
      </w:r>
      <w:r>
        <w:t xml:space="preserve"> </w:t>
      </w:r>
      <w:r>
        <w:t xml:space="preserve">reporting on cross-hospital generalization or calibration. Where multi-center</w:t>
      </w:r>
      <w:r>
        <w:t xml:space="preserve"> </w:t>
      </w:r>
      <w:r>
        <w:t xml:space="preserve">experiments are reported, performance is typically rescued by site-specific</w:t>
      </w:r>
      <w:r>
        <w:t xml:space="preserve"> </w:t>
      </w:r>
      <w:r>
        <w:t xml:space="preserve">fine-tuning on labeled cases from each target hospital, and very few studies attempt</w:t>
      </w:r>
      <w:r>
        <w:t xml:space="preserve"> </w:t>
      </w:r>
      <w:r>
        <w:t xml:space="preserve">label-free</w:t>
      </w:r>
      <w:r>
        <w:t xml:space="preserve"> </w:t>
      </w:r>
      <w:r>
        <w:t xml:space="preserve">“train at A, deploy at B”</w:t>
      </w:r>
      <w:r>
        <w:t xml:space="preserve"> </w:t>
      </w:r>
      <w:r>
        <w:t xml:space="preserve">deployment. As a result, deep CAD systems</w:t>
      </w:r>
      <w:r>
        <w:t xml:space="preserve"> </w:t>
      </w:r>
      <w:r>
        <w:t xml:space="preserve">remain powerful local tools rather than robust cross-hospital risk predictors.</w:t>
      </w:r>
    </w:p>
    <w:bookmarkEnd w:id="32"/>
    <w:bookmarkStart w:id="33" w:name="tabular-and-multi-modal-nodule-models"/>
    <w:p>
      <w:pPr>
        <w:pStyle w:val="3"/>
      </w:pPr>
      <w:r>
        <w:t xml:space="preserve">Tabular and multi-modal nodule models</w:t>
      </w:r>
    </w:p>
    <w:p>
      <w:pPr>
        <w:pStyle w:val="FirstParagraph"/>
      </w:pPr>
      <w:r>
        <w:t xml:space="preserve">Later machine-learning models—LASSO, random forests, GBDTs, Bayesian networks, and</w:t>
      </w:r>
      <w:r>
        <w:t xml:space="preserve"> </w:t>
      </w:r>
      <w:r>
        <w:t xml:space="preserve">hybrid radiomics-clinical models—attempt to combine the strengths of scores and</w:t>
      </w:r>
      <w:r>
        <w:t xml:space="preserve"> </w:t>
      </w:r>
      <w:r>
        <w:t xml:space="preserve">imaging </w:t>
      </w:r>
      <w:r>
        <w:t xml:space="preserve">[</w:t>
      </w:r>
      <w:hyperlink w:anchor="ref-he2021novel">
        <w:r>
          <w:rPr>
            <w:rStyle w:val="af"/>
          </w:rPr>
          <w:t xml:space="preserve">4</w:t>
        </w:r>
      </w:hyperlink>
      <w:r>
        <w:t xml:space="preserve">,</w:t>
      </w:r>
      <w:hyperlink w:anchor="ref-garau_external_2020">
        <w:r>
          <w:rPr>
            <w:rStyle w:val="af"/>
          </w:rPr>
          <w:t xml:space="preserve">7</w:t>
        </w:r>
      </w:hyperlink>
      <w:r>
        <w:t xml:space="preserve">,</w:t>
      </w:r>
      <w:hyperlink w:anchor="ref-li_predicting_2019">
        <w:r>
          <w:rPr>
            <w:rStyle w:val="af"/>
          </w:rPr>
          <w:t xml:space="preserve">87</w:t>
        </w:r>
      </w:hyperlink>
      <w:r>
        <w:t xml:space="preserve">,</w:t>
      </w:r>
      <w:hyperlink w:anchor="ref-lin_combined_2024">
        <w:r>
          <w:rPr>
            <w:rStyle w:val="af"/>
          </w:rPr>
          <w:t xml:space="preserve">88</w:t>
        </w:r>
      </w:hyperlink>
      <w:r>
        <w:t xml:space="preserve">]</w:t>
      </w:r>
      <w:r>
        <w:t xml:space="preserve">.</w:t>
      </w:r>
      <w:r>
        <w:t xml:space="preserve"> </w:t>
      </w:r>
      <w:r>
        <w:t xml:space="preserve">GBDTs and random forests improve internal calibration and handle nonlinear</w:t>
      </w:r>
      <w:r>
        <w:t xml:space="preserve"> </w:t>
      </w:r>
      <w:r>
        <w:t xml:space="preserve">interactions but still require site-specific recalibration or feature mapping before</w:t>
      </w:r>
      <w:r>
        <w:t xml:space="preserve"> </w:t>
      </w:r>
      <w:r>
        <w:t xml:space="preserve">deployment because their learned weights implicitly encode scanner kernels and local</w:t>
      </w:r>
      <w:r>
        <w:t xml:space="preserve"> </w:t>
      </w:r>
      <w:r>
        <w:t xml:space="preserve">smoking histories. Multi-modal models that fuse deep image features with clinical</w:t>
      </w:r>
      <w:r>
        <w:t xml:space="preserve"> </w:t>
      </w:r>
      <w:r>
        <w:t xml:space="preserve">covariates via late fusion or stacking demonstrate promising gains on LIDC-IDRI and</w:t>
      </w:r>
      <w:r>
        <w:t xml:space="preserve"> </w:t>
      </w:r>
      <w:r>
        <w:t xml:space="preserve">NLST, yet most studies remain single-center or rely on random train–test splits</w:t>
      </w:r>
      <w:r>
        <w:t xml:space="preserve"> </w:t>
      </w:r>
      <w:r>
        <w:t xml:space="preserve">that do not reflect real cross-hospital deployment. Only a handful of works evaluate</w:t>
      </w:r>
      <w:r>
        <w:t xml:space="preserve"> </w:t>
      </w:r>
      <w:r>
        <w:t xml:space="preserve">performance when training on one hospital and testing on another, and these typically</w:t>
      </w:r>
      <w:r>
        <w:t xml:space="preserve"> </w:t>
      </w:r>
      <w:r>
        <w:t xml:space="preserve">report substantial AUC drops and unstable decision thresholds </w:t>
      </w:r>
      <w:r>
        <w:t xml:space="preserve">[</w:t>
      </w:r>
      <w:hyperlink w:anchor="ref-garau_external_2020">
        <w:r>
          <w:rPr>
            <w:rStyle w:val="af"/>
          </w:rPr>
          <w:t xml:space="preserve">7</w:t>
        </w:r>
      </w:hyperlink>
      <w:r>
        <w:t xml:space="preserve">,</w:t>
      </w:r>
      <w:hyperlink w:anchor="ref-hellin2024unraveling">
        <w:r>
          <w:rPr>
            <w:rStyle w:val="af"/>
          </w:rPr>
          <w:t xml:space="preserve">16</w:t>
        </w:r>
      </w:hyperlink>
      <w:r>
        <w:t xml:space="preserve">]</w:t>
      </w:r>
      <w:r>
        <w:t xml:space="preserve">. Recent multi-center studies in Asian and Chinese screening</w:t>
      </w:r>
      <w:r>
        <w:t xml:space="preserve"> </w:t>
      </w:r>
      <w:r>
        <w:t xml:space="preserve">cohorts echo this pattern: even when models are re-estimated or augmented with</w:t>
      </w:r>
      <w:r>
        <w:t xml:space="preserve"> </w:t>
      </w:r>
      <w:r>
        <w:t xml:space="preserve">additional imaging features for new hospitals, external AUCs often plateau in the</w:t>
      </w:r>
      <w:r>
        <w:t xml:space="preserve"> </w:t>
      </w:r>
      <w:r>
        <w:t xml:space="preserve">low- to mid-0.70s and remain sensitive to protocol details and case mix </w:t>
      </w:r>
      <w:r>
        <w:t xml:space="preserve">[</w:t>
      </w:r>
      <w:hyperlink w:anchor="ref-garau_external_2020">
        <w:r>
          <w:rPr>
            <w:rStyle w:val="af"/>
          </w:rPr>
          <w:t xml:space="preserve">7</w:t>
        </w:r>
      </w:hyperlink>
      <w:r>
        <w:t xml:space="preserve">,</w:t>
      </w:r>
      <w:hyperlink w:anchor="ref-hellin2024unraveling">
        <w:r>
          <w:rPr>
            <w:rStyle w:val="af"/>
          </w:rPr>
          <w:t xml:space="preserve">16</w:t>
        </w:r>
      </w:hyperlink>
      <w:r>
        <w:t xml:space="preserve">,</w:t>
      </w:r>
      <w:hyperlink w:anchor="ref-wu_strategy_2023">
        <w:r>
          <w:rPr>
            <w:rStyle w:val="af"/>
          </w:rPr>
          <w:t xml:space="preserve">90</w:t>
        </w:r>
      </w:hyperlink>
      <w:r>
        <w:t xml:space="preserve">]</w:t>
      </w:r>
      <w:r>
        <w:t xml:space="preserve">. These observations motivate a shift toward tabular-centric</w:t>
      </w:r>
      <w:r>
        <w:t xml:space="preserve"> </w:t>
      </w:r>
      <w:r>
        <w:t xml:space="preserve">models that can incorporate imaging-derived biomarkers while explicitly handling</w:t>
      </w:r>
      <w:r>
        <w:t xml:space="preserve"> </w:t>
      </w:r>
      <w:r>
        <w:t xml:space="preserve">feature mismatch and domain shift rather than assuming homogeneous acquisition.</w:t>
      </w:r>
      <w:r>
        <w:t xml:space="preserve"> </w:t>
      </w:r>
      <w:r>
        <w:t xml:space="preserve">Within the tabular family, two broad patterns emerge. Purely clinical models use</w:t>
      </w:r>
      <w:r>
        <w:t xml:space="preserve"> </w:t>
      </w:r>
      <w:r>
        <w:t xml:space="preserve">logistic regression or tree ensembles on demographics, smoking history, and simple</w:t>
      </w:r>
      <w:r>
        <w:t xml:space="preserve"> </w:t>
      </w:r>
      <w:r>
        <w:t xml:space="preserve">CT descriptors, sometimes enriched with laboratory indices or comorbidity scores.</w:t>
      </w:r>
      <w:r>
        <w:t xml:space="preserve"> </w:t>
      </w:r>
      <w:r>
        <w:t xml:space="preserve">These models are attractive for deployment because all inputs are routinely</w:t>
      </w:r>
      <w:r>
        <w:t xml:space="preserve"> </w:t>
      </w:r>
      <w:r>
        <w:t xml:space="preserve">available in electronic health records, yet they inherit the limitations of</w:t>
      </w:r>
      <w:r>
        <w:t xml:space="preserve"> </w:t>
      </w:r>
      <w:r>
        <w:t xml:space="preserve">classical scores: most are developed and validated in a single institution, assume</w:t>
      </w:r>
      <w:r>
        <w:t xml:space="preserve"> </w:t>
      </w:r>
      <w:r>
        <w:t xml:space="preserve">aligned features across sites, and rarely report behavior under explicit domain</w:t>
      </w:r>
      <w:r>
        <w:t xml:space="preserve"> </w:t>
      </w:r>
      <w:r>
        <w:t xml:space="preserve">shift. Hybrid models instead treat radiomics signatures or deep image embeddings as</w:t>
      </w:r>
      <w:r>
        <w:t xml:space="preserve"> </w:t>
      </w:r>
      <w:r>
        <w:t xml:space="preserve">additional covariates in a tabular classifier, enabling richer decision boundaries</w:t>
      </w:r>
      <w:r>
        <w:t xml:space="preserve"> </w:t>
      </w:r>
      <w:r>
        <w:t xml:space="preserve">while retaining some interpretability via variable-importance analyses. However,</w:t>
      </w:r>
      <w:r>
        <w:t xml:space="preserve"> </w:t>
      </w:r>
      <w:r>
        <w:t xml:space="preserve">their feature spaces are even more brittle across scanners and hospitals, as both</w:t>
      </w:r>
      <w:r>
        <w:t xml:space="preserve"> </w:t>
      </w:r>
      <w:r>
        <w:t xml:space="preserve">image-derived and clinical variables can change distributions or go missing.</w:t>
      </w:r>
    </w:p>
    <w:p>
      <w:pPr>
        <w:pStyle w:val="a0"/>
      </w:pPr>
      <w:r>
        <w:t xml:space="preserve">Existing works seldom implement formal domain-adaptation strategies for these</w:t>
      </w:r>
      <w:r>
        <w:t xml:space="preserve"> </w:t>
      </w:r>
      <w:r>
        <w:t xml:space="preserve">tabular or multi-modal models. External evaluations, when present, typically test a</w:t>
      </w:r>
      <w:r>
        <w:t xml:space="preserve"> </w:t>
      </w:r>
      <w:r>
        <w:t xml:space="preserve">fixed model on a new hospital without feature re-alignment or recalibration,</w:t>
      </w:r>
      <w:r>
        <w:t xml:space="preserve"> </w:t>
      </w:r>
      <w:r>
        <w:t xml:space="preserve">documenting sizable performance degradation but not offering systematic remedies.</w:t>
      </w:r>
      <w:r>
        <w:t xml:space="preserve"> </w:t>
      </w:r>
      <w:r>
        <w:t xml:space="preserve">Only a few studies experiment with simple recalibration or refitting on a small</w:t>
      </w:r>
      <w:r>
        <w:t xml:space="preserve"> </w:t>
      </w:r>
      <w:r>
        <w:t xml:space="preserve">local sample, and virtually none explore cross-domain feature selection or latent</w:t>
      </w:r>
      <w:r>
        <w:t xml:space="preserve"> </w:t>
      </w:r>
      <w:r>
        <w:t xml:space="preserve">alignment tailored to nodule malignancy prediction </w:t>
      </w:r>
      <w:r>
        <w:t xml:space="preserve">[</w:t>
      </w:r>
      <w:hyperlink w:anchor="ref-garau_external_2020">
        <w:r>
          <w:rPr>
            <w:rStyle w:val="af"/>
          </w:rPr>
          <w:t xml:space="preserve">7</w:t>
        </w:r>
      </w:hyperlink>
      <w:r>
        <w:t xml:space="preserve">,</w:t>
      </w:r>
      <w:hyperlink w:anchor="ref-hellin2024unraveling">
        <w:r>
          <w:rPr>
            <w:rStyle w:val="af"/>
          </w:rPr>
          <w:t xml:space="preserve">16</w:t>
        </w:r>
      </w:hyperlink>
      <w:r>
        <w:t xml:space="preserve">]</w:t>
      </w:r>
      <w:r>
        <w:t xml:space="preserve">. Consequently, the literature lacks robust, tabular-centric</w:t>
      </w:r>
      <w:r>
        <w:t xml:space="preserve"> </w:t>
      </w:r>
      <w:r>
        <w:t xml:space="preserve">frameworks that (i) start from strong small-sample priors, (ii) identify a compact</w:t>
      </w:r>
      <w:r>
        <w:t xml:space="preserve"> </w:t>
      </w:r>
      <w:r>
        <w:t xml:space="preserve">set of biomarkers stable across hospitals, and (iii) explicitly align feature</w:t>
      </w:r>
      <w:r>
        <w:t xml:space="preserve"> </w:t>
      </w:r>
      <w:r>
        <w:t xml:space="preserve">distributions without assuming access to large labeled target cohorts. Taken</w:t>
      </w:r>
      <w:r>
        <w:t xml:space="preserve"> </w:t>
      </w:r>
      <w:r>
        <w:t xml:space="preserve">together, these studies show that neither handcrafted risk scores, radiomics</w:t>
      </w:r>
      <w:r>
        <w:t xml:space="preserve"> </w:t>
      </w:r>
      <w:r>
        <w:t xml:space="preserve">pipelines, nor deep CNN-based CAD systems currently offer reliable malignancy</w:t>
      </w:r>
      <w:r>
        <w:t xml:space="preserve"> </w:t>
      </w:r>
      <w:r>
        <w:t xml:space="preserve">prediction across hospitals without local retraining or recalibration. Addressing</w:t>
      </w:r>
      <w:r>
        <w:t xml:space="preserve"> </w:t>
      </w:r>
      <w:r>
        <w:t xml:space="preserve">these gaps is a central motivation for the PANDA framework developed in this thesis.</w:t>
      </w:r>
    </w:p>
    <w:bookmarkEnd w:id="33"/>
    <w:bookmarkEnd w:id="34"/>
    <w:bookmarkStart w:id="37" w:name="Xeb95f6f69efcdb5317948ca264fe3bd10c7d606"/>
    <w:p>
      <w:pPr>
        <w:pStyle w:val="2"/>
      </w:pPr>
      <w:r>
        <w:t xml:space="preserve">Benchmarks and open problems for cross-domain tabular learning</w:t>
      </w:r>
    </w:p>
    <w:p>
      <w:pPr>
        <w:pStyle w:val="FirstParagraph"/>
      </w:pPr>
      <w:r>
        <w:t xml:space="preserve">Beyond single-institution case studies, public benchmarks now stress-test shift</w:t>
      </w:r>
      <w:r>
        <w:t xml:space="preserve"> </w:t>
      </w:r>
      <w:r>
        <w:t xml:space="preserve">robustness. TableShift curates 15 binary tasks across healthcare, finance, and public</w:t>
      </w:r>
      <w:r>
        <w:t xml:space="preserve"> </w:t>
      </w:r>
      <w:r>
        <w:t xml:space="preserve">policy, with explicit temporal, geographic, and demographic shifts to measure</w:t>
      </w:r>
      <w:r>
        <w:t xml:space="preserve"> </w:t>
      </w:r>
      <w:r>
        <w:t xml:space="preserve">out-of-distribution accuracy drops and calibration drift </w:t>
      </w:r>
      <w:r>
        <w:t xml:space="preserve">[</w:t>
      </w:r>
      <w:hyperlink w:anchor="ref-gardner_benchmarking_2024">
        <w:r>
          <w:rPr>
            <w:rStyle w:val="af"/>
          </w:rPr>
          <w:t xml:space="preserve">30</w:t>
        </w:r>
      </w:hyperlink>
      <w:r>
        <w:t xml:space="preserve">,</w:t>
      </w:r>
      <w:hyperlink w:anchor="ref-gardner_tableshift_nodate">
        <w:r>
          <w:rPr>
            <w:rStyle w:val="af"/>
          </w:rPr>
          <w:t xml:space="preserve">70</w:t>
        </w:r>
      </w:hyperlink>
      <w:r>
        <w:t xml:space="preserve">]</w:t>
      </w:r>
      <w:r>
        <w:t xml:space="preserve">. Wild-Tab extends this idea to few-shot, structure-aware</w:t>
      </w:r>
      <w:r>
        <w:t xml:space="preserve"> </w:t>
      </w:r>
      <w:r>
        <w:t xml:space="preserve">adaptation, showing that even tabular foundation models lose 5–15 AUC points under</w:t>
      </w:r>
      <w:r>
        <w:t xml:space="preserve"> </w:t>
      </w:r>
      <w:r>
        <w:t xml:space="preserve">schema-preserving shifts </w:t>
      </w:r>
      <w:r>
        <w:t xml:space="preserve">[</w:t>
      </w:r>
      <w:hyperlink w:anchor="ref-kolesnikov_wild-tab_2023">
        <w:r>
          <w:rPr>
            <w:rStyle w:val="af"/>
          </w:rPr>
          <w:t xml:space="preserve">57</w:t>
        </w:r>
      </w:hyperlink>
      <w:r>
        <w:t xml:space="preserve">]</w:t>
      </w:r>
      <w:r>
        <w:t xml:space="preserve">. Wild-Time focuses purely on</w:t>
      </w:r>
      <w:r>
        <w:t xml:space="preserve"> </w:t>
      </w:r>
      <w:r>
        <w:t xml:space="preserve">temporal drift, revealing that performance decays monotonically unless models refresh</w:t>
      </w:r>
      <w:r>
        <w:t xml:space="preserve"> </w:t>
      </w:r>
      <w:r>
        <w:t xml:space="preserve">their priors </w:t>
      </w:r>
      <w:r>
        <w:t xml:space="preserve">[</w:t>
      </w:r>
      <w:hyperlink w:anchor="ref-ahn_unsupervised_2023">
        <w:r>
          <w:rPr>
            <w:rStyle w:val="af"/>
          </w:rPr>
          <w:t xml:space="preserve">29</w:t>
        </w:r>
      </w:hyperlink>
      <w:r>
        <w:t xml:space="preserve">]</w:t>
      </w:r>
      <w:r>
        <w:t xml:space="preserve">. These resources contrast with medical</w:t>
      </w:r>
      <w:r>
        <w:t xml:space="preserve"> </w:t>
      </w:r>
      <w:r>
        <w:t xml:space="preserve">imaging benchmarks, where the input grid is fixed; in tabular settings, feature</w:t>
      </w:r>
      <w:r>
        <w:t xml:space="preserve"> </w:t>
      </w:r>
      <w:r>
        <w:t xml:space="preserve">heterogeneity and missingness add extra axes of mismatch. Our inclusion of the</w:t>
      </w:r>
      <w:r>
        <w:t xml:space="preserve"> </w:t>
      </w:r>
      <w:r>
        <w:t xml:space="preserve">TableShift BRFSS Diabetes race-shift task aligns the pulmonary nodule study with a</w:t>
      </w:r>
      <w:r>
        <w:t xml:space="preserve"> </w:t>
      </w:r>
      <w:r>
        <w:t xml:space="preserve">large-scale public benchmark, demonstrating that the proposed alignment strategy is</w:t>
      </w:r>
      <w:r>
        <w:t xml:space="preserve"> </w:t>
      </w:r>
      <w:r>
        <w:t xml:space="preserve">not confined to proprietary cohorts.</w:t>
      </w:r>
      <w:r>
        <w:t xml:space="preserve"> </w:t>
      </w:r>
      <w:r>
        <w:t xml:space="preserve">TableShift also surfaces common failure modes: GroupDRO and IRM rarely beat ERM on</w:t>
      </w:r>
      <w:r>
        <w:t xml:space="preserve"> </w:t>
      </w:r>
      <w:r>
        <w:t xml:space="preserve">tabular tasks, label shift explains much of the OOD loss, and high ID accuracy is</w:t>
      </w:r>
      <w:r>
        <w:t xml:space="preserve"> </w:t>
      </w:r>
      <w:r>
        <w:t xml:space="preserve">necessary but insufficient for shift robustness </w:t>
      </w:r>
      <w:r>
        <w:t xml:space="preserve">[</w:t>
      </w:r>
      <w:hyperlink w:anchor="ref-gardner_benchmarking_2024">
        <w:r>
          <w:rPr>
            <w:rStyle w:val="af"/>
          </w:rPr>
          <w:t xml:space="preserve">30</w:t>
        </w:r>
      </w:hyperlink>
      <w:r>
        <w:t xml:space="preserve">,</w:t>
      </w:r>
      <w:hyperlink w:anchor="X4f9f0e8a6fc6d4d5516fc073f21d764bfed9221">
        <w:r>
          <w:rPr>
            <w:rStyle w:val="af"/>
          </w:rPr>
          <w:t xml:space="preserve">69</w:t>
        </w:r>
      </w:hyperlink>
      <w:r>
        <w:t xml:space="preserve">]</w:t>
      </w:r>
      <w:r>
        <w:t xml:space="preserve">. Wild-Time isolates temporal drift,</w:t>
      </w:r>
      <w:r>
        <w:t xml:space="preserve"> </w:t>
      </w:r>
      <w:r>
        <w:t xml:space="preserve">showing monotonic degradation without continual recalibration </w:t>
      </w:r>
      <w:r>
        <w:t xml:space="preserve">[</w:t>
      </w:r>
      <w:hyperlink w:anchor="ref-ahn_unsupervised_2023">
        <w:r>
          <w:rPr>
            <w:rStyle w:val="af"/>
          </w:rPr>
          <w:t xml:space="preserve">29</w:t>
        </w:r>
      </w:hyperlink>
      <w:r>
        <w:t xml:space="preserve">]</w:t>
      </w:r>
      <w:r>
        <w:t xml:space="preserve">;</w:t>
      </w:r>
      <w:r>
        <w:t xml:space="preserve"> </w:t>
      </w:r>
      <w:r>
        <w:t xml:space="preserve">these findings mirror hospital deployments where assay updates or policy changes</w:t>
      </w:r>
      <w:r>
        <w:t xml:space="preserve"> </w:t>
      </w:r>
      <w:r>
        <w:t xml:space="preserve">quietly reshape feature distributions.</w:t>
      </w:r>
    </w:p>
    <w:bookmarkStart w:id="36" w:name="gap-analysis-and-positioning-of-panda"/>
    <w:p>
      <w:pPr>
        <w:pStyle w:val="3"/>
      </w:pPr>
      <w:r>
        <w:t xml:space="preserve">Gap analysis and positioning of PANDA</w:t>
      </w:r>
    </w:p>
    <w:p>
      <w:pPr>
        <w:pStyle w:val="FirstParagraph"/>
      </w:pPr>
      <w:r>
        <w:t xml:space="preserve">Across model families and adaptation techniques, several open issues persist. First,</w:t>
      </w:r>
      <w:r>
        <w:t xml:space="preserve"> </w:t>
      </w:r>
      <w:r>
        <w:t xml:space="preserve">closed-world assumptions in tabular foundation models preclude feature-mismatched</w:t>
      </w:r>
      <w:r>
        <w:t xml:space="preserve"> </w:t>
      </w:r>
      <w:r>
        <w:t xml:space="preserve">deployment: TabPFN and its variants require aligned schemas and struggle when target</w:t>
      </w:r>
      <w:r>
        <w:t xml:space="preserve"> </w:t>
      </w:r>
      <w:r>
        <w:t xml:space="preserve">hospitals omit or redefine biomarkers. Second, most DA methods presume access to</w:t>
      </w:r>
      <w:r>
        <w:t xml:space="preserve"> </w:t>
      </w:r>
      <w:r>
        <w:t xml:space="preserve">abundant labeled or schema-aligned target data, which is unrealistic in</w:t>
      </w:r>
      <w:r>
        <w:t xml:space="preserve"> </w:t>
      </w:r>
      <w:r>
        <w:t xml:space="preserve">privacy-constrained hospitals and incompatible with regulatory expectations that</w:t>
      </w:r>
      <w:r>
        <w:t xml:space="preserve"> </w:t>
      </w:r>
      <w:r>
        <w:t xml:space="preserve">models remain stable under silent drift </w:t>
      </w:r>
      <w:r>
        <w:t xml:space="preserve">[</w:t>
      </w:r>
      <w:hyperlink w:anchor="ref-koch2024distribution">
        <w:r>
          <w:rPr>
            <w:rStyle w:val="af"/>
          </w:rPr>
          <w:t xml:space="preserve">26</w:t>
        </w:r>
      </w:hyperlink>
      <w:r>
        <w:t xml:space="preserve">,</w:t>
      </w:r>
      <w:hyperlink w:anchor="ref-guo_evaluation_2022">
        <w:r>
          <w:rPr>
            <w:rStyle w:val="af"/>
          </w:rPr>
          <w:t xml:space="preserve">27</w:t>
        </w:r>
      </w:hyperlink>
      <w:r>
        <w:t xml:space="preserve">]</w:t>
      </w:r>
      <w:r>
        <w:t xml:space="preserve">.</w:t>
      </w:r>
      <w:r>
        <w:t xml:space="preserve"> </w:t>
      </w:r>
      <w:r>
        <w:t xml:space="preserve">Third, missingness shift and label shift remain underexplored despite being dominant</w:t>
      </w:r>
      <w:r>
        <w:t xml:space="preserve"> </w:t>
      </w:r>
      <w:r>
        <w:t xml:space="preserve">drivers of clinical miscalibration in TableShift and Wild-Time; simply matching</w:t>
      </w:r>
      <w:r>
        <w:t xml:space="preserve"> </w:t>
      </w:r>
      <w:r>
        <w:t xml:space="preserve">latent distributions cannot fix changes in prevalence or ordering policies </w:t>
      </w:r>
      <w:r>
        <w:t xml:space="preserve">[</w:t>
      </w:r>
      <w:hyperlink w:anchor="ref-ahn_unsupervised_2023">
        <w:r>
          <w:rPr>
            <w:rStyle w:val="af"/>
          </w:rPr>
          <w:t xml:space="preserve">29</w:t>
        </w:r>
      </w:hyperlink>
      <w:r>
        <w:t xml:space="preserve">,</w:t>
      </w:r>
      <w:hyperlink w:anchor="ref-gardner_benchmarking_2024">
        <w:r>
          <w:rPr>
            <w:rStyle w:val="af"/>
          </w:rPr>
          <w:t xml:space="preserve">30</w:t>
        </w:r>
      </w:hyperlink>
      <w:r>
        <w:t xml:space="preserve">]</w:t>
      </w:r>
      <w:r>
        <w:t xml:space="preserve">. Finally, reproducibility crises in radiomics and deep imaging</w:t>
      </w:r>
      <w:r>
        <w:t xml:space="preserve"> </w:t>
      </w:r>
      <w:r>
        <w:t xml:space="preserve">models show that aggressive priors or harmonization cannot replace explicit</w:t>
      </w:r>
      <w:r>
        <w:t xml:space="preserve"> </w:t>
      </w:r>
      <w:r>
        <w:t xml:space="preserve">alignment and feature governance </w:t>
      </w:r>
      <w:r>
        <w:t xml:space="preserve">[</w:t>
      </w:r>
      <w:hyperlink w:anchor="ref-hellin2024unraveling">
        <w:r>
          <w:rPr>
            <w:rStyle w:val="af"/>
          </w:rPr>
          <w:t xml:space="preserve">16</w:t>
        </w:r>
      </w:hyperlink>
      <w:r>
        <w:t xml:space="preserve">,</w:t>
      </w:r>
      <w:hyperlink w:anchor="ref-koch2024distribution">
        <w:r>
          <w:rPr>
            <w:rStyle w:val="af"/>
          </w:rPr>
          <w:t xml:space="preserve">26</w:t>
        </w:r>
      </w:hyperlink>
      <w:r>
        <w:t xml:space="preserve">]</w:t>
      </w:r>
      <w:r>
        <w:t xml:space="preserve">.</w:t>
      </w:r>
    </w:p>
    <w:p>
      <w:pPr>
        <w:pStyle w:val="a0"/>
      </w:pPr>
      <w:r>
        <w:t xml:space="preserve">PANDA is designed to address a specific intersection of these gaps rather than</w:t>
      </w:r>
      <w:r>
        <w:t xml:space="preserve"> </w:t>
      </w:r>
      <w:r>
        <w:t xml:space="preserve">compete with every prior line of work. By treating a tabular foundation model as a</w:t>
      </w:r>
      <w:r>
        <w:t xml:space="preserve"> </w:t>
      </w:r>
      <w:r>
        <w:t xml:space="preserve">plug-in prior, PANDA inherits strong small-sample performance without hand-tuning</w:t>
      </w:r>
      <w:r>
        <w:t xml:space="preserve"> </w:t>
      </w:r>
      <w:r>
        <w:t xml:space="preserve">but augments it with cross-domain RFE that explicitly searches for a compact subset</w:t>
      </w:r>
      <w:r>
        <w:t xml:space="preserve"> </w:t>
      </w:r>
      <w:r>
        <w:t xml:space="preserve">of biomarkers stable across hospitals. This step operationalizes domain-aware</w:t>
      </w:r>
      <w:r>
        <w:t xml:space="preserve"> </w:t>
      </w:r>
      <w:r>
        <w:t xml:space="preserve">feature selection, yielding a shared feature set (</w:t>
      </w:r>
      <w:r>
        <w:t xml:space="preserve">“best8”</w:t>
      </w:r>
      <w:r>
        <w:t xml:space="preserve">) that remains</w:t>
      </w:r>
      <w:r>
        <w:t xml:space="preserve"> </w:t>
      </w:r>
      <w:r>
        <w:t xml:space="preserve">predictive in both institutions and provides harmonized inputs for subsequent</w:t>
      </w:r>
      <w:r>
        <w:t xml:space="preserve"> </w:t>
      </w:r>
      <w:r>
        <w:t xml:space="preserve">alignment. TCA is then applied in the latent space induced by TabPFN, combining the</w:t>
      </w:r>
      <w:r>
        <w:t xml:space="preserve"> </w:t>
      </w:r>
      <w:r>
        <w:t xml:space="preserve">representation power of foundation models with the stability of kernel-based</w:t>
      </w:r>
      <w:r>
        <w:t xml:space="preserve"> </w:t>
      </w:r>
      <w:r>
        <w:t xml:space="preserve">alignment to handle unlabeled target data. The same pipeline is evaluated both on a</w:t>
      </w:r>
      <w:r>
        <w:t xml:space="preserve"> </w:t>
      </w:r>
      <w:r>
        <w:t xml:space="preserve">private cross-hospital pulmonary nodule cohort and on the public TableShift BRFSS</w:t>
      </w:r>
      <w:r>
        <w:t xml:space="preserve"> </w:t>
      </w:r>
      <w:r>
        <w:t xml:space="preserve">Diabetes race-shift task, demonstrating that the ingredients are not handcrafted for</w:t>
      </w:r>
      <w:r>
        <w:t xml:space="preserve"> </w:t>
      </w:r>
      <w:r>
        <w:t xml:space="preserve">a single dataset but generalize across tabular shift scenarios </w:t>
      </w:r>
      <w:r>
        <w:t xml:space="preserve">[</w:t>
      </w:r>
      <w:hyperlink w:anchor="ref-gardner_benchmarking_2024">
        <w:r>
          <w:rPr>
            <w:rStyle w:val="af"/>
          </w:rPr>
          <w:t xml:space="preserve">30</w:t>
        </w:r>
      </w:hyperlink>
      <w:r>
        <w:t xml:space="preserve">,</w:t>
      </w:r>
      <w:hyperlink w:anchor="X4f9f0e8a6fc6d4d5516fc073f21d764bfed9221">
        <w:r>
          <w:rPr>
            <w:rStyle w:val="af"/>
          </w:rPr>
          <w:t xml:space="preserve">69</w:t>
        </w:r>
      </w:hyperlink>
      <w:r>
        <w:t xml:space="preserve">]</w:t>
      </w:r>
      <w:r>
        <w:t xml:space="preserve">. To our knowledge, this is the first</w:t>
      </w:r>
      <w:r>
        <w:t xml:space="preserve"> </w:t>
      </w:r>
      <w:r>
        <w:t xml:space="preserve">framework to jointly combine a tabular foundation model, cross-domain RFE, and TCA</w:t>
      </w:r>
      <w:r>
        <w:t xml:space="preserve"> </w:t>
      </w:r>
      <w:r>
        <w:t xml:space="preserve">for cross-hospital pulmonary nodule risk prediction and public TableShift-style</w:t>
      </w:r>
      <w:r>
        <w:t xml:space="preserve"> </w:t>
      </w:r>
      <w:r>
        <w:t xml:space="preserve">tabular shift benchmarks. In this sense, PANDA fills the gap between</w:t>
      </w:r>
      <w:r>
        <w:t xml:space="preserve"> </w:t>
      </w:r>
      <w:r>
        <w:t xml:space="preserve">single-domain tabular FMs, imaging-focused DA, and benchmark-driven tabular DA by</w:t>
      </w:r>
      <w:r>
        <w:t xml:space="preserve"> </w:t>
      </w:r>
      <w:r>
        <w:t xml:space="preserve">providing an end-to-end, alignment-aware framework tailored to small, imbalanced,</w:t>
      </w:r>
      <w:r>
        <w:t xml:space="preserve"> </w:t>
      </w:r>
      <w:r>
        <w:t xml:space="preserve">and feature-mismatched medical cohorts.</w:t>
      </w:r>
    </w:p>
    <w:p>
      <w:pPr>
        <w:pStyle w:val="a0"/>
      </w:pPr>
      <w:bookmarkStart w:id="35" w:name="sec:rw-end"/>
      <w:bookmarkEnd w:id="35"/>
    </w:p>
    <w:bookmarkEnd w:id="36"/>
    <w:bookmarkEnd w:id="37"/>
    <w:bookmarkEnd w:id="38"/>
    <w:bookmarkStart w:id="62" w:name="sec:problem-formulation"/>
    <w:p>
      <w:pPr>
        <w:pStyle w:val="1"/>
      </w:pPr>
      <w:r>
        <w:t xml:space="preserve">Problem Formulation</w:t>
      </w:r>
    </w:p>
    <w:p>
      <w:pPr>
        <w:pStyle w:val="FirstParagraph"/>
      </w:pPr>
      <w:bookmarkStart w:id="39" w:name="sec:pf-start"/>
      <w:bookmarkEnd w:id="39"/>
    </w:p>
    <w:p>
      <w:pPr>
        <w:pStyle w:val="a0"/>
      </w:pPr>
      <w:r>
        <w:t xml:space="preserve">Cross-hospital diagnostic risk prediction can be viewed as a constrained machine learning problem at</w:t>
      </w:r>
      <w:r>
        <w:t xml:space="preserve"> </w:t>
      </w:r>
      <w:r>
        <w:t xml:space="preserve">the intersection of small-sample tabular learning and unsupervised domain adaptation (UDA). Rather</w:t>
      </w:r>
      <w:r>
        <w:t xml:space="preserve"> </w:t>
      </w:r>
      <w:r>
        <w:t xml:space="preserve">than treating pulmonary nodule malignancy prediction as a purely clinical task, we explicitly formalize</w:t>
      </w:r>
      <w:r>
        <w:t xml:space="preserve"> </w:t>
      </w:r>
      <w:r>
        <w:t xml:space="preserve">it as learning a robust classifier that transfers from a source hospital with limited labels to a target</w:t>
      </w:r>
      <w:r>
        <w:t xml:space="preserve"> </w:t>
      </w:r>
      <w:r>
        <w:t xml:space="preserve">hospital with unlabeled data, under heterogeneous feature schemas and distribution shift.</w:t>
      </w:r>
    </w:p>
    <w:p>
      <w:pPr>
        <w:pStyle w:val="a0"/>
      </w:pPr>
      <w:r>
        <w:t xml:space="preserve">Concretely, PANDA instantiates an AI system composed of three interacting components: a pre-trained</w:t>
      </w:r>
      <w:r>
        <w:t xml:space="preserve"> </w:t>
      </w:r>
      <w:r>
        <w:t xml:space="preserve">tabular foundation model that supplies strong small-sample priors, a cross-domain feature selection</w:t>
      </w:r>
      <w:r>
        <w:t xml:space="preserve"> </w:t>
      </w:r>
      <w:r>
        <w:t xml:space="preserve">module that enforces schema overlap and discards unstable biomarkers, and a kernel-based alignment</w:t>
      </w:r>
      <w:r>
        <w:t xml:space="preserve"> </w:t>
      </w:r>
      <w:r>
        <w:t xml:space="preserve">module that reduces distributional discrepancy between hospitals. In this section, we formalize the</w:t>
      </w:r>
      <w:r>
        <w:t xml:space="preserve"> </w:t>
      </w:r>
      <w:r>
        <w:t xml:space="preserve">underlying learning problem and connect it to standard UDA theory, so that the architectural choices</w:t>
      </w:r>
      <w:r>
        <w:t xml:space="preserve"> </w:t>
      </w:r>
      <w:r>
        <w:t xml:space="preserve">of PANDA can be interpreted as explicit responses to the terms in a domain adaptation bound.</w:t>
      </w:r>
    </w:p>
    <w:bookmarkStart w:id="41" w:name="subsec:notation"/>
    <w:p>
      <w:pPr>
        <w:pStyle w:val="2"/>
      </w:pPr>
      <w:r>
        <w:t xml:space="preserve">Task definition and notation</w:t>
      </w:r>
    </w:p>
    <w:p>
      <w:pPr>
        <w:pStyle w:val="FirstParagraph"/>
      </w:pPr>
      <w:r>
        <w:t xml:space="preserve">We consider a binary classification problem with a</w:t>
      </w:r>
      <w:r>
        <w:t xml:space="preserve"> </w:t>
      </w:r>
      <m:oMath>
        <m:r>
          <m:t>d</m:t>
        </m:r>
      </m:oMath>
      <w:r>
        <w:t xml:space="preserve">-dimensional tabular input space</w:t>
      </w:r>
      <w:r>
        <w:t xml:space="preserve"> </w:t>
      </w:r>
      <m:oMath>
        <m:r>
          <m:rPr>
            <m:scr m:val="script"/>
            <m:sty m:val="p"/>
          </m:rPr>
          <m:t>X</m:t>
        </m:r>
        <m:r>
          <m:rPr>
            <m:sty m:val="p"/>
          </m:rPr>
          <m:t>⊆</m:t>
        </m:r>
        <m:sSup>
          <m:e>
            <m:r>
              <m:rPr>
                <m:scr m:val="double-struck"/>
                <m:sty m:val="p"/>
              </m:rPr>
              <m:t>R</m:t>
            </m:r>
          </m:e>
          <m:sup>
            <m:r>
              <m:t>d</m:t>
            </m:r>
          </m:sup>
        </m:sSup>
      </m:oMath>
      <w:r>
        <w:t xml:space="preserve"> </w:t>
      </w:r>
      <w:r>
        <w:t xml:space="preserve">comprising mixed numerical and categorical variables</w:t>
      </w:r>
      <w:r>
        <w:t xml:space="preserve"> </w:t>
      </w:r>
      <w:r>
        <w:t xml:space="preserve">(e.g., age, nodule diameter, smoking status), and a label space</w:t>
      </w:r>
      <w:r>
        <w:t xml:space="preserve"> </w:t>
      </w:r>
      <m:oMath>
        <m:r>
          <m:rPr>
            <m:scr m:val="script"/>
            <m:sty m:val="p"/>
          </m:rPr>
          <m:t>Y</m:t>
        </m:r>
        <m:r>
          <m:rPr>
            <m:sty m:val="p"/>
          </m:rPr>
          <m:t>=</m:t>
        </m:r>
        <m:r>
          <m:rPr>
            <m:sty m:val="p"/>
          </m:rPr>
          <m:t>{</m:t>
        </m:r>
        <m:r>
          <m:t>0</m:t>
        </m:r>
        <m:r>
          <m:rPr>
            <m:sty m:val="p"/>
          </m:rPr>
          <m:t>,</m:t>
        </m:r>
        <m:r>
          <m:t>1</m:t>
        </m:r>
        <m:r>
          <m:rPr>
            <m:sty m:val="p"/>
          </m:rPr>
          <m:t>}</m:t>
        </m:r>
      </m:oMath>
      <w:r>
        <w:t xml:space="preserve"> </w:t>
      </w:r>
      <w:r>
        <w:t xml:space="preserve">indicating benign or malignant nodules. A</w:t>
      </w:r>
      <w:r>
        <w:t xml:space="preserve"> </w:t>
      </w:r>
      <w:r>
        <w:rPr>
          <w:i/>
          <w:iCs/>
        </w:rPr>
        <w:t xml:space="preserve">domain</w:t>
      </w:r>
      <w:r>
        <w:t xml:space="preserve"> </w:t>
      </w:r>
      <w:r>
        <w:t xml:space="preserve">is defined</w:t>
      </w:r>
      <w:r>
        <w:t xml:space="preserve"> </w:t>
      </w:r>
      <w:r>
        <w:t xml:space="preserve">as a joint distribution</w:t>
      </w:r>
      <w:r>
        <w:t xml:space="preserve"> </w:t>
      </w:r>
      <m:oMath>
        <m:r>
          <m:t>P</m:t>
        </m:r>
        <m:r>
          <m:rPr>
            <m:sty m:val="p"/>
          </m:rPr>
          <m:t>(</m:t>
        </m:r>
        <m:r>
          <m:t>X</m:t>
        </m:r>
        <m:r>
          <m:rPr>
            <m:sty m:val="p"/>
          </m:rPr>
          <m:t>,</m:t>
        </m:r>
        <m:r>
          <m:t>Y</m:t>
        </m:r>
        <m:r>
          <m:rPr>
            <m:sty m:val="p"/>
          </m:rPr>
          <m:t>)</m:t>
        </m:r>
      </m:oMath>
      <w:r>
        <w:t xml:space="preserve"> </w:t>
      </w:r>
      <w:r>
        <w:t xml:space="preserve">over</w:t>
      </w:r>
      <w:r>
        <w:t xml:space="preserve"> </w:t>
      </w:r>
      <m:oMath>
        <m:r>
          <m:rPr>
            <m:scr m:val="script"/>
            <m:sty m:val="p"/>
          </m:rPr>
          <m:t>X</m:t>
        </m:r>
        <m:r>
          <m:rPr>
            <m:sty m:val="p"/>
          </m:rPr>
          <m:t>×</m:t>
        </m:r>
        <m:r>
          <m:rPr>
            <m:scr m:val="script"/>
            <m:sty m:val="p"/>
          </m:rPr>
          <m:t>Y</m:t>
        </m:r>
      </m:oMath>
      <w:r>
        <w:t xml:space="preserve">.</w:t>
      </w:r>
    </w:p>
    <w:p>
      <w:pPr>
        <w:pStyle w:val="a0"/>
      </w:pPr>
      <w:r>
        <w:t xml:space="preserve">From an AI perspective, cross-hospital deployment naturally induces two domains:</w:t>
      </w:r>
    </w:p>
    <w:p>
      <w:pPr>
        <w:numPr>
          <w:ilvl w:val="0"/>
          <w:numId w:val="1001"/>
        </w:numPr>
      </w:pPr>
      <w:r>
        <w:rPr>
          <w:b/>
          <w:bCs/>
        </w:rPr>
        <w:t xml:space="preserve">Source domain (Hospital A).</w:t>
      </w:r>
      <w:r>
        <w:t xml:space="preserve"> </w:t>
      </w:r>
      <w:r>
        <w:t xml:space="preserve">We observe a labeled dataset</w:t>
      </w:r>
      <w:r>
        <w:t xml:space="preserve"> </w:t>
      </w:r>
      <m:oMath>
        <m:r>
          <m:t>S</m:t>
        </m:r>
        <m:r>
          <m:rPr>
            <m:sty m:val="p"/>
          </m:rPr>
          <m:t>=</m:t>
        </m:r>
        <m:r>
          <m:rPr>
            <m:sty m:val="p"/>
          </m:rPr>
          <m:t>{</m:t>
        </m:r>
        <m:r>
          <m:rPr>
            <m:sty m:val="p"/>
          </m:rPr>
          <m:t>(</m:t>
        </m:r>
        <m:sSubSup>
          <m:e>
            <m:r>
              <m:t>x</m:t>
            </m:r>
          </m:e>
          <m:sub>
            <m:r>
              <m:t>i</m:t>
            </m:r>
          </m:sub>
          <m:sup>
            <m:r>
              <m:t>s</m:t>
            </m:r>
          </m:sup>
        </m:sSubSup>
        <m:r>
          <m:rPr>
            <m:sty m:val="p"/>
          </m:rPr>
          <m:t>,</m:t>
        </m:r>
        <m:sSubSup>
          <m:e>
            <m:r>
              <m:t>y</m:t>
            </m:r>
          </m:e>
          <m:sub>
            <m:r>
              <m:t>i</m:t>
            </m:r>
          </m:sub>
          <m:sup>
            <m:r>
              <m:t>s</m:t>
            </m:r>
          </m:sup>
        </m:sSubSup>
        <m:r>
          <m:rPr>
            <m:sty m:val="p"/>
          </m:rPr>
          <m:t>)</m:t>
        </m:r>
        <m:sSubSup>
          <m:e>
            <m:r>
              <m:rPr>
                <m:sty m:val="p"/>
              </m:rPr>
              <m:t>}</m:t>
            </m:r>
          </m:e>
          <m:sub>
            <m:r>
              <m:t>i</m:t>
            </m:r>
            <m:r>
              <m:rPr>
                <m:sty m:val="p"/>
              </m:rPr>
              <m:t>=</m:t>
            </m:r>
            <m:r>
              <m:t>1</m:t>
            </m:r>
          </m:sub>
          <m:sup>
            <m:sSub>
              <m:e>
                <m:r>
                  <m:t>n</m:t>
                </m:r>
              </m:e>
              <m:sub>
                <m:r>
                  <m:t>S</m:t>
                </m:r>
              </m:sub>
            </m:sSub>
          </m:sup>
        </m:sSubSup>
      </m:oMath>
      <w:r>
        <w:t xml:space="preserve"> </w:t>
      </w:r>
      <w:r>
        <w:t xml:space="preserve">drawn i.i.d. from a source distribution</w:t>
      </w:r>
      <w:r>
        <w:t xml:space="preserve"> </w:t>
      </w:r>
      <m:oMath>
        <m:sSub>
          <m:e>
            <m:r>
              <m:t>P</m:t>
            </m:r>
          </m:e>
          <m:sub>
            <m:r>
              <m:t>S</m:t>
            </m:r>
          </m:sub>
        </m:sSub>
      </m:oMath>
      <w:r>
        <w:t xml:space="preserve"> </w:t>
      </w:r>
      <w:r>
        <w:t xml:space="preserve">over</w:t>
      </w:r>
      <w:r>
        <w:t xml:space="preserve"> </w:t>
      </w:r>
      <m:oMath>
        <m:r>
          <m:rPr>
            <m:sty m:val="p"/>
          </m:rPr>
          <m:t>(</m:t>
        </m:r>
        <m:r>
          <m:t>X</m:t>
        </m:r>
        <m:r>
          <m:rPr>
            <m:sty m:val="p"/>
          </m:rPr>
          <m:t>,</m:t>
        </m:r>
        <m:r>
          <m:t>Y</m:t>
        </m:r>
        <m:r>
          <m:rPr>
            <m:sty m:val="p"/>
          </m:rPr>
          <m:t>)</m:t>
        </m:r>
      </m:oMath>
      <w:r>
        <w:t xml:space="preserve">. This is the only domain in which labels are available.</w:t>
      </w:r>
    </w:p>
    <w:p>
      <w:pPr>
        <w:numPr>
          <w:ilvl w:val="0"/>
          <w:numId w:val="1001"/>
        </w:numPr>
      </w:pPr>
      <w:r>
        <w:rPr>
          <w:b/>
          <w:bCs/>
        </w:rPr>
        <w:t xml:space="preserve">Target domain (Hospital B).</w:t>
      </w:r>
      <w:r>
        <w:t xml:space="preserve"> </w:t>
      </w:r>
      <w:r>
        <w:t xml:space="preserve">We observe an unlabeled dataset</w:t>
      </w:r>
      <w:r>
        <w:t xml:space="preserve"> </w:t>
      </w:r>
      <m:oMath>
        <m:r>
          <m:t>T</m:t>
        </m:r>
        <m:r>
          <m:rPr>
            <m:sty m:val="p"/>
          </m:rPr>
          <m:t>=</m:t>
        </m:r>
        <m:r>
          <m:rPr>
            <m:sty m:val="p"/>
          </m:rPr>
          <m:t>{</m:t>
        </m:r>
        <m:sSubSup>
          <m:e>
            <m:r>
              <m:t>x</m:t>
            </m:r>
          </m:e>
          <m:sub>
            <m:r>
              <m:t>j</m:t>
            </m:r>
          </m:sub>
          <m:sup>
            <m:r>
              <m:t>t</m:t>
            </m:r>
          </m:sup>
        </m:sSubSup>
        <m:sSubSup>
          <m:e>
            <m:r>
              <m:rPr>
                <m:sty m:val="p"/>
              </m:rPr>
              <m:t>}</m:t>
            </m:r>
          </m:e>
          <m:sub>
            <m:r>
              <m:t>j</m:t>
            </m:r>
            <m:r>
              <m:rPr>
                <m:sty m:val="p"/>
              </m:rPr>
              <m:t>=</m:t>
            </m:r>
            <m:r>
              <m:t>1</m:t>
            </m:r>
          </m:sub>
          <m:sup>
            <m:r>
              <m:t>T</m:t>
            </m:r>
            <m:r>
              <m:t>s</m:t>
            </m:r>
            <m:r>
              <m:t>i</m:t>
            </m:r>
            <m:r>
              <m:t>z</m:t>
            </m:r>
            <m:r>
              <m:t>e</m:t>
            </m:r>
          </m:sup>
        </m:sSubSup>
      </m:oMath>
      <w:r>
        <w:t xml:space="preserve"> </w:t>
      </w:r>
      <w:r>
        <w:t xml:space="preserve">drawn i.i.d. from the marginal</w:t>
      </w:r>
      <w:r>
        <w:t xml:space="preserve"> </w:t>
      </w:r>
      <m:oMath>
        <m:sSub>
          <m:e>
            <m:r>
              <m:t>P</m:t>
            </m:r>
          </m:e>
          <m:sub>
            <m:r>
              <m:t>T</m:t>
            </m:r>
          </m:sub>
        </m:sSub>
        <m:r>
          <m:rPr>
            <m:sty m:val="p"/>
          </m:rPr>
          <m:t>(</m:t>
        </m:r>
        <m:r>
          <m:t>X</m:t>
        </m:r>
        <m:r>
          <m:rPr>
            <m:sty m:val="p"/>
          </m:rPr>
          <m:t>)</m:t>
        </m:r>
      </m:oMath>
      <w:r>
        <w:t xml:space="preserve"> </w:t>
      </w:r>
      <w:r>
        <w:t xml:space="preserve">of a target</w:t>
      </w:r>
      <w:r>
        <w:t xml:space="preserve"> </w:t>
      </w:r>
      <w:r>
        <w:t xml:space="preserve">distribution</w:t>
      </w:r>
      <w:r>
        <w:t xml:space="preserve"> </w:t>
      </w:r>
      <m:oMath>
        <m:sSub>
          <m:e>
            <m:r>
              <m:t>P</m:t>
            </m:r>
          </m:e>
          <m:sub>
            <m:r>
              <m:t>T</m:t>
            </m:r>
          </m:sub>
        </m:sSub>
      </m:oMath>
      <w:r>
        <w:t xml:space="preserve">. Labels</w:t>
      </w:r>
      <w:r>
        <w:t xml:space="preserve"> </w:t>
      </w:r>
      <m:oMath>
        <m:sSub>
          <m:e>
            <m:r>
              <m:t>Y</m:t>
            </m:r>
          </m:e>
          <m:sub>
            <m:r>
              <m:t>T</m:t>
            </m:r>
          </m:sub>
        </m:sSub>
      </m:oMath>
      <w:r>
        <w:t xml:space="preserve"> </w:t>
      </w:r>
      <w:r>
        <w:t xml:space="preserve">are not available during training, reflecting</w:t>
      </w:r>
      <w:r>
        <w:t xml:space="preserve"> </w:t>
      </w:r>
      <w:r>
        <w:t xml:space="preserve">realistic privacy and annotation constraints in new hospitals.</w:t>
      </w:r>
    </w:p>
    <w:p>
      <w:pPr>
        <w:pStyle w:val="FirstParagraph"/>
      </w:pPr>
      <w:r>
        <w:t xml:space="preserve">Feature heterogeneity is modeled explicitly. Let</w:t>
      </w:r>
      <w:r>
        <w:t xml:space="preserve"> </w:t>
      </w:r>
      <m:oMath>
        <m:sSub>
          <m:e>
            <m:r>
              <m:t>F</m:t>
            </m:r>
          </m:e>
          <m:sub>
            <m:r>
              <m:t>S</m:t>
            </m:r>
          </m:sub>
        </m:sSub>
      </m:oMath>
      <w:r>
        <w:t xml:space="preserve"> </w:t>
      </w:r>
      <w:r>
        <w:t xml:space="preserve">and</w:t>
      </w:r>
      <w:r>
        <w:t xml:space="preserve"> </w:t>
      </w:r>
      <m:oMath>
        <m:sSub>
          <m:e>
            <m:r>
              <m:t>F</m:t>
            </m:r>
          </m:e>
          <m:sub>
            <m:r>
              <m:t>T</m:t>
            </m:r>
          </m:sub>
        </m:sSub>
      </m:oMath>
      <w:r>
        <w:t xml:space="preserve"> </w:t>
      </w:r>
      <w:r>
        <w:t xml:space="preserve">denote the feature-index sets</w:t>
      </w:r>
      <w:r>
        <w:t xml:space="preserve"> </w:t>
      </w:r>
      <w:r>
        <w:t xml:space="preserve">available in the source and target hospitals, respectively, and define the shared schema</w:t>
      </w:r>
      <w:r>
        <w:t xml:space="preserve"> </w:t>
      </w:r>
      <m:oMath>
        <m:sSub>
          <m:e>
            <m:r>
              <m:t>F</m:t>
            </m:r>
          </m:e>
          <m:sub>
            <m:r>
              <m:rPr>
                <m:sty m:val="p"/>
              </m:rPr>
              <m:t>∩</m:t>
            </m:r>
          </m:sub>
        </m:sSub>
        <m:r>
          <m:rPr>
            <m:sty m:val="p"/>
          </m:rPr>
          <m:t>=</m:t>
        </m:r>
        <m:sSub>
          <m:e>
            <m:r>
              <m:t>F</m:t>
            </m:r>
          </m:e>
          <m:sub>
            <m:r>
              <m:t>S</m:t>
            </m:r>
          </m:sub>
        </m:sSub>
        <m:r>
          <m:rPr>
            <m:sty m:val="p"/>
          </m:rPr>
          <m:t>∩</m:t>
        </m:r>
        <m:sSub>
          <m:e>
            <m:r>
              <m:t>F</m:t>
            </m:r>
          </m:e>
          <m:sub>
            <m:r>
              <m:t>T</m:t>
            </m:r>
          </m:sub>
        </m:sSub>
      </m:oMath>
      <w:r>
        <w:t xml:space="preserve"> </w:t>
      </w:r>
      <w:r>
        <w:t xml:space="preserve">with effective dimensionality</w:t>
      </w:r>
      <w:r>
        <w:t xml:space="preserve"> </w:t>
      </w:r>
      <m:oMath>
        <m:sSub>
          <m:e>
            <m:r>
              <m:t>d</m:t>
            </m:r>
          </m:e>
          <m:sub>
            <m:r>
              <m:rPr>
                <m:sty m:val="p"/>
              </m:rPr>
              <m:t>∩</m:t>
            </m:r>
          </m:sub>
        </m:sSub>
        <m:r>
          <m:rPr>
            <m:sty m:val="p"/>
          </m:rPr>
          <m:t>=</m:t>
        </m:r>
        <m:r>
          <m:rPr>
            <m:sty m:val="p"/>
          </m:rPr>
          <m:t>|</m:t>
        </m:r>
        <m:sSub>
          <m:e>
            <m:r>
              <m:t>F</m:t>
            </m:r>
          </m:e>
          <m:sub>
            <m:r>
              <m:rPr>
                <m:sty m:val="p"/>
              </m:rPr>
              <m:t>∩</m:t>
            </m:r>
          </m:sub>
        </m:sSub>
        <m:r>
          <m:rPr>
            <m:sty m:val="p"/>
          </m:rPr>
          <m:t>|</m:t>
        </m:r>
      </m:oMath>
      <w:r>
        <w:t xml:space="preserve">.</w:t>
      </w:r>
      <w:r>
        <w:t xml:space="preserve"> </w:t>
      </w:r>
      <w:r>
        <w:t xml:space="preserve">Site-specific variables in</w:t>
      </w:r>
      <w:r>
        <w:t xml:space="preserve"> </w:t>
      </w:r>
      <m:oMath>
        <m:sSub>
          <m:e>
            <m:r>
              <m:t>F</m:t>
            </m:r>
          </m:e>
          <m:sub>
            <m:r>
              <m:rPr>
                <m:sty m:val="p"/>
              </m:rPr>
              <m:t>\</m:t>
            </m:r>
          </m:sub>
        </m:sSub>
        <m:r>
          <m:rPr>
            <m:sty m:val="p"/>
          </m:rPr>
          <m:t>=</m:t>
        </m:r>
        <m:r>
          <m:rPr>
            <m:sty m:val="p"/>
          </m:rPr>
          <m:t>(</m:t>
        </m:r>
        <m:sSub>
          <m:e>
            <m:r>
              <m:t>F</m:t>
            </m:r>
          </m:e>
          <m:sub>
            <m:r>
              <m:t>S</m:t>
            </m:r>
          </m:sub>
        </m:sSub>
        <m:r>
          <m:rPr>
            <m:sty m:val="p"/>
          </m:rPr>
          <m:t>∪</m:t>
        </m:r>
        <m:sSub>
          <m:e>
            <m:r>
              <m:t>F</m:t>
            </m:r>
          </m:e>
          <m:sub>
            <m:r>
              <m:t>T</m:t>
            </m:r>
          </m:sub>
        </m:sSub>
        <m:r>
          <m:rPr>
            <m:sty m:val="p"/>
          </m:rPr>
          <m:t>)</m:t>
        </m:r>
        <m:r>
          <m:rPr>
            <m:sty m:val="p"/>
          </m:rPr>
          <m:t>\</m:t>
        </m:r>
        <m:sSub>
          <m:e>
            <m:r>
              <m:t>F</m:t>
            </m:r>
          </m:e>
          <m:sub>
            <m:r>
              <m:rPr>
                <m:sty m:val="p"/>
              </m:rPr>
              <m:t>∩</m:t>
            </m:r>
          </m:sub>
        </m:sSub>
      </m:oMath>
      <w:r>
        <w:t xml:space="preserve"> </w:t>
      </w:r>
      <w:r>
        <w:t xml:space="preserve">are</w:t>
      </w:r>
      <w:r>
        <w:t xml:space="preserve"> </w:t>
      </w:r>
      <w:r>
        <w:t xml:space="preserve">treated as non-transferable and are removed or marginalized before alignment.</w:t>
      </w:r>
    </w:p>
    <w:p>
      <w:pPr>
        <w:pStyle w:val="a0"/>
      </w:pPr>
      <w:r>
        <w:t xml:space="preserve">We write</w:t>
      </w:r>
      <w:r>
        <w:t xml:space="preserve"> </w:t>
      </w:r>
      <m:oMath>
        <m:r>
          <m:rPr>
            <m:scr m:val="script"/>
            <m:sty m:val="p"/>
          </m:rPr>
          <m:t>H</m:t>
        </m:r>
      </m:oMath>
      <w:r>
        <w:t xml:space="preserve"> </w:t>
      </w:r>
      <w:r>
        <w:t xml:space="preserve">for a hypothesis class of classifiers</w:t>
      </w:r>
      <w:r>
        <w:t xml:space="preserve"> </w:t>
      </w:r>
      <m:oMath>
        <m:r>
          <m:t>h</m:t>
        </m:r>
        <m:r>
          <m:rPr>
            <m:sty m:val="p"/>
          </m:rPr>
          <m:t>:</m:t>
        </m:r>
        <m:r>
          <m:rPr>
            <m:scr m:val="script"/>
            <m:sty m:val="p"/>
          </m:rPr>
          <m:t>X</m:t>
        </m:r>
        <m:r>
          <m:rPr>
            <m:sty m:val="p"/>
          </m:rPr>
          <m:t>→</m:t>
        </m:r>
        <m:r>
          <m:rPr>
            <m:sty m:val="p"/>
          </m:rPr>
          <m:t>{</m:t>
        </m:r>
        <m:r>
          <m:t>0</m:t>
        </m:r>
        <m:r>
          <m:rPr>
            <m:sty m:val="p"/>
          </m:rPr>
          <m:t>,</m:t>
        </m:r>
        <m:r>
          <m:t>1</m:t>
        </m:r>
        <m:r>
          <m:rPr>
            <m:sty m:val="p"/>
          </m:rPr>
          <m:t>}</m:t>
        </m:r>
      </m:oMath>
      <w:r>
        <w:t xml:space="preserve"> </w:t>
      </w:r>
      <w:r>
        <w:t xml:space="preserve">(or</w:t>
      </w:r>
      <w:r>
        <w:t xml:space="preserve"> </w:t>
      </w:r>
      <m:oMath>
        <m:r>
          <m:t>h</m:t>
        </m:r>
        <m:r>
          <m:rPr>
            <m:sty m:val="p"/>
          </m:rPr>
          <m:t>:</m:t>
        </m:r>
        <m:r>
          <m:rPr>
            <m:scr m:val="script"/>
            <m:sty m:val="p"/>
          </m:rPr>
          <m:t>X</m:t>
        </m:r>
        <m:r>
          <m:rPr>
            <m:sty m:val="p"/>
          </m:rPr>
          <m:t>→</m:t>
        </m:r>
        <m:r>
          <m:rPr>
            <m:sty m:val="p"/>
          </m:rPr>
          <m:t>[</m:t>
        </m:r>
        <m:r>
          <m:t>0</m:t>
        </m:r>
        <m:r>
          <m:rPr>
            <m:sty m:val="p"/>
          </m:rPr>
          <m:t>,</m:t>
        </m:r>
        <m:r>
          <m:t>1</m:t>
        </m:r>
        <m:r>
          <m:rPr>
            <m:sty m:val="p"/>
          </m:rPr>
          <m:t>]</m:t>
        </m:r>
      </m:oMath>
      <w:r>
        <w:t xml:space="preserve"> </w:t>
      </w:r>
      <w:r>
        <w:t xml:space="preserve">for probabilistic outputs). For any</w:t>
      </w:r>
      <w:r>
        <w:t xml:space="preserve"> </w:t>
      </w:r>
      <m:oMath>
        <m:r>
          <m:t>h</m:t>
        </m:r>
        <m:r>
          <m:rPr>
            <m:sty m:val="p"/>
          </m:rPr>
          <m:t>∈</m:t>
        </m:r>
        <m:r>
          <m:rPr>
            <m:scr m:val="script"/>
            <m:sty m:val="p"/>
          </m:rPr>
          <m:t>H</m:t>
        </m:r>
      </m:oMath>
      <w:r>
        <w:t xml:space="preserve">,</w:t>
      </w:r>
      <w:r>
        <w:t xml:space="preserve"> </w:t>
      </w:r>
      <w:r>
        <w:t xml:space="preserve">the expected risk on source and target domains under a loss function</w:t>
      </w:r>
      <w:r>
        <w:t xml:space="preserve"> </w:t>
      </w:r>
      <m:oMath>
        <m:r>
          <m:t>L</m:t>
        </m:r>
      </m:oMath>
      <w:r>
        <w:t xml:space="preserve"> </w:t>
      </w:r>
      <w:r>
        <w:t xml:space="preserve">is</w:t>
      </w:r>
    </w:p>
    <w:p>
      <w:pPr>
        <w:pStyle w:val="a0"/>
      </w:pPr>
      <m:oMathPara>
        <m:oMathParaPr>
          <m:jc m:val="center"/>
        </m:oMathParaPr>
        <m:oMath>
          <m:sSub>
            <m:e>
              <m:r>
                <m:t>ϵ</m:t>
              </m:r>
            </m:e>
            <m:sub>
              <m:r>
                <m:t>S</m:t>
              </m:r>
            </m:sub>
          </m:sSub>
          <m:r>
            <m:rPr>
              <m:sty m:val="p"/>
            </m:rPr>
            <m:t>(</m:t>
          </m:r>
          <m:r>
            <m:t>h</m:t>
          </m:r>
          <m:r>
            <m:rPr>
              <m:sty m:val="p"/>
            </m:rPr>
            <m:t>)</m:t>
          </m:r>
          <m:r>
            <m:rPr>
              <m:sty m:val="p"/>
            </m:rPr>
            <m:t>=</m:t>
          </m:r>
          <m:sSub>
            <m:e>
              <m:r>
                <m:rPr>
                  <m:scr m:val="double-struck"/>
                  <m:sty m:val="p"/>
                </m:rPr>
                <m:t>E</m:t>
              </m:r>
            </m:e>
            <m:sub>
              <m:r>
                <m:rPr>
                  <m:sty m:val="p"/>
                </m:rPr>
                <m:t>(</m:t>
              </m:r>
              <m:r>
                <m:t>X</m:t>
              </m:r>
              <m:r>
                <m:rPr>
                  <m:sty m:val="p"/>
                </m:rPr>
                <m:t>,</m:t>
              </m:r>
              <m:r>
                <m:t>Y</m:t>
              </m:r>
              <m:r>
                <m:rPr>
                  <m:sty m:val="p"/>
                </m:rPr>
                <m:t>)</m:t>
              </m:r>
              <m:r>
                <m:rPr>
                  <m:sty m:val="p"/>
                </m:rPr>
                <m:t>∼</m:t>
              </m:r>
              <m:sSub>
                <m:e>
                  <m:r>
                    <m:t>P</m:t>
                  </m:r>
                </m:e>
                <m:sub>
                  <m:r>
                    <m:t>S</m:t>
                  </m:r>
                </m:sub>
              </m:sSub>
            </m:sub>
          </m:sSub>
          <m:r>
            <m:rPr>
              <m:sty m:val="p"/>
            </m:rPr>
            <m:t>[</m:t>
          </m:r>
          <m:r>
            <m:t>ℓ</m:t>
          </m:r>
          <m:r>
            <m:rPr>
              <m:sty m:val="p"/>
            </m:rPr>
            <m:t>(</m:t>
          </m:r>
          <m:r>
            <m:t>h</m:t>
          </m:r>
          <m:r>
            <m:rPr>
              <m:sty m:val="p"/>
            </m:rPr>
            <m:t>(</m:t>
          </m:r>
          <m:r>
            <m:t>X</m:t>
          </m:r>
          <m:r>
            <m:rPr>
              <m:sty m:val="p"/>
            </m:rPr>
            <m:t>)</m:t>
          </m:r>
          <m:r>
            <m:rPr>
              <m:sty m:val="p"/>
            </m:rPr>
            <m:t>,</m:t>
          </m:r>
          <m:r>
            <m:t>Y</m:t>
          </m:r>
          <m:r>
            <m:rPr>
              <m:sty m:val="p"/>
            </m:rPr>
            <m:t>)</m:t>
          </m:r>
          <m:r>
            <m:rPr>
              <m:sty m:val="p"/>
            </m:rPr>
            <m:t>]</m:t>
          </m:r>
          <m:r>
            <m:rPr>
              <m:sty m:val="p"/>
            </m:rPr>
            <m:t>,</m:t>
          </m:r>
          <m:r>
            <m:t> </m:t>
          </m:r>
          <m:sSub>
            <m:e>
              <m:r>
                <m:t>ϵ</m:t>
              </m:r>
            </m:e>
            <m:sub>
              <m:r>
                <m:t>T</m:t>
              </m:r>
            </m:sub>
          </m:sSub>
          <m:r>
            <m:rPr>
              <m:sty m:val="p"/>
            </m:rPr>
            <m:t>(</m:t>
          </m:r>
          <m:r>
            <m:t>h</m:t>
          </m:r>
          <m:r>
            <m:rPr>
              <m:sty m:val="p"/>
            </m:rPr>
            <m:t>)</m:t>
          </m:r>
          <m:r>
            <m:rPr>
              <m:sty m:val="p"/>
            </m:rPr>
            <m:t>=</m:t>
          </m:r>
          <m:sSub>
            <m:e>
              <m:r>
                <m:rPr>
                  <m:scr m:val="double-struck"/>
                  <m:sty m:val="p"/>
                </m:rPr>
                <m:t>E</m:t>
              </m:r>
            </m:e>
            <m:sub>
              <m:r>
                <m:rPr>
                  <m:sty m:val="p"/>
                </m:rPr>
                <m:t>(</m:t>
              </m:r>
              <m:r>
                <m:t>X</m:t>
              </m:r>
              <m:r>
                <m:rPr>
                  <m:sty m:val="p"/>
                </m:rPr>
                <m:t>,</m:t>
              </m:r>
              <m:r>
                <m:t>Y</m:t>
              </m:r>
              <m:r>
                <m:rPr>
                  <m:sty m:val="p"/>
                </m:rPr>
                <m:t>)</m:t>
              </m:r>
              <m:r>
                <m:rPr>
                  <m:sty m:val="p"/>
                </m:rPr>
                <m:t>∼</m:t>
              </m:r>
              <m:sSub>
                <m:e>
                  <m:r>
                    <m:t>P</m:t>
                  </m:r>
                </m:e>
                <m:sub>
                  <m:r>
                    <m:t>T</m:t>
                  </m:r>
                </m:sub>
              </m:sSub>
            </m:sub>
          </m:sSub>
          <m:r>
            <m:rPr>
              <m:sty m:val="p"/>
            </m:rPr>
            <m:t>[</m:t>
          </m:r>
          <m:r>
            <m:t>ℓ</m:t>
          </m:r>
          <m:r>
            <m:rPr>
              <m:sty m:val="p"/>
            </m:rPr>
            <m:t>(</m:t>
          </m:r>
          <m:r>
            <m:t>h</m:t>
          </m:r>
          <m:r>
            <m:rPr>
              <m:sty m:val="p"/>
            </m:rPr>
            <m:t>(</m:t>
          </m:r>
          <m:r>
            <m:t>X</m:t>
          </m:r>
          <m:r>
            <m:rPr>
              <m:sty m:val="p"/>
            </m:rPr>
            <m:t>)</m:t>
          </m:r>
          <m:r>
            <m:rPr>
              <m:sty m:val="p"/>
            </m:rPr>
            <m:t>,</m:t>
          </m:r>
          <m:r>
            <m:t>Y</m:t>
          </m:r>
          <m:r>
            <m:rPr>
              <m:sty m:val="p"/>
            </m:rPr>
            <m:t>)</m:t>
          </m:r>
          <m:r>
            <m:rPr>
              <m:sty m:val="p"/>
            </m:rPr>
            <m:t>]</m:t>
          </m:r>
          <m:r>
            <m:rPr>
              <m:sty m:val="p"/>
            </m:rPr>
            <m:t>.</m:t>
          </m:r>
        </m:oMath>
      </m:oMathPara>
    </w:p>
    <w:p>
      <w:pPr>
        <w:pStyle w:val="FirstParagraph"/>
      </w:pPr>
      <w:r>
        <w:t xml:space="preserve">The empirical risks</w:t>
      </w:r>
      <w:r>
        <w:t xml:space="preserve"> </w:t>
      </w:r>
      <m:oMath>
        <m:sSub>
          <m:e>
            <m:acc>
              <m:accPr>
                <m:chr m:val="̂"/>
              </m:accPr>
              <m:e>
                <m:r>
                  <m:t>ϵ</m:t>
                </m:r>
              </m:e>
            </m:acc>
          </m:e>
          <m:sub>
            <m:r>
              <m:t>S</m:t>
            </m:r>
          </m:sub>
        </m:sSub>
        <m:r>
          <m:rPr>
            <m:sty m:val="p"/>
          </m:rPr>
          <m:t>(</m:t>
        </m:r>
        <m:r>
          <m:t>h</m:t>
        </m:r>
        <m:r>
          <m:rPr>
            <m:sty m:val="p"/>
          </m:rPr>
          <m:t>)</m:t>
        </m:r>
      </m:oMath>
      <w:r>
        <w:t xml:space="preserve"> </w:t>
      </w:r>
      <w:r>
        <w:t xml:space="preserve">and</w:t>
      </w:r>
      <w:r>
        <w:t xml:space="preserve"> </w:t>
      </w:r>
      <m:oMath>
        <m:sSub>
          <m:e>
            <m:acc>
              <m:accPr>
                <m:chr m:val="̂"/>
              </m:accPr>
              <m:e>
                <m:r>
                  <m:t>ϵ</m:t>
                </m:r>
              </m:e>
            </m:acc>
          </m:e>
          <m:sub>
            <m:r>
              <m:t>T</m:t>
            </m:r>
          </m:sub>
        </m:sSub>
        <m:r>
          <m:rPr>
            <m:sty m:val="p"/>
          </m:rPr>
          <m:t>(</m:t>
        </m:r>
        <m:r>
          <m:t>h</m:t>
        </m:r>
        <m:r>
          <m:rPr>
            <m:sty m:val="p"/>
          </m:rPr>
          <m:t>)</m:t>
        </m:r>
      </m:oMath>
      <w:r>
        <w:t xml:space="preserve"> </w:t>
      </w:r>
      <w:r>
        <w:t xml:space="preserve">are defined</w:t>
      </w:r>
      <w:r>
        <w:t xml:space="preserve"> </w:t>
      </w:r>
      <w:r>
        <w:t xml:space="preserve">analogously over</w:t>
      </w:r>
      <w:r>
        <w:t xml:space="preserve"> </w:t>
      </w:r>
      <m:oMath>
        <m:r>
          <m:t>S</m:t>
        </m:r>
      </m:oMath>
      <w:r>
        <w:t xml:space="preserve"> </w:t>
      </w:r>
      <w:r>
        <w:t xml:space="preserve">and</w:t>
      </w:r>
      <w:r>
        <w:t xml:space="preserve"> </w:t>
      </w:r>
      <m:oMath>
        <m:r>
          <m:t>T</m:t>
        </m:r>
      </m:oMath>
      <w:r>
        <w:t xml:space="preserve">.</w:t>
      </w:r>
    </w:p>
    <w:p>
      <w:pPr>
        <w:pStyle w:val="a0"/>
      </w:pPr>
      <w:r>
        <w:rPr>
          <w:b/>
          <w:bCs/>
        </w:rPr>
        <w:t xml:space="preserve">Objective.</w:t>
      </w:r>
      <w:r>
        <w:t xml:space="preserve"> </w:t>
      </w:r>
      <w:r>
        <w:t xml:space="preserve">The AI task considered in this thesis is to learn a predictor</w:t>
      </w:r>
      <w:r>
        <w:t xml:space="preserve"> </w:t>
      </w:r>
      <m:oMath>
        <m:sSup>
          <m:e>
            <m:r>
              <m:t>h</m:t>
            </m:r>
          </m:e>
          <m:sup>
            <m:r>
              <m:rPr>
                <m:sty m:val="p"/>
              </m:rPr>
              <m:t>⋆</m:t>
            </m:r>
          </m:sup>
        </m:sSup>
        <m:r>
          <m:rPr>
            <m:sty m:val="p"/>
          </m:rPr>
          <m:t>∈</m:t>
        </m:r>
        <m:r>
          <m:rPr>
            <m:scr m:val="script"/>
            <m:sty m:val="p"/>
          </m:rPr>
          <m:t>H</m:t>
        </m:r>
      </m:oMath>
      <w:r>
        <w:t xml:space="preserve"> </w:t>
      </w:r>
      <w:r>
        <w:t xml:space="preserve">using labeled source data</w:t>
      </w:r>
      <w:r>
        <w:t xml:space="preserve"> </w:t>
      </w:r>
      <m:oMath>
        <m:r>
          <m:t>S</m:t>
        </m:r>
      </m:oMath>
      <w:r>
        <w:t xml:space="preserve"> </w:t>
      </w:r>
      <w:r>
        <w:t xml:space="preserve">and unlabeled target data</w:t>
      </w:r>
      <w:r>
        <w:t xml:space="preserve"> </w:t>
      </w:r>
      <m:oMath>
        <m:r>
          <m:t>T</m:t>
        </m:r>
      </m:oMath>
      <w:r>
        <w:t xml:space="preserve"> </w:t>
      </w:r>
      <w:r>
        <w:t xml:space="preserve">such that:</w:t>
      </w:r>
    </w:p>
    <w:p>
      <w:pPr>
        <w:numPr>
          <w:ilvl w:val="0"/>
          <w:numId w:val="1002"/>
        </w:numPr>
      </w:pPr>
      <m:oMath>
        <m:sSub>
          <m:e>
            <m:r>
              <m:t>ϵ</m:t>
            </m:r>
          </m:e>
          <m:sub>
            <m:r>
              <m:t>T</m:t>
            </m:r>
          </m:sub>
        </m:sSub>
        <m:r>
          <m:rPr>
            <m:sty m:val="p"/>
          </m:rPr>
          <m:t>(</m:t>
        </m:r>
        <m:sSup>
          <m:e>
            <m:r>
              <m:t>h</m:t>
            </m:r>
          </m:e>
          <m:sup>
            <m:r>
              <m:rPr>
                <m:sty m:val="p"/>
              </m:rPr>
              <m:t>⋆</m:t>
            </m:r>
          </m:sup>
        </m:sSup>
        <m:r>
          <m:rPr>
            <m:sty m:val="p"/>
          </m:rPr>
          <m:t>)</m:t>
        </m:r>
      </m:oMath>
      <w:r>
        <w:t xml:space="preserve"> </w:t>
      </w:r>
      <w:r>
        <w:t xml:space="preserve">is minimized (high AUC and clinically acceptable sensitivity on</w:t>
      </w:r>
      <w:r>
        <w:t xml:space="preserve"> </w:t>
      </w:r>
      <w:r>
        <w:t xml:space="preserve">the target hospital),</w:t>
      </w:r>
    </w:p>
    <w:p>
      <w:pPr>
        <w:numPr>
          <w:ilvl w:val="0"/>
          <w:numId w:val="1002"/>
        </w:numPr>
      </w:pPr>
      <w:r>
        <w:t xml:space="preserve">calibration on the target domain is preserved under prevalence and covariate shift, and</w:t>
      </w:r>
    </w:p>
    <w:p>
      <w:pPr>
        <w:numPr>
          <w:ilvl w:val="0"/>
          <w:numId w:val="1002"/>
        </w:numPr>
      </w:pPr>
      <w:r>
        <w:t xml:space="preserve">the solution respects privacy and data-governance constraints (no sharing of raw target labels</w:t>
      </w:r>
      <w:r>
        <w:t xml:space="preserve"> </w:t>
      </w:r>
      <w:r>
        <w:t xml:space="preserve">and only lightweight alignment on shared features).</w:t>
      </w:r>
    </w:p>
    <w:p>
      <w:pPr>
        <w:pStyle w:val="FirstParagraph"/>
      </w:pPr>
      <w:r>
        <w:t xml:space="preserve">Table </w:t>
      </w:r>
      <w:hyperlink w:anchor="tbl:notation">
        <w:r>
          <w:rPr>
            <w:rStyle w:val="af"/>
          </w:rPr>
          <w:t xml:space="preserve">1</w:t>
        </w:r>
      </w:hyperlink>
      <w:r>
        <w:t xml:space="preserve"> </w:t>
      </w:r>
      <w:r>
        <w:t xml:space="preserve">summarizes the key mathematical symbols used throughout the thesis.</w:t>
      </w:r>
    </w:p>
    <w:bookmarkStart w:id="40" w:name="tbl:notation"/>
    <w:p>
      <w:pPr>
        <w:pStyle w:val="TableCaption"/>
      </w:pPr>
      <w:r>
        <w:t xml:space="preserve">Table 6: Unified Mathematical Notation System</w:t>
      </w:r>
    </w:p>
    <w:tbl>
      <w:tblPr>
        <w:tblStyle w:val="Table"/>
        <w:tblW w:type="auto" w:w="0"/>
        <w:tblLook w:firstRow="1" w:lastRow="0" w:firstColumn="0" w:lastColumn="0" w:noHBand="0" w:noVBand="0" w:val="0020"/>
        <w:tblCaption w:val="Table 6: Unified Mathematical Notation System"/>
      </w:tblPr>
      <w:tblGrid>
        <w:gridCol w:w="2640"/>
        <w:gridCol w:w="2640"/>
        <w:gridCol w:w="2640"/>
      </w:tblGrid>
      <w:tr>
        <w:trPr>
          <w:tblHeader w:val="on"/>
        </w:trPr>
        <w:tc>
          <w:tcPr/>
          <w:p>
            <w:pPr>
              <w:pStyle w:val="Compact"/>
              <w:jc w:val="left"/>
            </w:pPr>
            <w:r>
              <w:rPr>
                <w:b/>
                <w:bCs/>
              </w:rPr>
              <w:t xml:space="preserve">Symbol</w:t>
            </w:r>
          </w:p>
        </w:tc>
        <w:tc>
          <w:tcPr/>
          <w:p>
            <w:pPr>
              <w:pStyle w:val="Compact"/>
              <w:jc w:val="left"/>
            </w:pPr>
            <w:r>
              <w:rPr>
                <w:b/>
                <w:bCs/>
              </w:rPr>
              <w:t xml:space="preserve">Definition</w:t>
            </w:r>
          </w:p>
        </w:tc>
        <w:tc>
          <w:tcPr/>
          <w:p>
            <w:pPr>
              <w:pStyle w:val="Compact"/>
              <w:jc w:val="left"/>
            </w:pPr>
            <w:r>
              <w:rPr>
                <w:b/>
                <w:bCs/>
              </w:rPr>
              <w:t xml:space="preserve">Dimensions</w:t>
            </w:r>
          </w:p>
        </w:tc>
      </w:tr>
      <w:tr>
        <w:tc>
          <w:tcPr/>
          <w:p>
            <w:pPr>
              <w:pStyle w:val="Compact"/>
            </w:pPr>
          </w:p>
        </w:tc>
        <w:tc>
          <w:tcPr/>
          <w:p>
            <w:pPr>
              <w:pStyle w:val="Compact"/>
            </w:pPr>
          </w:p>
        </w:tc>
        <w:tc>
          <w:tcPr/>
          <w:p>
            <w:pPr>
              <w:pStyle w:val="Compact"/>
            </w:pPr>
          </w:p>
        </w:tc>
      </w:tr>
      <w:tr>
        <w:tc>
          <w:tcPr/>
          <w:p>
            <w:pPr>
              <w:pStyle w:val="Compact"/>
              <w:jc w:val="left"/>
            </w:pPr>
            <m:oMath>
              <m:r>
                <m:rPr>
                  <m:scr m:val="script"/>
                  <m:sty m:val="p"/>
                </m:rPr>
                <m:t>X</m:t>
              </m:r>
            </m:oMath>
          </w:p>
        </w:tc>
        <w:tc>
          <w:tcPr/>
          <w:p>
            <w:pPr>
              <w:pStyle w:val="Compact"/>
              <w:jc w:val="left"/>
            </w:pPr>
            <w:r>
              <w:t xml:space="preserve">Input feature space (mixed numerical/categorical)</w:t>
            </w:r>
          </w:p>
        </w:tc>
        <w:tc>
          <w:tcPr/>
          <w:p>
            <w:pPr>
              <w:pStyle w:val="Compact"/>
              <w:jc w:val="left"/>
            </w:pPr>
            <m:oMath>
              <m:r>
                <m:rPr>
                  <m:sty m:val="p"/>
                </m:rPr>
                <m:t>⊆</m:t>
              </m:r>
              <m:sSup>
                <m:e>
                  <m:r>
                    <m:rPr>
                      <m:scr m:val="double-struck"/>
                      <m:sty m:val="p"/>
                    </m:rPr>
                    <m:t>R</m:t>
                  </m:r>
                </m:e>
                <m:sup>
                  <m:r>
                    <m:t>d</m:t>
                  </m:r>
                </m:sup>
              </m:sSup>
            </m:oMath>
          </w:p>
        </w:tc>
      </w:tr>
      <w:tr>
        <w:tc>
          <w:tcPr/>
          <w:p>
            <w:pPr>
              <w:pStyle w:val="Compact"/>
              <w:jc w:val="left"/>
            </w:pPr>
            <m:oMath>
              <m:r>
                <m:rPr>
                  <m:scr m:val="script"/>
                  <m:sty m:val="p"/>
                </m:rPr>
                <m:t>Y</m:t>
              </m:r>
            </m:oMath>
          </w:p>
        </w:tc>
        <w:tc>
          <w:tcPr/>
          <w:p>
            <w:pPr>
              <w:pStyle w:val="Compact"/>
              <w:jc w:val="left"/>
            </w:pPr>
            <w:r>
              <w:t xml:space="preserve">Label space (0: Benign, 1: Malignant)</w:t>
            </w:r>
          </w:p>
        </w:tc>
        <w:tc>
          <w:tcPr/>
          <w:p>
            <w:pPr>
              <w:pStyle w:val="Compact"/>
              <w:jc w:val="left"/>
            </w:pPr>
            <m:oMath>
              <m:r>
                <m:rPr>
                  <m:sty m:val="p"/>
                </m:rPr>
                <m:t>{</m:t>
              </m:r>
              <m:r>
                <m:t>0</m:t>
              </m:r>
              <m:r>
                <m:rPr>
                  <m:sty m:val="p"/>
                </m:rPr>
                <m:t>,</m:t>
              </m:r>
              <m:r>
                <m:t>1</m:t>
              </m:r>
              <m:r>
                <m:rPr>
                  <m:sty m:val="p"/>
                </m:rPr>
                <m:t>}</m:t>
              </m:r>
            </m:oMath>
          </w:p>
        </w:tc>
      </w:tr>
      <w:tr>
        <w:tc>
          <w:tcPr/>
          <w:p>
            <w:pPr>
              <w:pStyle w:val="Compact"/>
              <w:jc w:val="left"/>
            </w:pPr>
            <m:oMath>
              <m:sSub>
                <m:e>
                  <m:r>
                    <m:t>P</m:t>
                  </m:r>
                </m:e>
                <m:sub>
                  <m:r>
                    <m:t>S</m:t>
                  </m:r>
                </m:sub>
              </m:sSub>
              <m:r>
                <m:rPr>
                  <m:sty m:val="p"/>
                </m:rPr>
                <m:t>,</m:t>
              </m:r>
              <m:sSub>
                <m:e>
                  <m:r>
                    <m:t>P</m:t>
                  </m:r>
                </m:e>
                <m:sub>
                  <m:r>
                    <m:t>T</m:t>
                  </m:r>
                </m:sub>
              </m:sSub>
            </m:oMath>
          </w:p>
        </w:tc>
        <w:tc>
          <w:tcPr/>
          <w:p>
            <w:pPr>
              <w:pStyle w:val="Compact"/>
              <w:jc w:val="left"/>
            </w:pPr>
            <w:r>
              <w:t xml:space="preserve">Source and Target domain distributions</w:t>
            </w:r>
          </w:p>
        </w:tc>
        <w:tc>
          <w:tcPr/>
          <w:p>
            <w:pPr>
              <w:pStyle w:val="Compact"/>
              <w:jc w:val="left"/>
            </w:pPr>
            <w:r>
              <w:t xml:space="preserve">over</w:t>
            </w:r>
            <w:r>
              <w:t xml:space="preserve"> </w:t>
            </w:r>
            <m:oMath>
              <m:r>
                <m:rPr>
                  <m:scr m:val="script"/>
                  <m:sty m:val="p"/>
                </m:rPr>
                <m:t>X</m:t>
              </m:r>
              <m:r>
                <m:rPr>
                  <m:sty m:val="p"/>
                </m:rPr>
                <m:t>×</m:t>
              </m:r>
              <m:r>
                <m:rPr>
                  <m:scr m:val="script"/>
                  <m:sty m:val="p"/>
                </m:rPr>
                <m:t>Y</m:t>
              </m:r>
            </m:oMath>
          </w:p>
        </w:tc>
      </w:tr>
      <w:tr>
        <w:tc>
          <w:tcPr/>
          <w:p>
            <w:pPr>
              <w:pStyle w:val="Compact"/>
              <w:jc w:val="left"/>
            </w:pPr>
            <m:oMath>
              <m:r>
                <m:t>S</m:t>
              </m:r>
              <m:r>
                <m:rPr>
                  <m:sty m:val="p"/>
                </m:rPr>
                <m:t>,</m:t>
              </m:r>
              <m:r>
                <m:t>T</m:t>
              </m:r>
            </m:oMath>
          </w:p>
        </w:tc>
        <w:tc>
          <w:tcPr/>
          <w:p>
            <w:pPr>
              <w:pStyle w:val="Compact"/>
              <w:jc w:val="left"/>
            </w:pPr>
            <w:r>
              <w:t xml:space="preserve">Empirical datasets drawn from</w:t>
            </w:r>
            <w:r>
              <w:t xml:space="preserve"> </w:t>
            </w:r>
            <m:oMath>
              <m:sSub>
                <m:e>
                  <m:r>
                    <m:t>P</m:t>
                  </m:r>
                </m:e>
                <m:sub>
                  <m:r>
                    <m:t>S</m:t>
                  </m:r>
                </m:sub>
              </m:sSub>
              <m:r>
                <m:rPr>
                  <m:sty m:val="p"/>
                </m:rPr>
                <m:t>,</m:t>
              </m:r>
              <m:sSub>
                <m:e>
                  <m:r>
                    <m:t>P</m:t>
                  </m:r>
                </m:e>
                <m:sub>
                  <m:r>
                    <m:t>T</m:t>
                  </m:r>
                </m:sub>
              </m:sSub>
            </m:oMath>
          </w:p>
        </w:tc>
        <w:tc>
          <w:tcPr/>
          <w:p>
            <w:pPr>
              <w:pStyle w:val="Compact"/>
              <w:jc w:val="left"/>
            </w:pPr>
            <w:r>
              <w:t xml:space="preserve">Sets of size</w:t>
            </w:r>
            <w:r>
              <w:t xml:space="preserve"> </w:t>
            </w:r>
            <m:oMath>
              <m:sSub>
                <m:e>
                  <m:r>
                    <m:t>n</m:t>
                  </m:r>
                </m:e>
                <m:sub>
                  <m:r>
                    <m:t>S</m:t>
                  </m:r>
                </m:sub>
              </m:sSub>
              <m:r>
                <m:rPr>
                  <m:sty m:val="p"/>
                </m:rPr>
                <m:t>,</m:t>
              </m:r>
              <m:r>
                <m:t>T</m:t>
              </m:r>
              <m:r>
                <m:t>s</m:t>
              </m:r>
              <m:r>
                <m:t>i</m:t>
              </m:r>
              <m:r>
                <m:t>z</m:t>
              </m:r>
              <m:r>
                <m:t>e</m:t>
              </m:r>
            </m:oMath>
          </w:p>
        </w:tc>
      </w:tr>
      <w:tr>
        <w:tc>
          <w:tcPr/>
          <w:p>
            <w:pPr>
              <w:pStyle w:val="Compact"/>
              <w:jc w:val="left"/>
            </w:pPr>
            <m:oMath>
              <m:r>
                <m:t>x</m:t>
              </m:r>
              <m:r>
                <m:rPr>
                  <m:sty m:val="p"/>
                </m:rPr>
                <m:t>,</m:t>
              </m:r>
              <m:r>
                <m:t>y</m:t>
              </m:r>
            </m:oMath>
          </w:p>
        </w:tc>
        <w:tc>
          <w:tcPr/>
          <w:p>
            <w:pPr>
              <w:pStyle w:val="Compact"/>
              <w:jc w:val="left"/>
            </w:pPr>
            <w:r>
              <w:t xml:space="preserve">Feature vector and corresponding label</w:t>
            </w:r>
          </w:p>
        </w:tc>
        <w:tc>
          <w:tcPr/>
          <w:p>
            <w:pPr>
              <w:pStyle w:val="Compact"/>
              <w:jc w:val="left"/>
            </w:pPr>
            <m:oMath>
              <m:r>
                <m:t>x</m:t>
              </m:r>
              <m:r>
                <m:rPr>
                  <m:sty m:val="p"/>
                </m:rPr>
                <m:t>∈</m:t>
              </m:r>
              <m:sSup>
                <m:e>
                  <m:r>
                    <m:rPr>
                      <m:scr m:val="double-struck"/>
                      <m:sty m:val="p"/>
                    </m:rPr>
                    <m:t>R</m:t>
                  </m:r>
                </m:e>
                <m:sup>
                  <m:r>
                    <m:t>d</m:t>
                  </m:r>
                </m:sup>
              </m:sSup>
              <m:r>
                <m:rPr>
                  <m:sty m:val="p"/>
                </m:rPr>
                <m:t>,</m:t>
              </m:r>
              <m:r>
                <m:t>y</m:t>
              </m:r>
              <m:r>
                <m:rPr>
                  <m:sty m:val="p"/>
                </m:rPr>
                <m:t>∈</m:t>
              </m:r>
              <m:r>
                <m:rPr>
                  <m:scr m:val="script"/>
                  <m:sty m:val="p"/>
                </m:rPr>
                <m:t>Y</m:t>
              </m:r>
            </m:oMath>
          </w:p>
        </w:tc>
      </w:tr>
      <w:tr>
        <w:tc>
          <w:tcPr/>
          <w:p>
            <w:pPr>
              <w:pStyle w:val="Compact"/>
              <w:jc w:val="left"/>
            </w:pPr>
            <m:oMath>
              <m:sSub>
                <m:e>
                  <m:r>
                    <m:t>d</m:t>
                  </m:r>
                </m:e>
                <m:sub>
                  <m:r>
                    <m:rPr>
                      <m:nor/>
                      <m:sty m:val="p"/>
                    </m:rPr>
                    <m:t>num</m:t>
                  </m:r>
                </m:sub>
              </m:sSub>
              <m:r>
                <m:rPr>
                  <m:sty m:val="p"/>
                </m:rPr>
                <m:t>,</m:t>
              </m:r>
              <m:sSub>
                <m:e>
                  <m:r>
                    <m:t>d</m:t>
                  </m:r>
                </m:e>
                <m:sub>
                  <m:r>
                    <m:rPr>
                      <m:nor/>
                      <m:sty m:val="p"/>
                    </m:rPr>
                    <m:t>cat</m:t>
                  </m:r>
                </m:sub>
              </m:sSub>
            </m:oMath>
          </w:p>
        </w:tc>
        <w:tc>
          <w:tcPr/>
          <w:p>
            <w:pPr>
              <w:pStyle w:val="Compact"/>
              <w:jc w:val="left"/>
            </w:pPr>
            <w:r>
              <w:t xml:space="preserve">Dimensionality of numerical and categorical features</w:t>
            </w:r>
          </w:p>
        </w:tc>
        <w:tc>
          <w:tcPr/>
          <w:p>
            <w:pPr>
              <w:pStyle w:val="Compact"/>
              <w:jc w:val="left"/>
            </w:pPr>
            <w:r>
              <w:t xml:space="preserve">Scalar (integers)</w:t>
            </w:r>
          </w:p>
        </w:tc>
      </w:tr>
      <w:tr>
        <w:tc>
          <w:tcPr/>
          <w:p>
            <w:pPr>
              <w:pStyle w:val="Compact"/>
              <w:jc w:val="left"/>
            </w:pPr>
            <m:oMath>
              <m:r>
                <m:t>π</m:t>
              </m:r>
            </m:oMath>
          </w:p>
        </w:tc>
        <w:tc>
          <w:tcPr/>
          <w:p>
            <w:pPr>
              <w:pStyle w:val="Compact"/>
              <w:jc w:val="left"/>
            </w:pPr>
            <w:r>
              <w:t xml:space="preserve">Prevalence of positive class</w:t>
            </w:r>
            <w:r>
              <w:t xml:space="preserve"> </w:t>
            </w:r>
            <m:oMath>
              <m:r>
                <m:t>P</m:t>
              </m:r>
              <m:r>
                <m:rPr>
                  <m:sty m:val="p"/>
                </m:rPr>
                <m:t>(</m:t>
              </m:r>
              <m:r>
                <m:t>Y</m:t>
              </m:r>
              <m:r>
                <m:rPr>
                  <m:sty m:val="p"/>
                </m:rPr>
                <m:t>=</m:t>
              </m:r>
              <m:r>
                <m:t>1</m:t>
              </m:r>
              <m:r>
                <m:rPr>
                  <m:sty m:val="p"/>
                </m:rPr>
                <m:t>)</m:t>
              </m:r>
            </m:oMath>
          </w:p>
        </w:tc>
        <w:tc>
          <w:tcPr/>
          <w:p>
            <w:pPr>
              <w:pStyle w:val="Compact"/>
              <w:jc w:val="left"/>
            </w:pPr>
            <w:r>
              <w:t xml:space="preserve">Probability</w:t>
            </w:r>
            <w:r>
              <w:t xml:space="preserve"> </w:t>
            </w:r>
            <m:oMath>
              <m:r>
                <m:rPr>
                  <m:sty m:val="p"/>
                </m:rPr>
                <m:t>∈</m:t>
              </m:r>
              <m:r>
                <m:rPr>
                  <m:sty m:val="p"/>
                </m:rPr>
                <m:t>[</m:t>
              </m:r>
              <m:r>
                <m:t>0</m:t>
              </m:r>
              <m:r>
                <m:rPr>
                  <m:sty m:val="p"/>
                </m:rPr>
                <m:t>,</m:t>
              </m:r>
              <m:r>
                <m:t>1</m:t>
              </m:r>
              <m:r>
                <m:rPr>
                  <m:sty m:val="p"/>
                </m:rPr>
                <m:t>]</m:t>
              </m:r>
            </m:oMath>
          </w:p>
        </w:tc>
      </w:tr>
      <w:tr>
        <w:tc>
          <w:tcPr/>
          <w:p>
            <w:pPr>
              <w:pStyle w:val="Compact"/>
              <w:jc w:val="left"/>
            </w:pPr>
            <m:oMath>
              <m:sSub>
                <m:e>
                  <m:r>
                    <m:t>F</m:t>
                  </m:r>
                </m:e>
                <m:sub>
                  <m:r>
                    <m:rPr>
                      <m:sty m:val="p"/>
                    </m:rPr>
                    <m:t>∩</m:t>
                  </m:r>
                </m:sub>
              </m:sSub>
              <m:r>
                <m:rPr>
                  <m:sty m:val="p"/>
                </m:rPr>
                <m:t>,</m:t>
              </m:r>
              <m:sSup>
                <m:e>
                  <m:r>
                    <m:t>F</m:t>
                  </m:r>
                </m:e>
                <m:sup>
                  <m:r>
                    <m:rPr>
                      <m:sty m:val="p"/>
                    </m:rPr>
                    <m:t>*</m:t>
                  </m:r>
                </m:sup>
              </m:sSup>
            </m:oMath>
          </w:p>
        </w:tc>
        <w:tc>
          <w:tcPr/>
          <w:p>
            <w:pPr>
              <w:pStyle w:val="Compact"/>
              <w:jc w:val="left"/>
            </w:pPr>
            <w:r>
              <w:t xml:space="preserve">Shared feature schema and RFE-selected subset</w:t>
            </w:r>
          </w:p>
        </w:tc>
        <w:tc>
          <w:tcPr/>
          <w:p>
            <w:pPr>
              <w:pStyle w:val="Compact"/>
              <w:jc w:val="left"/>
            </w:pPr>
            <w:r>
              <w:t xml:space="preserve">Subsets of indices</w:t>
            </w:r>
          </w:p>
        </w:tc>
      </w:tr>
      <w:tr>
        <w:tc>
          <w:tcPr>
            <w:gridSpan w:val="3"/>
          </w:tcPr>
          <w:p>
            <w:pPr>
              <w:pStyle w:val="Compact"/>
              <w:jc w:val="left"/>
            </w:pPr>
            <w:r>
              <w:rPr>
                <w:i/>
                <w:iCs/>
              </w:rPr>
              <w:t xml:space="preserve">Learning Theory</w:t>
            </w:r>
          </w:p>
        </w:tc>
      </w:tr>
      <w:tr>
        <w:tc>
          <w:tcPr/>
          <w:p>
            <w:pPr>
              <w:pStyle w:val="Compact"/>
              <w:jc w:val="left"/>
            </w:pPr>
            <m:oMath>
              <m:r>
                <m:t>h</m:t>
              </m:r>
              <m:r>
                <m:rPr>
                  <m:sty m:val="p"/>
                </m:rPr>
                <m:t>,</m:t>
              </m:r>
              <m:r>
                <m:rPr>
                  <m:scr m:val="script"/>
                  <m:sty m:val="p"/>
                </m:rPr>
                <m:t>H</m:t>
              </m:r>
            </m:oMath>
          </w:p>
        </w:tc>
        <w:tc>
          <w:tcPr/>
          <w:p>
            <w:pPr>
              <w:pStyle w:val="Compact"/>
              <w:jc w:val="left"/>
            </w:pPr>
            <w:r>
              <w:t xml:space="preserve">Hypothesis function (classifier) and hypothesis class</w:t>
            </w:r>
          </w:p>
        </w:tc>
        <w:tc>
          <w:tcPr/>
          <w:p>
            <w:pPr>
              <w:pStyle w:val="Compact"/>
              <w:jc w:val="left"/>
            </w:pPr>
            <m:oMath>
              <m:r>
                <m:t>h</m:t>
              </m:r>
              <m:r>
                <m:rPr>
                  <m:sty m:val="p"/>
                </m:rPr>
                <m:t>:</m:t>
              </m:r>
              <m:r>
                <m:rPr>
                  <m:scr m:val="script"/>
                  <m:sty m:val="p"/>
                </m:rPr>
                <m:t>X</m:t>
              </m:r>
              <m:r>
                <m:rPr>
                  <m:sty m:val="p"/>
                </m:rPr>
                <m:t>→</m:t>
              </m:r>
              <m:r>
                <m:rPr>
                  <m:scr m:val="script"/>
                  <m:sty m:val="p"/>
                </m:rPr>
                <m:t>Y</m:t>
              </m:r>
            </m:oMath>
          </w:p>
        </w:tc>
      </w:tr>
      <w:tr>
        <w:tc>
          <w:tcPr/>
          <w:p>
            <w:pPr>
              <w:pStyle w:val="Compact"/>
              <w:jc w:val="left"/>
            </w:pPr>
            <m:oMath>
              <m:sSub>
                <m:e>
                  <m:r>
                    <m:t>ϵ</m:t>
                  </m:r>
                </m:e>
                <m:sub>
                  <m:r>
                    <m:t>S</m:t>
                  </m:r>
                </m:sub>
              </m:sSub>
              <m:r>
                <m:rPr>
                  <m:sty m:val="p"/>
                </m:rPr>
                <m:t>,</m:t>
              </m:r>
              <m:sSub>
                <m:e>
                  <m:r>
                    <m:t>ϵ</m:t>
                  </m:r>
                </m:e>
                <m:sub>
                  <m:r>
                    <m:t>T</m:t>
                  </m:r>
                </m:sub>
              </m:sSub>
            </m:oMath>
          </w:p>
        </w:tc>
        <w:tc>
          <w:tcPr/>
          <w:p>
            <w:pPr>
              <w:pStyle w:val="Compact"/>
              <w:jc w:val="left"/>
            </w:pPr>
            <w:r>
              <w:t xml:space="preserve">Expected risk (error) on Source and Target distributions</w:t>
            </w:r>
          </w:p>
        </w:tc>
        <w:tc>
          <w:tcPr/>
          <w:p>
            <w:pPr>
              <w:pStyle w:val="Compact"/>
              <w:jc w:val="left"/>
            </w:pPr>
            <w:r>
              <w:t xml:space="preserve">Scalar</w:t>
            </w:r>
            <w:r>
              <w:t xml:space="preserve"> </w:t>
            </w:r>
            <m:oMath>
              <m:r>
                <m:rPr>
                  <m:sty m:val="p"/>
                </m:rPr>
                <m:t>∈</m:t>
              </m:r>
              <m:r>
                <m:rPr>
                  <m:sty m:val="p"/>
                </m:rPr>
                <m:t>[</m:t>
              </m:r>
              <m:r>
                <m:t>0</m:t>
              </m:r>
              <m:r>
                <m:rPr>
                  <m:sty m:val="p"/>
                </m:rPr>
                <m:t>,</m:t>
              </m:r>
              <m:r>
                <m:t>1</m:t>
              </m:r>
              <m:r>
                <m:rPr>
                  <m:sty m:val="p"/>
                </m:rPr>
                <m:t>]</m:t>
              </m:r>
            </m:oMath>
          </w:p>
        </w:tc>
      </w:tr>
      <w:tr>
        <w:tc>
          <w:tcPr/>
          <w:p>
            <w:pPr>
              <w:pStyle w:val="Compact"/>
              <w:jc w:val="left"/>
            </w:pPr>
            <m:oMath>
              <m:sSub>
                <m:e>
                  <m:acc>
                    <m:accPr>
                      <m:chr m:val="̂"/>
                    </m:accPr>
                    <m:e>
                      <m:r>
                        <m:t>ϵ</m:t>
                      </m:r>
                    </m:e>
                  </m:acc>
                </m:e>
                <m:sub>
                  <m:r>
                    <m:t>S</m:t>
                  </m:r>
                </m:sub>
              </m:sSub>
              <m:r>
                <m:rPr>
                  <m:sty m:val="p"/>
                </m:rPr>
                <m:t>,</m:t>
              </m:r>
              <m:sSub>
                <m:e>
                  <m:acc>
                    <m:accPr>
                      <m:chr m:val="̂"/>
                    </m:accPr>
                    <m:e>
                      <m:r>
                        <m:t>ϵ</m:t>
                      </m:r>
                    </m:e>
                  </m:acc>
                </m:e>
                <m:sub>
                  <m:r>
                    <m:t>T</m:t>
                  </m:r>
                </m:sub>
              </m:sSub>
            </m:oMath>
          </w:p>
        </w:tc>
        <w:tc>
          <w:tcPr/>
          <w:p>
            <w:pPr>
              <w:pStyle w:val="Compact"/>
              <w:jc w:val="left"/>
            </w:pPr>
            <w:r>
              <w:t xml:space="preserve">Empirical risk on datasets</w:t>
            </w:r>
            <w:r>
              <w:t xml:space="preserve"> </w:t>
            </w:r>
            <m:oMath>
              <m:r>
                <m:t>S</m:t>
              </m:r>
            </m:oMath>
            <w:r>
              <w:t xml:space="preserve"> </w:t>
            </w:r>
            <w:r>
              <w:t xml:space="preserve">and</w:t>
            </w:r>
            <w:r>
              <w:t xml:space="preserve"> </w:t>
            </w:r>
            <m:oMath>
              <m:r>
                <m:t>T</m:t>
              </m:r>
            </m:oMath>
          </w:p>
        </w:tc>
        <w:tc>
          <w:tcPr/>
          <w:p>
            <w:pPr>
              <w:pStyle w:val="Compact"/>
              <w:jc w:val="left"/>
            </w:pPr>
            <w:r>
              <w:t xml:space="preserve">Scalar</w:t>
            </w:r>
            <w:r>
              <w:t xml:space="preserve"> </w:t>
            </w:r>
            <m:oMath>
              <m:r>
                <m:rPr>
                  <m:sty m:val="p"/>
                </m:rPr>
                <m:t>∈</m:t>
              </m:r>
              <m:r>
                <m:rPr>
                  <m:sty m:val="p"/>
                </m:rPr>
                <m:t>[</m:t>
              </m:r>
              <m:r>
                <m:t>0</m:t>
              </m:r>
              <m:r>
                <m:rPr>
                  <m:sty m:val="p"/>
                </m:rPr>
                <m:t>,</m:t>
              </m:r>
              <m:r>
                <m:t>1</m:t>
              </m:r>
              <m:r>
                <m:rPr>
                  <m:sty m:val="p"/>
                </m:rPr>
                <m:t>]</m:t>
              </m:r>
            </m:oMath>
          </w:p>
        </w:tc>
      </w:tr>
      <w:tr>
        <w:tc>
          <w:tcPr/>
          <w:p>
            <w:pPr>
              <w:pStyle w:val="Compact"/>
              <w:jc w:val="left"/>
            </w:pPr>
            <m:oMath>
              <m:sSub>
                <m:e>
                  <m:r>
                    <m:t>d</m:t>
                  </m:r>
                </m:e>
                <m:sub>
                  <m:r>
                    <m:rPr>
                      <m:scr m:val="script"/>
                      <m:sty m:val="p"/>
                    </m:rPr>
                    <m:t>H</m:t>
                  </m:r>
                  <m:r>
                    <m:rPr>
                      <m:sty m:val="p"/>
                    </m:rPr>
                    <m:t>Δ</m:t>
                  </m:r>
                  <m:r>
                    <m:rPr>
                      <m:scr m:val="script"/>
                      <m:sty m:val="p"/>
                    </m:rPr>
                    <m:t>H</m:t>
                  </m:r>
                </m:sub>
              </m:sSub>
            </m:oMath>
          </w:p>
        </w:tc>
        <w:tc>
          <w:tcPr/>
          <w:p>
            <w:pPr>
              <w:pStyle w:val="Compact"/>
              <w:jc w:val="left"/>
            </w:pPr>
            <m:oMath>
              <m:r>
                <m:rPr>
                  <m:scr m:val="script"/>
                  <m:sty m:val="p"/>
                </m:rPr>
                <m:t>H</m:t>
              </m:r>
              <m:r>
                <m:rPr>
                  <m:sty m:val="p"/>
                </m:rPr>
                <m:t>Δ</m:t>
              </m:r>
              <m:r>
                <m:rPr>
                  <m:scr m:val="script"/>
                  <m:sty m:val="p"/>
                </m:rPr>
                <m:t>H</m:t>
              </m:r>
            </m:oMath>
            <w:r>
              <w:t xml:space="preserve">-Divergence (Domain Discrepancy)</w:t>
            </w:r>
          </w:p>
        </w:tc>
        <w:tc>
          <w:tcPr/>
          <w:p>
            <w:pPr>
              <w:pStyle w:val="Compact"/>
              <w:jc w:val="left"/>
            </w:pPr>
            <w:r>
              <w:t xml:space="preserve">Scalar</w:t>
            </w:r>
            <w:r>
              <w:t xml:space="preserve"> </w:t>
            </w:r>
            <m:oMath>
              <m:r>
                <m:rPr>
                  <m:sty m:val="p"/>
                </m:rPr>
                <m:t>≥</m:t>
              </m:r>
              <m:r>
                <m:t>0</m:t>
              </m:r>
            </m:oMath>
          </w:p>
        </w:tc>
      </w:tr>
      <w:tr>
        <w:tc>
          <w:tcPr/>
          <w:p>
            <w:pPr>
              <w:pStyle w:val="Compact"/>
              <w:jc w:val="left"/>
            </w:pPr>
            <m:oMath>
              <m:r>
                <m:t>λ</m:t>
              </m:r>
            </m:oMath>
          </w:p>
        </w:tc>
        <w:tc>
          <w:tcPr/>
          <w:p>
            <w:pPr>
              <w:pStyle w:val="Compact"/>
              <w:jc w:val="left"/>
            </w:pPr>
            <w:r>
              <w:t xml:space="preserve">Ideal joint hypothesis error (Adaptability term)</w:t>
            </w:r>
          </w:p>
        </w:tc>
        <w:tc>
          <w:tcPr/>
          <w:p>
            <w:pPr>
              <w:pStyle w:val="Compact"/>
              <w:jc w:val="left"/>
            </w:pPr>
            <w:r>
              <w:t xml:space="preserve">Scalar</w:t>
            </w:r>
            <w:r>
              <w:t xml:space="preserve"> </w:t>
            </w:r>
            <m:oMath>
              <m:r>
                <m:rPr>
                  <m:sty m:val="p"/>
                </m:rPr>
                <m:t>≥</m:t>
              </m:r>
              <m:r>
                <m:t>0</m:t>
              </m:r>
            </m:oMath>
          </w:p>
        </w:tc>
      </w:tr>
      <w:tr>
        <w:tc>
          <w:tcPr/>
          <w:p>
            <w:pPr>
              <w:pStyle w:val="Compact"/>
              <w:jc w:val="left"/>
            </w:pPr>
            <m:oMath>
              <m:sSub>
                <m:e>
                  <m:r>
                    <m:t>d</m:t>
                  </m:r>
                </m:e>
                <m:sub>
                  <m:r>
                    <m:t>V</m:t>
                  </m:r>
                  <m:r>
                    <m:t>C</m:t>
                  </m:r>
                </m:sub>
              </m:sSub>
            </m:oMath>
          </w:p>
        </w:tc>
        <w:tc>
          <w:tcPr/>
          <w:p>
            <w:pPr>
              <w:pStyle w:val="Compact"/>
              <w:jc w:val="left"/>
            </w:pPr>
            <w:r>
              <w:t xml:space="preserve">VC Dimension of hypothesis class</w:t>
            </w:r>
            <w:r>
              <w:t xml:space="preserve"> </w:t>
            </w:r>
            <m:oMath>
              <m:r>
                <m:rPr>
                  <m:scr m:val="script"/>
                  <m:sty m:val="p"/>
                </m:rPr>
                <m:t>H</m:t>
              </m:r>
            </m:oMath>
          </w:p>
        </w:tc>
        <w:tc>
          <w:tcPr/>
          <w:p>
            <w:pPr>
              <w:pStyle w:val="Compact"/>
              <w:jc w:val="left"/>
            </w:pPr>
            <w:r>
              <w:t xml:space="preserve">Scalar</w:t>
            </w:r>
            <w:r>
              <w:t xml:space="preserve"> </w:t>
            </w:r>
            <m:oMath>
              <m:r>
                <m:rPr>
                  <m:sty m:val="p"/>
                </m:rPr>
                <m:t>≥</m:t>
              </m:r>
              <m:r>
                <m:t>1</m:t>
              </m:r>
            </m:oMath>
          </w:p>
        </w:tc>
      </w:tr>
      <w:tr>
        <w:tc>
          <w:tcPr/>
          <w:p>
            <w:pPr>
              <w:pStyle w:val="Compact"/>
              <w:jc w:val="left"/>
            </w:pPr>
            <m:oMath>
              <m:r>
                <m:t>δ</m:t>
              </m:r>
            </m:oMath>
          </w:p>
        </w:tc>
        <w:tc>
          <w:tcPr/>
          <w:p>
            <w:pPr>
              <w:pStyle w:val="Compact"/>
              <w:jc w:val="left"/>
            </w:pPr>
            <w:r>
              <w:t xml:space="preserve">Confidence parameter for generalization bound</w:t>
            </w:r>
          </w:p>
        </w:tc>
        <w:tc>
          <w:tcPr/>
          <w:p>
            <w:pPr>
              <w:pStyle w:val="Compact"/>
              <w:jc w:val="left"/>
            </w:pPr>
            <w:r>
              <w:t xml:space="preserve">Scalar</w:t>
            </w:r>
            <w:r>
              <w:t xml:space="preserve"> </w:t>
            </w:r>
            <m:oMath>
              <m:r>
                <m:rPr>
                  <m:sty m:val="p"/>
                </m:rPr>
                <m:t>∈</m:t>
              </m:r>
              <m:r>
                <m:rPr>
                  <m:sty m:val="p"/>
                </m:rPr>
                <m:t>(</m:t>
              </m:r>
              <m:r>
                <m:t>0</m:t>
              </m:r>
              <m:r>
                <m:rPr>
                  <m:sty m:val="p"/>
                </m:rPr>
                <m:t>,</m:t>
              </m:r>
              <m:r>
                <m:t>1</m:t>
              </m:r>
              <m:r>
                <m:rPr>
                  <m:sty m:val="p"/>
                </m:rPr>
                <m:t>)</m:t>
              </m:r>
            </m:oMath>
          </w:p>
        </w:tc>
      </w:tr>
      <w:tr>
        <w:tc>
          <w:tcPr/>
          <w:p>
            <w:pPr>
              <w:pStyle w:val="Compact"/>
              <w:jc w:val="left"/>
            </w:pPr>
            <m:oMath>
              <m:r>
                <m:t>ℓ</m:t>
              </m:r>
            </m:oMath>
          </w:p>
        </w:tc>
        <w:tc>
          <w:tcPr/>
          <w:p>
            <w:pPr>
              <w:pStyle w:val="Compact"/>
              <w:jc w:val="left"/>
            </w:pPr>
            <w:r>
              <w:t xml:space="preserve">Loss function</w:t>
            </w:r>
          </w:p>
        </w:tc>
        <w:tc>
          <w:tcPr/>
          <w:p>
            <w:pPr>
              <w:pStyle w:val="Compact"/>
              <w:jc w:val="left"/>
            </w:pPr>
            <m:oMath>
              <m:r>
                <m:rPr>
                  <m:scr m:val="script"/>
                  <m:sty m:val="p"/>
                </m:rPr>
                <m:t>Y</m:t>
              </m:r>
              <m:r>
                <m:rPr>
                  <m:sty m:val="p"/>
                </m:rPr>
                <m:t>×</m:t>
              </m:r>
              <m:r>
                <m:rPr>
                  <m:scr m:val="script"/>
                  <m:sty m:val="p"/>
                </m:rPr>
                <m:t>Y</m:t>
              </m:r>
              <m:r>
                <m:rPr>
                  <m:sty m:val="p"/>
                </m:rPr>
                <m:t>→</m:t>
              </m:r>
              <m:sSub>
                <m:e>
                  <m:r>
                    <m:rPr>
                      <m:scr m:val="double-struck"/>
                      <m:sty m:val="p"/>
                    </m:rPr>
                    <m:t>R</m:t>
                  </m:r>
                </m:e>
                <m:sub>
                  <m:r>
                    <m:rPr>
                      <m:sty m:val="p"/>
                    </m:rPr>
                    <m:t>≥</m:t>
                  </m:r>
                  <m:r>
                    <m:t>0</m:t>
                  </m:r>
                </m:sub>
              </m:sSub>
            </m:oMath>
          </w:p>
        </w:tc>
      </w:tr>
      <w:tr>
        <w:tc>
          <w:tcPr/>
          <w:p>
            <w:pPr>
              <w:pStyle w:val="Compact"/>
              <w:jc w:val="left"/>
            </w:pPr>
            <m:oMath>
              <m:r>
                <m:t>θ</m:t>
              </m:r>
            </m:oMath>
          </w:p>
        </w:tc>
        <w:tc>
          <w:tcPr/>
          <w:p>
            <w:pPr>
              <w:pStyle w:val="Compact"/>
              <w:jc w:val="left"/>
            </w:pPr>
            <w:r>
              <w:t xml:space="preserve">Model parameters (weights)</w:t>
            </w:r>
          </w:p>
        </w:tc>
        <w:tc>
          <w:tcPr/>
          <w:p>
            <w:pPr>
              <w:pStyle w:val="Compact"/>
              <w:jc w:val="left"/>
            </w:pPr>
            <w:r>
              <w:t xml:space="preserve">Vector</w:t>
            </w:r>
            <w:r>
              <w:t xml:space="preserve"> </w:t>
            </w:r>
            <m:oMath>
              <m:r>
                <m:rPr>
                  <m:sty m:val="p"/>
                </m:rPr>
                <m:t>∈</m:t>
              </m:r>
              <m:sSup>
                <m:e>
                  <m:r>
                    <m:rPr>
                      <m:scr m:val="double-struck"/>
                      <m:sty m:val="p"/>
                    </m:rPr>
                    <m:t>R</m:t>
                  </m:r>
                </m:e>
                <m:sup>
                  <m:r>
                    <m:t>k</m:t>
                  </m:r>
                </m:sup>
              </m:sSup>
            </m:oMath>
          </w:p>
        </w:tc>
      </w:tr>
      <w:tr>
        <w:tc>
          <w:tcPr/>
          <w:p>
            <w:pPr>
              <w:pStyle w:val="Compact"/>
              <w:jc w:val="left"/>
            </w:pPr>
            <m:oMath>
              <m:sSub>
                <m:e>
                  <m:r>
                    <m:rPr>
                      <m:scr m:val="script"/>
                      <m:sty m:val="p"/>
                    </m:rPr>
                    <m:t>H</m:t>
                  </m:r>
                </m:e>
                <m:sub>
                  <m:r>
                    <m:rPr>
                      <m:nor/>
                      <m:sty m:val="p"/>
                    </m:rPr>
                    <m:t>deep</m:t>
                  </m:r>
                </m:sub>
              </m:sSub>
            </m:oMath>
          </w:p>
        </w:tc>
        <w:tc>
          <w:tcPr/>
          <w:p>
            <w:pPr>
              <w:pStyle w:val="Compact"/>
              <w:jc w:val="left"/>
            </w:pPr>
            <w:r>
              <w:t xml:space="preserve">Deep Neural Network hypothesis class</w:t>
            </w:r>
          </w:p>
        </w:tc>
        <w:tc>
          <w:tcPr/>
          <w:p>
            <w:pPr>
              <w:pStyle w:val="Compact"/>
              <w:jc w:val="left"/>
            </w:pPr>
            <m:oMath>
              <m:sSub>
                <m:e>
                  <m:r>
                    <m:rPr>
                      <m:scr m:val="script"/>
                      <m:sty m:val="p"/>
                    </m:rPr>
                    <m:t>H</m:t>
                  </m:r>
                </m:e>
                <m:sub>
                  <m:r>
                    <m:rPr>
                      <m:nor/>
                      <m:sty m:val="p"/>
                    </m:rPr>
                    <m:t>deep</m:t>
                  </m:r>
                </m:sub>
              </m:sSub>
              <m:r>
                <m:rPr>
                  <m:sty m:val="p"/>
                </m:rPr>
                <m:t>⊆</m:t>
              </m:r>
              <m:r>
                <m:rPr>
                  <m:scr m:val="script"/>
                  <m:sty m:val="p"/>
                </m:rPr>
                <m:t>H</m:t>
              </m:r>
            </m:oMath>
          </w:p>
        </w:tc>
      </w:tr>
      <w:tr>
        <w:tc>
          <w:tcPr/>
          <w:p>
            <w:pPr>
              <w:pStyle w:val="Compact"/>
              <w:jc w:val="left"/>
            </w:pPr>
            <m:oMath>
              <m:sSub>
                <m:e>
                  <m:r>
                    <m:t>S</m:t>
                  </m:r>
                </m:e>
                <m:sub>
                  <m:r>
                    <m:rPr>
                      <m:nor/>
                      <m:sty m:val="p"/>
                    </m:rPr>
                    <m:t>perf</m:t>
                  </m:r>
                </m:sub>
              </m:sSub>
            </m:oMath>
          </w:p>
        </w:tc>
        <w:tc>
          <w:tcPr/>
          <w:p>
            <w:pPr>
              <w:pStyle w:val="Compact"/>
              <w:jc w:val="left"/>
            </w:pPr>
            <w:r>
              <w:t xml:space="preserve">Performance-optimal hypothesis class</w:t>
            </w:r>
          </w:p>
        </w:tc>
        <w:tc>
          <w:tcPr/>
          <w:p>
            <w:pPr>
              <w:pStyle w:val="Compact"/>
              <w:jc w:val="left"/>
            </w:pPr>
            <w:r>
              <w:t xml:space="preserve">Subset of</w:t>
            </w:r>
            <w:r>
              <w:t xml:space="preserve"> </w:t>
            </w:r>
            <m:oMath>
              <m:r>
                <m:rPr>
                  <m:scr m:val="script"/>
                  <m:sty m:val="p"/>
                </m:rPr>
                <m:t>H</m:t>
              </m:r>
            </m:oMath>
            <w:r>
              <w:t xml:space="preserve"> </w:t>
            </w:r>
            <w:r>
              <w:t xml:space="preserve">maximizing accuracy</w:t>
            </w:r>
          </w:p>
        </w:tc>
      </w:tr>
      <w:tr>
        <w:tc>
          <w:tcPr/>
          <w:p>
            <w:pPr>
              <w:pStyle w:val="Compact"/>
              <w:jc w:val="left"/>
            </w:pPr>
            <m:oMath>
              <m:sSub>
                <m:e>
                  <m:r>
                    <m:t>S</m:t>
                  </m:r>
                </m:e>
                <m:sub>
                  <m:r>
                    <m:rPr>
                      <m:nor/>
                      <m:sty m:val="p"/>
                    </m:rPr>
                    <m:t>eff</m:t>
                  </m:r>
                </m:sub>
              </m:sSub>
            </m:oMath>
          </w:p>
        </w:tc>
        <w:tc>
          <w:tcPr/>
          <w:p>
            <w:pPr>
              <w:pStyle w:val="Compact"/>
              <w:jc w:val="left"/>
            </w:pPr>
            <w:r>
              <w:t xml:space="preserve">Efficiency-optimal hypothesis class</w:t>
            </w:r>
          </w:p>
        </w:tc>
        <w:tc>
          <w:tcPr/>
          <w:p>
            <w:pPr>
              <w:pStyle w:val="Compact"/>
              <w:jc w:val="left"/>
            </w:pPr>
            <w:r>
              <w:t xml:space="preserve">Subset of</w:t>
            </w:r>
            <w:r>
              <w:t xml:space="preserve"> </w:t>
            </w:r>
            <m:oMath>
              <m:r>
                <m:rPr>
                  <m:scr m:val="script"/>
                  <m:sty m:val="p"/>
                </m:rPr>
                <m:t>H</m:t>
              </m:r>
            </m:oMath>
            <w:r>
              <w:t xml:space="preserve"> </w:t>
            </w:r>
            <w:r>
              <w:t xml:space="preserve">minimizing computational cost</w:t>
            </w:r>
          </w:p>
        </w:tc>
      </w:tr>
      <w:tr>
        <w:tc>
          <w:tcPr/>
          <w:p>
            <w:pPr>
              <w:pStyle w:val="Compact"/>
              <w:jc w:val="left"/>
            </w:pPr>
            <m:oMath>
              <m:sSub>
                <m:e>
                  <m:r>
                    <m:t>S</m:t>
                  </m:r>
                </m:e>
                <m:sub>
                  <m:r>
                    <m:rPr>
                      <m:nor/>
                      <m:sty m:val="p"/>
                    </m:rPr>
                    <m:t>stab</m:t>
                  </m:r>
                </m:sub>
              </m:sSub>
            </m:oMath>
          </w:p>
        </w:tc>
        <w:tc>
          <w:tcPr/>
          <w:p>
            <w:pPr>
              <w:pStyle w:val="Compact"/>
              <w:jc w:val="left"/>
            </w:pPr>
            <w:r>
              <w:t xml:space="preserve">Stability-optimal hypothesis class</w:t>
            </w:r>
          </w:p>
        </w:tc>
        <w:tc>
          <w:tcPr/>
          <w:p>
            <w:pPr>
              <w:pStyle w:val="Compact"/>
              <w:jc w:val="left"/>
            </w:pPr>
            <w:r>
              <w:t xml:space="preserve">Subset of</w:t>
            </w:r>
            <w:r>
              <w:t xml:space="preserve"> </w:t>
            </w:r>
            <m:oMath>
              <m:r>
                <m:rPr>
                  <m:scr m:val="script"/>
                  <m:sty m:val="p"/>
                </m:rPr>
                <m:t>H</m:t>
              </m:r>
            </m:oMath>
            <w:r>
              <w:t xml:space="preserve"> </w:t>
            </w:r>
            <w:r>
              <w:t xml:space="preserve">minimizing variance</w:t>
            </w:r>
          </w:p>
        </w:tc>
      </w:tr>
      <w:tr>
        <w:tc>
          <w:tcPr/>
          <w:p>
            <w:pPr>
              <w:pStyle w:val="Compact"/>
              <w:jc w:val="left"/>
            </w:pPr>
            <m:oMath>
              <m:sSub>
                <m:e>
                  <m:r>
                    <m:t>S</m:t>
                  </m:r>
                </m:e>
                <m:sub>
                  <m:r>
                    <m:rPr>
                      <m:nor/>
                      <m:sty m:val="p"/>
                    </m:rPr>
                    <m:t>simp</m:t>
                  </m:r>
                </m:sub>
              </m:sSub>
            </m:oMath>
          </w:p>
        </w:tc>
        <w:tc>
          <w:tcPr/>
          <w:p>
            <w:pPr>
              <w:pStyle w:val="Compact"/>
              <w:jc w:val="left"/>
            </w:pPr>
            <w:r>
              <w:t xml:space="preserve">Simplicity-optimal hypothesis class</w:t>
            </w:r>
          </w:p>
        </w:tc>
        <w:tc>
          <w:tcPr/>
          <w:p>
            <w:pPr>
              <w:pStyle w:val="Compact"/>
              <w:jc w:val="left"/>
            </w:pPr>
            <w:r>
              <w:t xml:space="preserve">Subset of</w:t>
            </w:r>
            <w:r>
              <w:t xml:space="preserve"> </w:t>
            </w:r>
            <m:oMath>
              <m:r>
                <m:rPr>
                  <m:scr m:val="script"/>
                  <m:sty m:val="p"/>
                </m:rPr>
                <m:t>H</m:t>
              </m:r>
            </m:oMath>
            <w:r>
              <w:t xml:space="preserve"> </w:t>
            </w:r>
            <w:r>
              <w:t xml:space="preserve">minimizing complexity</w:t>
            </w:r>
          </w:p>
        </w:tc>
      </w:tr>
      <w:tr>
        <w:tc>
          <w:tcPr/>
          <w:p>
            <w:pPr>
              <w:pStyle w:val="Compact"/>
              <w:jc w:val="left"/>
            </w:pPr>
            <m:oMath>
              <m:sSub>
                <m:e>
                  <m:r>
                    <m:t>n</m:t>
                  </m:r>
                </m:e>
                <m:sub>
                  <m:r>
                    <m:t>S</m:t>
                  </m:r>
                </m:sub>
              </m:sSub>
              <m:r>
                <m:rPr>
                  <m:sty m:val="p"/>
                </m:rPr>
                <m:t>,</m:t>
              </m:r>
              <m:sSub>
                <m:e>
                  <m:r>
                    <m:t>n</m:t>
                  </m:r>
                </m:e>
                <m:sub>
                  <m:r>
                    <m:t>T</m:t>
                  </m:r>
                </m:sub>
              </m:sSub>
            </m:oMath>
          </w:p>
        </w:tc>
        <w:tc>
          <w:tcPr/>
          <w:p>
            <w:pPr>
              <w:pStyle w:val="Compact"/>
              <w:jc w:val="left"/>
            </w:pPr>
            <w:r>
              <w:t xml:space="preserve">Alternative notation for source/target domain sizes</w:t>
            </w:r>
          </w:p>
        </w:tc>
        <w:tc>
          <w:tcPr/>
          <w:p>
            <w:pPr>
              <w:pStyle w:val="Compact"/>
              <w:jc w:val="left"/>
            </w:pPr>
            <m:oMath>
              <m:sSub>
                <m:e>
                  <m:r>
                    <m:t>n</m:t>
                  </m:r>
                </m:e>
                <m:sub>
                  <m:r>
                    <m:t>S</m:t>
                  </m:r>
                </m:sub>
              </m:sSub>
              <m:r>
                <m:rPr>
                  <m:sty m:val="p"/>
                </m:rPr>
                <m:t>=</m:t>
              </m:r>
              <m:sSub>
                <m:e>
                  <m:r>
                    <m:t>n</m:t>
                  </m:r>
                </m:e>
                <m:sub>
                  <m:r>
                    <m:t>S</m:t>
                  </m:r>
                </m:sub>
              </m:sSub>
            </m:oMath>
            <w:r>
              <w:t xml:space="preserve">,</w:t>
            </w:r>
            <w:r>
              <w:t xml:space="preserve"> </w:t>
            </w:r>
            <m:oMath>
              <m:sSub>
                <m:e>
                  <m:r>
                    <m:t>n</m:t>
                  </m:r>
                </m:e>
                <m:sub>
                  <m:r>
                    <m:t>T</m:t>
                  </m:r>
                </m:sub>
              </m:sSub>
              <m:r>
                <m:rPr>
                  <m:sty m:val="p"/>
                </m:rPr>
                <m:t>=</m:t>
              </m:r>
              <m:r>
                <m:t>T</m:t>
              </m:r>
              <m:r>
                <m:t>s</m:t>
              </m:r>
              <m:r>
                <m:t>i</m:t>
              </m:r>
              <m:r>
                <m:t>z</m:t>
              </m:r>
              <m:r>
                <m:t>e</m:t>
              </m:r>
            </m:oMath>
          </w:p>
        </w:tc>
      </w:tr>
      <w:tr>
        <w:tc>
          <w:tcPr>
            <w:gridSpan w:val="3"/>
          </w:tcPr>
          <w:p>
            <w:pPr>
              <w:pStyle w:val="Compact"/>
              <w:jc w:val="left"/>
            </w:pPr>
            <w:r>
              <w:rPr>
                <w:i/>
                <w:iCs/>
              </w:rPr>
              <w:t xml:space="preserve">PANDA Architecture</w:t>
            </w:r>
          </w:p>
        </w:tc>
      </w:tr>
      <w:tr>
        <w:tc>
          <w:tcPr/>
          <w:p>
            <w:pPr>
              <w:pStyle w:val="Compact"/>
              <w:jc w:val="left"/>
            </w:pPr>
            <m:oMath>
              <m:sSub>
                <m:e>
                  <m:r>
                    <m:t>I</m:t>
                  </m:r>
                </m:e>
                <m:sub>
                  <m:r>
                    <m:rPr>
                      <m:nor/>
                      <m:sty m:val="p"/>
                    </m:rPr>
                    <m:t>RFE</m:t>
                  </m:r>
                </m:sub>
              </m:sSub>
            </m:oMath>
          </w:p>
        </w:tc>
        <w:tc>
          <w:tcPr/>
          <w:p>
            <w:pPr>
              <w:pStyle w:val="Compact"/>
              <w:jc w:val="left"/>
            </w:pPr>
            <w:r>
              <w:t xml:space="preserve">Permutation Importance (Feature Saliency)</w:t>
            </w:r>
          </w:p>
        </w:tc>
        <w:tc>
          <w:tcPr/>
          <w:p>
            <w:pPr>
              <w:pStyle w:val="Compact"/>
              <w:jc w:val="left"/>
            </w:pPr>
            <w:r>
              <w:t xml:space="preserve">Scalar</w:t>
            </w:r>
            <w:r>
              <w:t xml:space="preserve"> </w:t>
            </w:r>
            <m:oMath>
              <m:r>
                <m:rPr>
                  <m:sty m:val="p"/>
                </m:rPr>
                <m:t>∈</m:t>
              </m:r>
              <m:r>
                <m:rPr>
                  <m:scr m:val="double-struck"/>
                  <m:sty m:val="p"/>
                </m:rPr>
                <m:t>R</m:t>
              </m:r>
            </m:oMath>
          </w:p>
        </w:tc>
      </w:tr>
      <w:tr>
        <w:tc>
          <w:tcPr/>
          <w:p>
            <w:pPr>
              <w:pStyle w:val="Compact"/>
              <w:jc w:val="left"/>
            </w:pPr>
            <m:oMath>
              <m:r>
                <m:rPr>
                  <m:sty m:val="p"/>
                </m:rPr>
                <m:t>R</m:t>
              </m:r>
              <m:r>
                <m:rPr>
                  <m:sty m:val="p"/>
                </m:rPr>
                <m:t>F</m:t>
              </m:r>
              <m:r>
                <m:rPr>
                  <m:sty m:val="p"/>
                </m:rPr>
                <m:t>E</m:t>
              </m:r>
              <m:r>
                <m:rPr>
                  <m:sty m:val="p"/>
                </m:rPr>
                <m:t>(</m:t>
              </m:r>
              <m:r>
                <m:rPr>
                  <m:sty m:val="p"/>
                </m:rPr>
                <m:t>⋅</m:t>
              </m:r>
              <m:r>
                <m:rPr>
                  <m:sty m:val="p"/>
                </m:rPr>
                <m:t>)</m:t>
              </m:r>
            </m:oMath>
          </w:p>
        </w:tc>
        <w:tc>
          <w:tcPr/>
          <w:p>
            <w:pPr>
              <w:pStyle w:val="Compact"/>
              <w:jc w:val="left"/>
            </w:pPr>
            <w:r>
              <w:t xml:space="preserve">RFE operation that restricts features to</w:t>
            </w:r>
            <w:r>
              <w:t xml:space="preserve"> </w:t>
            </w:r>
            <m:oMath>
              <m:sSup>
                <m:e>
                  <m:r>
                    <m:t>F</m:t>
                  </m:r>
                </m:e>
                <m:sup>
                  <m:r>
                    <m:rPr>
                      <m:sty m:val="p"/>
                    </m:rPr>
                    <m:t>*</m:t>
                  </m:r>
                </m:sup>
              </m:sSup>
            </m:oMath>
          </w:p>
        </w:tc>
        <w:tc>
          <w:tcPr/>
          <w:p>
            <w:pPr>
              <w:pStyle w:val="Compact"/>
              <w:jc w:val="left"/>
            </w:pPr>
            <m:oMath>
              <m:sSup>
                <m:e>
                  <m:r>
                    <m:rPr>
                      <m:scr m:val="double-struck"/>
                      <m:sty m:val="p"/>
                    </m:rPr>
                    <m:t>R</m:t>
                  </m:r>
                </m:e>
                <m:sup>
                  <m:r>
                    <m:t>d</m:t>
                  </m:r>
                </m:sup>
              </m:sSup>
              <m:r>
                <m:rPr>
                  <m:sty m:val="p"/>
                </m:rPr>
                <m:t>→</m:t>
              </m:r>
              <m:sSup>
                <m:e>
                  <m:r>
                    <m:rPr>
                      <m:scr m:val="double-struck"/>
                      <m:sty m:val="p"/>
                    </m:rPr>
                    <m:t>R</m:t>
                  </m:r>
                </m:e>
                <m:sup>
                  <m:sSub>
                    <m:e>
                      <m:r>
                        <m:t>d</m:t>
                      </m:r>
                    </m:e>
                    <m:sub>
                      <m:r>
                        <m:rPr>
                          <m:nor/>
                          <m:sty m:val="p"/>
                        </m:rPr>
                        <m:t>RFE</m:t>
                      </m:r>
                    </m:sub>
                  </m:sSub>
                </m:sup>
              </m:sSup>
            </m:oMath>
          </w:p>
        </w:tc>
      </w:tr>
      <w:tr>
        <w:tc>
          <w:tcPr/>
          <w:p>
            <w:pPr>
              <w:pStyle w:val="Compact"/>
              <w:jc w:val="left"/>
            </w:pPr>
            <m:oMath>
              <m:r>
                <m:rPr>
                  <m:sty m:val="p"/>
                </m:rPr>
                <m:t>Φ</m:t>
              </m:r>
              <m:r>
                <m:rPr>
                  <m:sty m:val="p"/>
                </m:rPr>
                <m:t>(</m:t>
              </m:r>
              <m:r>
                <m:rPr>
                  <m:sty m:val="p"/>
                </m:rPr>
                <m:t>⋅</m:t>
              </m:r>
              <m:r>
                <m:rPr>
                  <m:sty m:val="p"/>
                </m:rPr>
                <m:t>)</m:t>
              </m:r>
            </m:oMath>
          </w:p>
        </w:tc>
        <w:tc>
          <w:tcPr/>
          <w:p>
            <w:pPr>
              <w:pStyle w:val="Compact"/>
              <w:jc w:val="left"/>
            </w:pPr>
            <w:r>
              <w:t xml:space="preserve">Domain adaptation mapping (TCA projection)</w:t>
            </w:r>
          </w:p>
        </w:tc>
        <w:tc>
          <w:tcPr/>
          <w:p>
            <w:pPr>
              <w:pStyle w:val="Compact"/>
              <w:jc w:val="left"/>
            </w:pPr>
            <m:oMath>
              <m:sSup>
                <m:e>
                  <m:r>
                    <m:rPr>
                      <m:scr m:val="double-struck"/>
                      <m:sty m:val="p"/>
                    </m:rPr>
                    <m:t>R</m:t>
                  </m:r>
                </m:e>
                <m:sup>
                  <m:sSub>
                    <m:e>
                      <m:r>
                        <m:t>d</m:t>
                      </m:r>
                    </m:e>
                    <m:sub>
                      <m:r>
                        <m:rPr>
                          <m:nor/>
                          <m:sty m:val="p"/>
                        </m:rPr>
                        <m:t>RFE</m:t>
                      </m:r>
                    </m:sub>
                  </m:sSub>
                </m:sup>
              </m:sSup>
              <m:r>
                <m:rPr>
                  <m:sty m:val="p"/>
                </m:rPr>
                <m:t>→</m:t>
              </m:r>
              <m:sSup>
                <m:e>
                  <m:r>
                    <m:rPr>
                      <m:scr m:val="double-struck"/>
                      <m:sty m:val="p"/>
                    </m:rPr>
                    <m:t>R</m:t>
                  </m:r>
                </m:e>
                <m:sup>
                  <m:r>
                    <m:t>m</m:t>
                  </m:r>
                </m:sup>
              </m:sSup>
            </m:oMath>
          </w:p>
        </w:tc>
      </w:tr>
      <w:tr>
        <w:tc>
          <w:tcPr/>
          <w:p>
            <w:pPr>
              <w:pStyle w:val="Compact"/>
              <w:jc w:val="left"/>
            </w:pPr>
            <m:oMath>
              <m:r>
                <m:t>A</m:t>
              </m:r>
            </m:oMath>
          </w:p>
        </w:tc>
        <w:tc>
          <w:tcPr/>
          <w:p>
            <w:pPr>
              <w:pStyle w:val="Compact"/>
              <w:jc w:val="left"/>
            </w:pPr>
            <w:r>
              <w:t xml:space="preserve">TCA Projection Matrix</w:t>
            </w:r>
          </w:p>
        </w:tc>
        <w:tc>
          <w:tcPr/>
          <w:p>
            <w:pPr>
              <w:pStyle w:val="Compact"/>
              <w:jc w:val="left"/>
            </w:pPr>
            <m:oMath>
              <m:sSup>
                <m:e>
                  <m:r>
                    <m:rPr>
                      <m:scr m:val="double-struck"/>
                      <m:sty m:val="p"/>
                    </m:rPr>
                    <m:t>R</m:t>
                  </m:r>
                </m:e>
                <m:sup>
                  <m:sSub>
                    <m:e>
                      <m:r>
                        <m:t>d</m:t>
                      </m:r>
                    </m:e>
                    <m:sub>
                      <m:r>
                        <m:rPr>
                          <m:nor/>
                          <m:sty m:val="p"/>
                        </m:rPr>
                        <m:t>RFE</m:t>
                      </m:r>
                    </m:sub>
                  </m:sSub>
                  <m:r>
                    <m:rPr>
                      <m:sty m:val="p"/>
                    </m:rPr>
                    <m:t>×</m:t>
                  </m:r>
                  <m:r>
                    <m:t>m</m:t>
                  </m:r>
                </m:sup>
              </m:sSup>
            </m:oMath>
          </w:p>
        </w:tc>
      </w:tr>
      <w:tr>
        <w:tc>
          <w:tcPr/>
          <w:p>
            <w:pPr>
              <w:pStyle w:val="Compact"/>
              <w:jc w:val="left"/>
            </w:pPr>
            <m:oMath>
              <m:r>
                <m:t>K</m:t>
              </m:r>
            </m:oMath>
          </w:p>
        </w:tc>
        <w:tc>
          <w:tcPr/>
          <w:p>
            <w:pPr>
              <w:pStyle w:val="Compact"/>
              <w:jc w:val="left"/>
            </w:pPr>
            <w:r>
              <w:t xml:space="preserve">Kernel Matrix (Linear kernel on features)</w:t>
            </w:r>
          </w:p>
        </w:tc>
        <w:tc>
          <w:tcPr/>
          <w:p>
            <w:pPr>
              <w:pStyle w:val="Compact"/>
              <w:jc w:val="left"/>
            </w:pPr>
            <m:oMath>
              <m:sSup>
                <m:e>
                  <m:r>
                    <m:rPr>
                      <m:scr m:val="double-struck"/>
                      <m:sty m:val="p"/>
                    </m:rPr>
                    <m:t>R</m:t>
                  </m:r>
                </m:e>
                <m:sup>
                  <m:r>
                    <m:rPr>
                      <m:sty m:val="p"/>
                    </m:rPr>
                    <m:t>(</m:t>
                  </m:r>
                  <m:sSub>
                    <m:e>
                      <m:r>
                        <m:t>n</m:t>
                      </m:r>
                    </m:e>
                    <m:sub>
                      <m:r>
                        <m:t>S</m:t>
                      </m:r>
                    </m:sub>
                  </m:sSub>
                  <m:r>
                    <m:rPr>
                      <m:sty m:val="p"/>
                    </m:rPr>
                    <m:t>+</m:t>
                  </m:r>
                  <m:r>
                    <m:t>T</m:t>
                  </m:r>
                  <m:r>
                    <m:t>s</m:t>
                  </m:r>
                  <m:r>
                    <m:t>i</m:t>
                  </m:r>
                  <m:r>
                    <m:t>z</m:t>
                  </m:r>
                  <m:r>
                    <m:t>e</m:t>
                  </m:r>
                  <m:sSup>
                    <m:e>
                      <m:r>
                        <m:rPr>
                          <m:sty m:val="p"/>
                        </m:rPr>
                        <m:t>)</m:t>
                      </m:r>
                    </m:e>
                    <m:sup>
                      <m:r>
                        <m:t>2</m:t>
                      </m:r>
                    </m:sup>
                  </m:sSup>
                </m:sup>
              </m:sSup>
            </m:oMath>
          </w:p>
        </w:tc>
      </w:tr>
      <w:tr>
        <w:tc>
          <w:tcPr/>
          <w:p>
            <w:pPr>
              <w:pStyle w:val="Compact"/>
              <w:jc w:val="left"/>
            </w:pPr>
            <m:oMath>
              <m:r>
                <m:t>M</m:t>
              </m:r>
            </m:oMath>
          </w:p>
        </w:tc>
        <w:tc>
          <w:tcPr/>
          <w:p>
            <w:pPr>
              <w:pStyle w:val="Compact"/>
              <w:jc w:val="left"/>
            </w:pPr>
            <w:r>
              <w:t xml:space="preserve">MMD Indicator Matrix</w:t>
            </w:r>
          </w:p>
        </w:tc>
        <w:tc>
          <w:tcPr/>
          <w:p>
            <w:pPr>
              <w:pStyle w:val="Compact"/>
              <w:jc w:val="left"/>
            </w:pPr>
            <m:oMath>
              <m:sSup>
                <m:e>
                  <m:r>
                    <m:rPr>
                      <m:scr m:val="double-struck"/>
                      <m:sty m:val="p"/>
                    </m:rPr>
                    <m:t>R</m:t>
                  </m:r>
                </m:e>
                <m:sup>
                  <m:r>
                    <m:rPr>
                      <m:sty m:val="p"/>
                    </m:rPr>
                    <m:t>(</m:t>
                  </m:r>
                  <m:sSub>
                    <m:e>
                      <m:r>
                        <m:t>n</m:t>
                      </m:r>
                    </m:e>
                    <m:sub>
                      <m:r>
                        <m:t>S</m:t>
                      </m:r>
                    </m:sub>
                  </m:sSub>
                  <m:r>
                    <m:rPr>
                      <m:sty m:val="p"/>
                    </m:rPr>
                    <m:t>+</m:t>
                  </m:r>
                  <m:r>
                    <m:t>T</m:t>
                  </m:r>
                  <m:r>
                    <m:t>s</m:t>
                  </m:r>
                  <m:r>
                    <m:t>i</m:t>
                  </m:r>
                  <m:r>
                    <m:t>z</m:t>
                  </m:r>
                  <m:r>
                    <m:t>e</m:t>
                  </m:r>
                  <m:sSup>
                    <m:e>
                      <m:r>
                        <m:rPr>
                          <m:sty m:val="p"/>
                        </m:rPr>
                        <m:t>)</m:t>
                      </m:r>
                    </m:e>
                    <m:sup>
                      <m:r>
                        <m:t>2</m:t>
                      </m:r>
                    </m:sup>
                  </m:sSup>
                </m:sup>
              </m:sSup>
            </m:oMath>
          </w:p>
        </w:tc>
      </w:tr>
      <w:tr>
        <w:tc>
          <w:tcPr/>
          <w:p>
            <w:pPr>
              <w:pStyle w:val="Compact"/>
              <w:jc w:val="left"/>
            </w:pPr>
            <m:oMath>
              <m:r>
                <m:t>H</m:t>
              </m:r>
            </m:oMath>
          </w:p>
        </w:tc>
        <w:tc>
          <w:tcPr/>
          <w:p>
            <w:pPr>
              <w:pStyle w:val="Compact"/>
              <w:jc w:val="left"/>
            </w:pPr>
            <w:r>
              <w:t xml:space="preserve">Centering Matrix</w:t>
            </w:r>
          </w:p>
        </w:tc>
        <w:tc>
          <w:tcPr/>
          <w:p>
            <w:pPr>
              <w:pStyle w:val="Compact"/>
              <w:jc w:val="left"/>
            </w:pPr>
            <m:oMath>
              <m:sSup>
                <m:e>
                  <m:r>
                    <m:rPr>
                      <m:scr m:val="double-struck"/>
                      <m:sty m:val="p"/>
                    </m:rPr>
                    <m:t>R</m:t>
                  </m:r>
                </m:e>
                <m:sup>
                  <m:r>
                    <m:rPr>
                      <m:sty m:val="p"/>
                    </m:rPr>
                    <m:t>(</m:t>
                  </m:r>
                  <m:sSub>
                    <m:e>
                      <m:r>
                        <m:t>n</m:t>
                      </m:r>
                    </m:e>
                    <m:sub>
                      <m:r>
                        <m:t>S</m:t>
                      </m:r>
                    </m:sub>
                  </m:sSub>
                  <m:r>
                    <m:rPr>
                      <m:sty m:val="p"/>
                    </m:rPr>
                    <m:t>+</m:t>
                  </m:r>
                  <m:r>
                    <m:t>T</m:t>
                  </m:r>
                  <m:r>
                    <m:t>s</m:t>
                  </m:r>
                  <m:r>
                    <m:t>i</m:t>
                  </m:r>
                  <m:r>
                    <m:t>z</m:t>
                  </m:r>
                  <m:r>
                    <m:t>e</m:t>
                  </m:r>
                  <m:sSup>
                    <m:e>
                      <m:r>
                        <m:rPr>
                          <m:sty m:val="p"/>
                        </m:rPr>
                        <m:t>)</m:t>
                      </m:r>
                    </m:e>
                    <m:sup>
                      <m:r>
                        <m:t>2</m:t>
                      </m:r>
                    </m:sup>
                  </m:sSup>
                </m:sup>
              </m:sSup>
            </m:oMath>
          </w:p>
        </w:tc>
      </w:tr>
      <w:tr>
        <w:tc>
          <w:tcPr/>
          <w:p>
            <w:pPr>
              <w:pStyle w:val="Compact"/>
              <w:jc w:val="left"/>
            </w:pPr>
            <m:oMath>
              <m:r>
                <m:t>μ</m:t>
              </m:r>
            </m:oMath>
          </w:p>
        </w:tc>
        <w:tc>
          <w:tcPr/>
          <w:p>
            <w:pPr>
              <w:pStyle w:val="Compact"/>
              <w:jc w:val="left"/>
            </w:pPr>
            <w:r>
              <w:t xml:space="preserve">TCA Regularization Parameter</w:t>
            </w:r>
          </w:p>
        </w:tc>
        <w:tc>
          <w:tcPr/>
          <w:p>
            <w:pPr>
              <w:pStyle w:val="Compact"/>
              <w:jc w:val="left"/>
            </w:pPr>
            <w:r>
              <w:t xml:space="preserve">Scalar</w:t>
            </w:r>
            <w:r>
              <w:t xml:space="preserve"> </w:t>
            </w:r>
            <m:oMath>
              <m:r>
                <m:rPr>
                  <m:sty m:val="p"/>
                </m:rPr>
                <m:t>&gt;</m:t>
              </m:r>
              <m:r>
                <m:t>0</m:t>
              </m:r>
            </m:oMath>
          </w:p>
        </w:tc>
      </w:tr>
      <w:tr>
        <w:tc>
          <w:tcPr/>
          <w:p>
            <w:pPr>
              <w:pStyle w:val="Compact"/>
              <w:jc w:val="left"/>
            </w:pPr>
            <m:oMath>
              <m:r>
                <m:t>γ</m:t>
              </m:r>
            </m:oMath>
          </w:p>
        </w:tc>
        <w:tc>
          <w:tcPr/>
          <w:p>
            <w:pPr>
              <w:pStyle w:val="Compact"/>
              <w:jc w:val="left"/>
            </w:pPr>
            <w:r>
              <w:t xml:space="preserve">RBF Kernel Bandwidth Parameter</w:t>
            </w:r>
          </w:p>
        </w:tc>
        <w:tc>
          <w:tcPr/>
          <w:p>
            <w:pPr>
              <w:pStyle w:val="Compact"/>
              <w:jc w:val="left"/>
            </w:pPr>
            <w:r>
              <w:t xml:space="preserve">Scalar</w:t>
            </w:r>
            <w:r>
              <w:t xml:space="preserve"> </w:t>
            </w:r>
            <m:oMath>
              <m:r>
                <m:rPr>
                  <m:sty m:val="p"/>
                </m:rPr>
                <m:t>&gt;</m:t>
              </m:r>
              <m:r>
                <m:t>0</m:t>
              </m:r>
            </m:oMath>
          </w:p>
        </w:tc>
      </w:tr>
      <w:tr>
        <w:tc>
          <w:tcPr/>
          <w:p>
            <w:pPr>
              <w:pStyle w:val="Compact"/>
              <w:jc w:val="left"/>
            </w:pPr>
            <m:oMath>
              <m:r>
                <m:t>ϕ</m:t>
              </m:r>
              <m:r>
                <m:rPr>
                  <m:sty m:val="p"/>
                </m:rPr>
                <m:t>(</m:t>
              </m:r>
              <m:r>
                <m:rPr>
                  <m:sty m:val="p"/>
                </m:rPr>
                <m:t>⋅</m:t>
              </m:r>
              <m:r>
                <m:rPr>
                  <m:sty m:val="p"/>
                </m:rPr>
                <m:t>)</m:t>
              </m:r>
            </m:oMath>
          </w:p>
        </w:tc>
        <w:tc>
          <w:tcPr/>
          <w:p>
            <w:pPr>
              <w:pStyle w:val="Compact"/>
              <w:jc w:val="left"/>
            </w:pPr>
            <w:r>
              <w:t xml:space="preserve">Implicit Feature Map to RKHS</w:t>
            </w:r>
          </w:p>
        </w:tc>
        <w:tc>
          <w:tcPr/>
          <w:p>
            <w:pPr>
              <w:pStyle w:val="Compact"/>
              <w:jc w:val="left"/>
            </w:pPr>
            <m:oMath>
              <m:r>
                <m:rPr>
                  <m:scr m:val="script"/>
                  <m:sty m:val="p"/>
                </m:rPr>
                <m:t>X</m:t>
              </m:r>
              <m:r>
                <m:rPr>
                  <m:sty m:val="p"/>
                </m:rPr>
                <m:t>→</m:t>
              </m:r>
              <m:r>
                <m:rPr>
                  <m:scr m:val="script"/>
                  <m:sty m:val="p"/>
                </m:rPr>
                <m:t>H</m:t>
              </m:r>
            </m:oMath>
          </w:p>
        </w:tc>
      </w:tr>
      <w:tr>
        <w:tc>
          <w:tcPr/>
          <w:p>
            <w:pPr>
              <w:pStyle w:val="Compact"/>
              <w:jc w:val="left"/>
            </w:pPr>
            <m:oMath>
              <m:r>
                <m:t>p</m:t>
              </m:r>
            </m:oMath>
          </w:p>
        </w:tc>
        <w:tc>
          <w:tcPr/>
          <w:p>
            <w:pPr>
              <w:pStyle w:val="Compact"/>
              <w:jc w:val="left"/>
            </w:pPr>
            <w:r>
              <w:t xml:space="preserve">Posterior Predictive Distribution</w:t>
            </w:r>
            <w:r>
              <w:t xml:space="preserve"> </w:t>
            </w:r>
            <m:oMath>
              <m:r>
                <m:t>P</m:t>
              </m:r>
              <m:r>
                <m:rPr>
                  <m:sty m:val="p"/>
                </m:rPr>
                <m:t>(</m:t>
              </m:r>
              <m:r>
                <m:t>y</m:t>
              </m:r>
              <m:r>
                <m:rPr>
                  <m:sty m:val="p"/>
                </m:rPr>
                <m:t>|</m:t>
              </m:r>
              <m:r>
                <m:t>x</m:t>
              </m:r>
              <m:r>
                <m:rPr>
                  <m:sty m:val="p"/>
                </m:rPr>
                <m:t>,</m:t>
              </m:r>
              <m:r>
                <m:t>S</m:t>
              </m:r>
              <m:r>
                <m:rPr>
                  <m:sty m:val="p"/>
                </m:rPr>
                <m:t>)</m:t>
              </m:r>
            </m:oMath>
          </w:p>
        </w:tc>
        <w:tc>
          <w:tcPr/>
          <w:p>
            <w:pPr>
              <w:pStyle w:val="Compact"/>
              <w:jc w:val="left"/>
            </w:pPr>
            <w:r>
              <w:t xml:space="preserve">Probability</w:t>
            </w:r>
          </w:p>
        </w:tc>
      </w:tr>
      <w:tr>
        <w:tc>
          <w:tcPr/>
          <w:p>
            <w:pPr>
              <w:pStyle w:val="Compact"/>
              <w:jc w:val="left"/>
            </w:pPr>
            <m:oMath>
              <m:sSub>
                <m:e>
                  <m:r>
                    <m:t>f</m:t>
                  </m:r>
                </m:e>
                <m:sub>
                  <m:r>
                    <m:rPr>
                      <m:nor/>
                      <m:sty m:val="p"/>
                    </m:rPr>
                    <m:t>PFN</m:t>
                  </m:r>
                </m:sub>
              </m:sSub>
              <m:r>
                <m:t>i</m:t>
              </m:r>
              <m:r>
                <m:t>i</m:t>
              </m:r>
              <m:r>
                <m:rPr>
                  <m:sty m:val="p"/>
                </m:rPr>
                <m:t>(</m:t>
              </m:r>
              <m:r>
                <m:rPr>
                  <m:sty m:val="p"/>
                </m:rPr>
                <m:t>⋅</m:t>
              </m:r>
              <m:r>
                <m:rPr>
                  <m:sty m:val="p"/>
                </m:rPr>
                <m:t>)</m:t>
              </m:r>
            </m:oMath>
          </w:p>
        </w:tc>
        <w:tc>
          <w:tcPr/>
          <w:p>
            <w:pPr>
              <w:pStyle w:val="Compact"/>
              <w:jc w:val="left"/>
            </w:pPr>
            <w:r>
              <w:t xml:space="preserve">i-th TabPFN classifier function (ensemble member)</w:t>
            </w:r>
          </w:p>
        </w:tc>
        <w:tc>
          <w:tcPr/>
          <w:p>
            <w:pPr>
              <w:pStyle w:val="Compact"/>
              <w:jc w:val="left"/>
            </w:pPr>
            <m:oMath>
              <m:sSup>
                <m:e>
                  <m:r>
                    <m:rPr>
                      <m:scr m:val="double-struck"/>
                      <m:sty m:val="p"/>
                    </m:rPr>
                    <m:t>R</m:t>
                  </m:r>
                </m:e>
                <m:sup>
                  <m:r>
                    <m:t>m</m:t>
                  </m:r>
                </m:sup>
              </m:sSup>
              <m:r>
                <m:rPr>
                  <m:sty m:val="p"/>
                </m:rPr>
                <m:t>→</m:t>
              </m:r>
              <m:r>
                <m:rPr>
                  <m:sty m:val="p"/>
                </m:rPr>
                <m:t>[</m:t>
              </m:r>
              <m:r>
                <m:t>0</m:t>
              </m:r>
              <m:r>
                <m:rPr>
                  <m:sty m:val="p"/>
                </m:rPr>
                <m:t>,</m:t>
              </m:r>
              <m:r>
                <m:t>1</m:t>
              </m:r>
              <m:r>
                <m:rPr>
                  <m:sty m:val="p"/>
                </m:rPr>
                <m:t>]</m:t>
              </m:r>
            </m:oMath>
          </w:p>
        </w:tc>
      </w:tr>
      <w:tr>
        <w:tc>
          <w:tcPr/>
          <w:p>
            <w:pPr>
              <w:pStyle w:val="Compact"/>
              <w:jc w:val="left"/>
            </w:pPr>
            <m:oMath>
              <m:sSub>
                <m:e>
                  <m:r>
                    <m:t>f</m:t>
                  </m:r>
                </m:e>
                <m:sub>
                  <m:r>
                    <m:rPr>
                      <m:nor/>
                      <m:sty m:val="p"/>
                    </m:rPr>
                    <m:t>PFN</m:t>
                  </m:r>
                </m:sub>
              </m:sSub>
              <m:r>
                <m:rPr>
                  <m:sty m:val="p"/>
                </m:rPr>
                <m:t>(</m:t>
              </m:r>
              <m:r>
                <m:rPr>
                  <m:sty m:val="p"/>
                </m:rPr>
                <m:t>⋅</m:t>
              </m:r>
              <m:r>
                <m:rPr>
                  <m:sty m:val="p"/>
                </m:rPr>
                <m:t>)</m:t>
              </m:r>
            </m:oMath>
          </w:p>
        </w:tc>
        <w:tc>
          <w:tcPr/>
          <w:p>
            <w:pPr>
              <w:pStyle w:val="Compact"/>
              <w:jc w:val="left"/>
            </w:pPr>
            <w:r>
              <w:t xml:space="preserve">TabPFN classifier function (general)</w:t>
            </w:r>
          </w:p>
        </w:tc>
        <w:tc>
          <w:tcPr/>
          <w:p>
            <w:pPr>
              <w:pStyle w:val="Compact"/>
              <w:jc w:val="left"/>
            </w:pPr>
            <m:oMath>
              <m:sSup>
                <m:e>
                  <m:r>
                    <m:rPr>
                      <m:scr m:val="double-struck"/>
                      <m:sty m:val="p"/>
                    </m:rPr>
                    <m:t>R</m:t>
                  </m:r>
                </m:e>
                <m:sup>
                  <m:r>
                    <m:t>m</m:t>
                  </m:r>
                </m:sup>
              </m:sSup>
              <m:r>
                <m:rPr>
                  <m:sty m:val="p"/>
                </m:rPr>
                <m:t>→</m:t>
              </m:r>
              <m:r>
                <m:rPr>
                  <m:sty m:val="p"/>
                </m:rPr>
                <m:t>[</m:t>
              </m:r>
              <m:r>
                <m:t>0</m:t>
              </m:r>
              <m:r>
                <m:rPr>
                  <m:sty m:val="p"/>
                </m:rPr>
                <m:t>,</m:t>
              </m:r>
              <m:r>
                <m:t>1</m:t>
              </m:r>
              <m:r>
                <m:rPr>
                  <m:sty m:val="p"/>
                </m:rPr>
                <m:t>]</m:t>
              </m:r>
            </m:oMath>
          </w:p>
        </w:tc>
      </w:tr>
      <w:tr>
        <w:tc>
          <w:tcPr/>
          <w:p>
            <w:pPr>
              <w:pStyle w:val="Compact"/>
              <w:jc w:val="left"/>
            </w:pPr>
            <m:oMath>
              <m:sSub>
                <m:e>
                  <m:r>
                    <m:t>g</m:t>
                  </m:r>
                </m:e>
                <m:sub>
                  <m:r>
                    <m:rPr>
                      <m:nor/>
                      <m:sty m:val="p"/>
                    </m:rPr>
                    <m:t>PFN</m:t>
                  </m:r>
                </m:sub>
              </m:sSub>
            </m:oMath>
          </w:p>
        </w:tc>
        <w:tc>
          <w:tcPr/>
          <w:p>
            <w:pPr>
              <w:pStyle w:val="Compact"/>
              <w:jc w:val="left"/>
            </w:pPr>
            <w:r>
              <w:t xml:space="preserve">TabPFN Transformer Encoder</w:t>
            </w:r>
          </w:p>
        </w:tc>
        <w:tc>
          <w:tcPr/>
          <w:p>
            <w:pPr>
              <w:pStyle w:val="Compact"/>
              <w:jc w:val="left"/>
            </w:pPr>
            <m:oMath>
              <m:sSup>
                <m:e>
                  <m:r>
                    <m:rPr>
                      <m:scr m:val="double-struck"/>
                      <m:sty m:val="p"/>
                    </m:rPr>
                    <m:t>R</m:t>
                  </m:r>
                </m:e>
                <m:sup>
                  <m:r>
                    <m:t>m</m:t>
                  </m:r>
                </m:sup>
              </m:sSup>
              <m:r>
                <m:rPr>
                  <m:sty m:val="p"/>
                </m:rPr>
                <m:t>→</m:t>
              </m:r>
              <m:sSup>
                <m:e>
                  <m:r>
                    <m:rPr>
                      <m:scr m:val="double-struck"/>
                      <m:sty m:val="p"/>
                    </m:rPr>
                    <m:t>R</m:t>
                  </m:r>
                </m:e>
                <m:sup>
                  <m:r>
                    <m:rPr>
                      <m:nor/>
                      <m:sty m:val="p"/>
                    </m:rPr>
                    <m:t>hidden</m:t>
                  </m:r>
                </m:sup>
              </m:sSup>
            </m:oMath>
          </w:p>
        </w:tc>
      </w:tr>
      <w:tr>
        <w:tc>
          <w:tcPr/>
          <w:p>
            <w:pPr>
              <w:pStyle w:val="Compact"/>
              <w:jc w:val="left"/>
            </w:pPr>
            <m:oMath>
              <m:r>
                <m:t>z</m:t>
              </m:r>
            </m:oMath>
          </w:p>
        </w:tc>
        <w:tc>
          <w:tcPr/>
          <w:p>
            <w:pPr>
              <w:pStyle w:val="Compact"/>
              <w:jc w:val="left"/>
            </w:pPr>
            <w:r>
              <w:t xml:space="preserve">General feature embedding vector</w:t>
            </w:r>
          </w:p>
        </w:tc>
        <w:tc>
          <w:tcPr/>
          <w:p>
            <w:pPr>
              <w:pStyle w:val="Compact"/>
              <w:jc w:val="left"/>
            </w:pPr>
            <m:oMath>
              <m:sSup>
                <m:e>
                  <m:r>
                    <m:rPr>
                      <m:scr m:val="double-struck"/>
                      <m:sty m:val="p"/>
                    </m:rPr>
                    <m:t>R</m:t>
                  </m:r>
                </m:e>
                <m:sup>
                  <m:r>
                    <m:rPr>
                      <m:nor/>
                      <m:sty m:val="p"/>
                    </m:rPr>
                    <m:t>embed_dim</m:t>
                  </m:r>
                </m:sup>
              </m:sSup>
            </m:oMath>
          </w:p>
        </w:tc>
      </w:tr>
      <w:tr>
        <w:tc>
          <w:tcPr/>
          <w:p>
            <w:pPr>
              <w:pStyle w:val="Compact"/>
              <w:jc w:val="left"/>
            </w:pPr>
            <m:oMath>
              <m:r>
                <m:t>Z</m:t>
              </m:r>
            </m:oMath>
          </w:p>
        </w:tc>
        <w:tc>
          <w:tcPr/>
          <w:p>
            <w:pPr>
              <w:pStyle w:val="Compact"/>
              <w:jc w:val="left"/>
            </w:pPr>
            <w:r>
              <w:t xml:space="preserve">Full sample embedding (concatenated feature embeddings)</w:t>
            </w:r>
          </w:p>
        </w:tc>
        <w:tc>
          <w:tcPr/>
          <w:p>
            <w:pPr>
              <w:pStyle w:val="Compact"/>
              <w:jc w:val="left"/>
            </w:pPr>
            <m:oMath>
              <m:sSup>
                <m:e>
                  <m:r>
                    <m:rPr>
                      <m:scr m:val="double-struck"/>
                      <m:sty m:val="p"/>
                    </m:rPr>
                    <m:t>R</m:t>
                  </m:r>
                </m:e>
                <m:sup>
                  <m:r>
                    <m:rPr>
                      <m:nor/>
                      <m:sty m:val="p"/>
                    </m:rPr>
                    <m:t>hidden</m:t>
                  </m:r>
                </m:sup>
              </m:sSup>
            </m:oMath>
          </w:p>
        </w:tc>
      </w:tr>
      <w:tr>
        <w:tc>
          <w:tcPr/>
          <w:p>
            <w:pPr>
              <w:pStyle w:val="Compact"/>
              <w:jc w:val="left"/>
            </w:pPr>
            <m:oMath>
              <m:sSub>
                <m:e>
                  <m:r>
                    <m:t>e</m:t>
                  </m:r>
                </m:e>
                <m:sub>
                  <m:r>
                    <m:t>p</m:t>
                  </m:r>
                  <m:r>
                    <m:t>o</m:t>
                  </m:r>
                  <m:r>
                    <m:t>s</m:t>
                  </m:r>
                </m:sub>
              </m:sSub>
            </m:oMath>
          </w:p>
        </w:tc>
        <w:tc>
          <w:tcPr/>
          <w:p>
            <w:pPr>
              <w:pStyle w:val="Compact"/>
              <w:jc w:val="left"/>
            </w:pPr>
            <w:r>
              <w:t xml:space="preserve">Positional encoding for feature sequence</w:t>
            </w:r>
          </w:p>
        </w:tc>
        <w:tc>
          <w:tcPr/>
          <w:p>
            <w:pPr>
              <w:pStyle w:val="Compact"/>
              <w:jc w:val="left"/>
            </w:pPr>
            <m:oMath>
              <m:sSup>
                <m:e>
                  <m:r>
                    <m:rPr>
                      <m:scr m:val="double-struck"/>
                      <m:sty m:val="p"/>
                    </m:rPr>
                    <m:t>R</m:t>
                  </m:r>
                </m:e>
                <m:sup>
                  <m:r>
                    <m:rPr>
                      <m:nor/>
                      <m:sty m:val="p"/>
                    </m:rPr>
                    <m:t>hidden</m:t>
                  </m:r>
                </m:sup>
              </m:sSup>
            </m:oMath>
          </w:p>
        </w:tc>
      </w:tr>
      <w:tr>
        <w:tc>
          <w:tcPr/>
          <w:p>
            <w:pPr>
              <w:pStyle w:val="Compact"/>
              <w:jc w:val="left"/>
            </w:pPr>
            <m:oMath>
              <m:r>
                <m:t>B</m:t>
              </m:r>
            </m:oMath>
          </w:p>
        </w:tc>
        <w:tc>
          <w:tcPr/>
          <w:p>
            <w:pPr>
              <w:pStyle w:val="Compact"/>
              <w:jc w:val="left"/>
            </w:pPr>
            <w:r>
              <w:t xml:space="preserve">Number of preprocessing branches</w:t>
            </w:r>
          </w:p>
        </w:tc>
        <w:tc>
          <w:tcPr/>
          <w:p>
            <w:pPr>
              <w:pStyle w:val="Compact"/>
              <w:jc w:val="left"/>
            </w:pPr>
            <w:r>
              <w:t xml:space="preserve">Scalar (integer)</w:t>
            </w:r>
          </w:p>
        </w:tc>
      </w:tr>
      <w:tr>
        <w:tc>
          <w:tcPr/>
          <w:p>
            <w:pPr>
              <w:pStyle w:val="Compact"/>
              <w:jc w:val="left"/>
            </w:pPr>
            <m:oMath>
              <m:r>
                <m:t>R</m:t>
              </m:r>
            </m:oMath>
          </w:p>
        </w:tc>
        <w:tc>
          <w:tcPr/>
          <w:p>
            <w:pPr>
              <w:pStyle w:val="Compact"/>
              <w:jc w:val="left"/>
            </w:pPr>
            <w:r>
              <w:t xml:space="preserve">Number of random seeds (ensemble size per branch)</w:t>
            </w:r>
          </w:p>
        </w:tc>
        <w:tc>
          <w:tcPr/>
          <w:p>
            <w:pPr>
              <w:pStyle w:val="Compact"/>
              <w:jc w:val="left"/>
            </w:pPr>
            <w:r>
              <w:t xml:space="preserve">Scalar (integer)</w:t>
            </w:r>
          </w:p>
        </w:tc>
      </w:tr>
      <w:tr>
        <w:tc>
          <w:tcPr/>
          <w:p>
            <w:pPr>
              <w:pStyle w:val="Compact"/>
              <w:jc w:val="left"/>
            </w:pPr>
            <m:oMath>
              <m:sSub>
                <m:e>
                  <m:r>
                    <m:t>f</m:t>
                  </m:r>
                </m:e>
                <m:sub>
                  <m:r>
                    <m:rPr>
                      <m:nor/>
                      <m:sty m:val="p"/>
                    </m:rPr>
                    <m:t>PANDA</m:t>
                  </m:r>
                </m:sub>
              </m:sSub>
              <m:r>
                <m:rPr>
                  <m:sty m:val="p"/>
                </m:rPr>
                <m:t>(</m:t>
              </m:r>
              <m:r>
                <m:rPr>
                  <m:sty m:val="p"/>
                </m:rPr>
                <m:t>⋅</m:t>
              </m:r>
              <m:r>
                <m:rPr>
                  <m:sty m:val="p"/>
                </m:rPr>
                <m:t>)</m:t>
              </m:r>
            </m:oMath>
          </w:p>
        </w:tc>
        <w:tc>
          <w:tcPr/>
          <w:p>
            <w:pPr>
              <w:pStyle w:val="Compact"/>
              <w:jc w:val="left"/>
            </w:pPr>
            <w:r>
              <w:t xml:space="preserve">PANDA composite function</w:t>
            </w:r>
          </w:p>
        </w:tc>
        <w:tc>
          <w:tcPr/>
          <w:p>
            <w:pPr>
              <w:pStyle w:val="Compact"/>
              <w:jc w:val="left"/>
            </w:pPr>
            <m:oMath>
              <m:r>
                <m:rPr>
                  <m:scr m:val="script"/>
                  <m:sty m:val="p"/>
                </m:rPr>
                <m:t>X</m:t>
              </m:r>
              <m:r>
                <m:rPr>
                  <m:sty m:val="p"/>
                </m:rPr>
                <m:t>→</m:t>
              </m:r>
              <m:r>
                <m:rPr>
                  <m:sty m:val="p"/>
                </m:rPr>
                <m:t>[</m:t>
              </m:r>
              <m:r>
                <m:t>0</m:t>
              </m:r>
              <m:r>
                <m:rPr>
                  <m:sty m:val="p"/>
                </m:rPr>
                <m:t>,</m:t>
              </m:r>
              <m:r>
                <m:t>1</m:t>
              </m:r>
              <m:r>
                <m:rPr>
                  <m:sty m:val="p"/>
                </m:rPr>
                <m:t>]</m:t>
              </m:r>
            </m:oMath>
          </w:p>
        </w:tc>
      </w:tr>
      <w:tr>
        <w:tc>
          <w:tcPr/>
          <w:p>
            <w:pPr>
              <w:pStyle w:val="Compact"/>
              <w:jc w:val="left"/>
            </w:pPr>
            <m:oMath>
              <m:r>
                <m:t>T</m:t>
              </m:r>
            </m:oMath>
          </w:p>
        </w:tc>
        <w:tc>
          <w:tcPr/>
          <w:p>
            <w:pPr>
              <w:pStyle w:val="Compact"/>
              <w:jc w:val="left"/>
            </w:pPr>
            <w:r>
              <w:t xml:space="preserve">Temperature scaling parameter for calibration</w:t>
            </w:r>
          </w:p>
        </w:tc>
        <w:tc>
          <w:tcPr/>
          <w:p>
            <w:pPr>
              <w:pStyle w:val="Compact"/>
              <w:jc w:val="left"/>
            </w:pPr>
            <w:r>
              <w:t xml:space="preserve">Scalar</w:t>
            </w:r>
            <w:r>
              <w:t xml:space="preserve"> </w:t>
            </w:r>
            <m:oMath>
              <m:r>
                <m:rPr>
                  <m:sty m:val="p"/>
                </m:rPr>
                <m:t>&gt;</m:t>
              </m:r>
              <m:r>
                <m:t>0</m:t>
              </m:r>
            </m:oMath>
          </w:p>
        </w:tc>
      </w:tr>
      <w:tr>
        <w:tc>
          <w:tcPr/>
          <w:p>
            <w:pPr>
              <w:pStyle w:val="Compact"/>
              <w:jc w:val="left"/>
            </w:pPr>
            <m:oMath>
              <m:r>
                <m:t>σ</m:t>
              </m:r>
              <m:r>
                <m:rPr>
                  <m:sty m:val="p"/>
                </m:rPr>
                <m:t>(</m:t>
              </m:r>
              <m:r>
                <m:rPr>
                  <m:sty m:val="p"/>
                </m:rPr>
                <m:t>⋅</m:t>
              </m:r>
              <m:r>
                <m:rPr>
                  <m:sty m:val="p"/>
                </m:rPr>
                <m:t>)</m:t>
              </m:r>
            </m:oMath>
          </w:p>
        </w:tc>
        <w:tc>
          <w:tcPr/>
          <w:p>
            <w:pPr>
              <w:pStyle w:val="Compact"/>
              <w:jc w:val="left"/>
            </w:pPr>
            <w:r>
              <w:t xml:space="preserve">Activation function (e.g., sigmoid)</w:t>
            </w:r>
          </w:p>
        </w:tc>
        <w:tc>
          <w:tcPr/>
          <w:p>
            <w:pPr>
              <w:pStyle w:val="Compact"/>
              <w:jc w:val="left"/>
            </w:pPr>
            <m:oMath>
              <m:r>
                <m:rPr>
                  <m:scr m:val="double-struck"/>
                  <m:sty m:val="p"/>
                </m:rPr>
                <m:t>R</m:t>
              </m:r>
              <m:r>
                <m:rPr>
                  <m:sty m:val="p"/>
                </m:rPr>
                <m:t>→</m:t>
              </m:r>
              <m:r>
                <m:rPr>
                  <m:sty m:val="p"/>
                </m:rPr>
                <m:t>[</m:t>
              </m:r>
              <m:r>
                <m:t>0</m:t>
              </m:r>
              <m:r>
                <m:rPr>
                  <m:sty m:val="p"/>
                </m:rPr>
                <m:t>,</m:t>
              </m:r>
              <m:r>
                <m:t>1</m:t>
              </m:r>
              <m:r>
                <m:rPr>
                  <m:sty m:val="p"/>
                </m:rPr>
                <m:t>]</m:t>
              </m:r>
            </m:oMath>
          </w:p>
        </w:tc>
      </w:tr>
    </w:tbl>
    <w:bookmarkEnd w:id="40"/>
    <w:bookmarkEnd w:id="41"/>
    <w:bookmarkStart w:id="42" w:name="subsec:pfn-generation"/>
    <w:p>
      <w:pPr>
        <w:pStyle w:val="2"/>
      </w:pPr>
      <w:r>
        <w:t xml:space="preserve">Prior-data fitted networks as tabular foundation models</w:t>
      </w:r>
    </w:p>
    <w:p>
      <w:pPr>
        <w:pStyle w:val="FirstParagraph"/>
      </w:pPr>
      <w:r>
        <w:t xml:space="preserve">Traditional machine learning assumes a fixed parametric form for the data generation process (e.g., a separating hyperplane for SVMs). In contrast, the TabPFN framework posits that the dataset</w:t>
      </w:r>
      <w:r>
        <w:t xml:space="preserve"> </w:t>
      </w:r>
      <m:oMath>
        <m:r>
          <m:rPr>
            <m:scr m:val="script"/>
            <m:sty m:val="p"/>
          </m:rPr>
          <m:t>D</m:t>
        </m:r>
        <m:r>
          <m:rPr>
            <m:sty m:val="p"/>
          </m:rPr>
          <m:t>=</m:t>
        </m:r>
        <m:r>
          <m:rPr>
            <m:sty m:val="p"/>
          </m:rPr>
          <m:t>{</m:t>
        </m:r>
        <m:r>
          <m:rPr>
            <m:sty m:val="p"/>
          </m:rPr>
          <m:t>(</m:t>
        </m:r>
        <m:sSub>
          <m:e>
            <m:r>
              <m:t>x</m:t>
            </m:r>
          </m:e>
          <m:sub>
            <m:r>
              <m:t>i</m:t>
            </m:r>
          </m:sub>
        </m:sSub>
        <m:r>
          <m:rPr>
            <m:sty m:val="p"/>
          </m:rPr>
          <m:t>,</m:t>
        </m:r>
        <m:sSub>
          <m:e>
            <m:r>
              <m:t>y</m:t>
            </m:r>
          </m:e>
          <m:sub>
            <m:r>
              <m:t>i</m:t>
            </m:r>
          </m:sub>
        </m:sSub>
        <m:r>
          <m:rPr>
            <m:sty m:val="p"/>
          </m:rPr>
          <m:t>)</m:t>
        </m:r>
        <m:sSubSup>
          <m:e>
            <m:r>
              <m:rPr>
                <m:sty m:val="p"/>
              </m:rPr>
              <m:t>}</m:t>
            </m:r>
          </m:e>
          <m:sub>
            <m:r>
              <m:t>i</m:t>
            </m:r>
            <m:r>
              <m:rPr>
                <m:sty m:val="p"/>
              </m:rPr>
              <m:t>=</m:t>
            </m:r>
            <m:r>
              <m:t>1</m:t>
            </m:r>
          </m:sub>
          <m:sup>
            <m:r>
              <m:t>N</m:t>
            </m:r>
          </m:sup>
        </m:sSubSup>
      </m:oMath>
      <w:r>
        <w:t xml:space="preserve"> </w:t>
      </w:r>
      <w:r>
        <w:t xml:space="preserve">is generated from a</w:t>
      </w:r>
      <w:r>
        <w:t xml:space="preserve"> </w:t>
      </w:r>
      <w:r>
        <w:rPr>
          <w:b/>
          <w:bCs/>
        </w:rPr>
        <w:t xml:space="preserve">prior distribution over functions</w:t>
      </w:r>
      <w:r>
        <w:t xml:space="preserve">, denoted as</w:t>
      </w:r>
      <w:r>
        <w:t xml:space="preserve"> </w:t>
      </w:r>
      <m:oMath>
        <m:sSub>
          <m:e>
            <m:r>
              <m:t>p</m:t>
            </m:r>
          </m:e>
          <m:sub>
            <m:r>
              <m:rPr>
                <m:nor/>
                <m:sty m:val="p"/>
              </m:rPr>
              <m:t>prior</m:t>
            </m:r>
          </m:sub>
        </m:sSub>
      </m:oMath>
      <w:r>
        <w:t xml:space="preserve">.</w:t>
      </w:r>
    </w:p>
    <w:p>
      <w:pPr>
        <w:pStyle w:val="a0"/>
      </w:pPr>
      <w:r>
        <w:t xml:space="preserve">Formally, a dataset</w:t>
      </w:r>
      <w:r>
        <w:t xml:space="preserve"> </w:t>
      </w:r>
      <m:oMath>
        <m:r>
          <m:rPr>
            <m:scr m:val="script"/>
            <m:sty m:val="p"/>
          </m:rPr>
          <m:t>D</m:t>
        </m:r>
      </m:oMath>
      <w:r>
        <w:t xml:space="preserve"> </w:t>
      </w:r>
      <w:r>
        <w:t xml:space="preserve">is sampled in two steps:</w:t>
      </w:r>
    </w:p>
    <w:p>
      <w:pPr>
        <w:numPr>
          <w:ilvl w:val="0"/>
          <w:numId w:val="1003"/>
        </w:numPr>
      </w:pPr>
      <w:r>
        <w:t xml:space="preserve">A structural equation model (SEM) or a data-generating function</w:t>
      </w:r>
      <w:r>
        <w:t xml:space="preserve"> </w:t>
      </w:r>
      <m:oMath>
        <m:r>
          <m:t>f</m:t>
        </m:r>
      </m:oMath>
      <w:r>
        <w:t xml:space="preserve"> </w:t>
      </w:r>
      <w:r>
        <w:t xml:space="preserve">is sampled from the prior:</w:t>
      </w:r>
      <w:r>
        <w:t xml:space="preserve"> </w:t>
      </w:r>
      <m:oMath>
        <m:r>
          <m:t>f</m:t>
        </m:r>
        <m:r>
          <m:rPr>
            <m:sty m:val="p"/>
          </m:rPr>
          <m:t>∼</m:t>
        </m:r>
        <m:sSub>
          <m:e>
            <m:r>
              <m:t>p</m:t>
            </m:r>
          </m:e>
          <m:sub>
            <m:r>
              <m:rPr>
                <m:nor/>
                <m:sty m:val="p"/>
              </m:rPr>
              <m:t>prior</m:t>
            </m:r>
          </m:sub>
        </m:sSub>
        <m:r>
          <m:rPr>
            <m:sty m:val="p"/>
          </m:rPr>
          <m:t>(</m:t>
        </m:r>
        <m:r>
          <m:rPr>
            <m:sty m:val="p"/>
          </m:rPr>
          <m:t>⋅</m:t>
        </m:r>
        <m:r>
          <m:rPr>
            <m:sty m:val="p"/>
          </m:rPr>
          <m:t>)</m:t>
        </m:r>
      </m:oMath>
      <w:r>
        <w:t xml:space="preserve">. In TabPFN, this prior is constructed explicitly using a large mixture of synthetic structural causal models (SCMs), including Bayesian Neural Networks and causal graphs with varying sparsity and non-linearity.</w:t>
      </w:r>
    </w:p>
    <w:p>
      <w:pPr>
        <w:numPr>
          <w:ilvl w:val="0"/>
          <w:numId w:val="1003"/>
        </w:numPr>
      </w:pPr>
      <w:r>
        <w:t xml:space="preserve">Data points are sampled conditioned on this function:</w:t>
      </w:r>
      <w:r>
        <w:t xml:space="preserve"> </w:t>
      </w:r>
      <m:oMath>
        <m:sSub>
          <m:e>
            <m:r>
              <m:t>y</m:t>
            </m:r>
          </m:e>
          <m:sub>
            <m:r>
              <m:t>i</m:t>
            </m:r>
          </m:sub>
        </m:sSub>
        <m:r>
          <m:rPr>
            <m:sty m:val="p"/>
          </m:rPr>
          <m:t>=</m:t>
        </m:r>
        <m:r>
          <m:t>f</m:t>
        </m:r>
        <m:r>
          <m:rPr>
            <m:sty m:val="p"/>
          </m:rPr>
          <m:t>(</m:t>
        </m:r>
        <m:sSub>
          <m:e>
            <m:r>
              <m:t>x</m:t>
            </m:r>
          </m:e>
          <m:sub>
            <m:r>
              <m:t>i</m:t>
            </m:r>
          </m:sub>
        </m:sSub>
        <m:r>
          <m:rPr>
            <m:sty m:val="p"/>
          </m:rPr>
          <m:t>)</m:t>
        </m:r>
        <m:r>
          <m:rPr>
            <m:sty m:val="p"/>
          </m:rPr>
          <m:t>+</m:t>
        </m:r>
        <m:r>
          <m:t>η</m:t>
        </m:r>
      </m:oMath>
      <w:r>
        <w:t xml:space="preserve">, or</w:t>
      </w:r>
      <w:r>
        <w:t xml:space="preserve"> </w:t>
      </w:r>
      <m:oMath>
        <m:sSub>
          <m:e>
            <m:r>
              <m:t>y</m:t>
            </m:r>
          </m:e>
          <m:sub>
            <m:r>
              <m:t>i</m:t>
            </m:r>
          </m:sub>
        </m:sSub>
        <m:r>
          <m:rPr>
            <m:sty m:val="p"/>
          </m:rPr>
          <m:t>∼</m:t>
        </m:r>
        <m:r>
          <m:t>P</m:t>
        </m:r>
        <m:r>
          <m:rPr>
            <m:sty m:val="p"/>
          </m:rPr>
          <m:t>(</m:t>
        </m:r>
        <m:r>
          <m:rPr>
            <m:scr m:val="script"/>
            <m:sty m:val="p"/>
          </m:rPr>
          <m:t>Y</m:t>
        </m:r>
        <m:r>
          <m:rPr>
            <m:sty m:val="p"/>
          </m:rPr>
          <m:t>|</m:t>
        </m:r>
        <m:r>
          <m:t>f</m:t>
        </m:r>
        <m:r>
          <m:rPr>
            <m:sty m:val="p"/>
          </m:rPr>
          <m:t>(</m:t>
        </m:r>
        <m:sSub>
          <m:e>
            <m:r>
              <m:t>x</m:t>
            </m:r>
          </m:e>
          <m:sub>
            <m:r>
              <m:t>i</m:t>
            </m:r>
          </m:sub>
        </m:sSub>
        <m:r>
          <m:rPr>
            <m:sty m:val="p"/>
          </m:rPr>
          <m:t>)</m:t>
        </m:r>
        <m:r>
          <m:rPr>
            <m:sty m:val="p"/>
          </m:rPr>
          <m:t>)</m:t>
        </m:r>
      </m:oMath>
      <w:r>
        <w:t xml:space="preserve">.</w:t>
      </w:r>
    </w:p>
    <w:p>
      <w:pPr>
        <w:pStyle w:val="FirstParagraph"/>
      </w:pPr>
      <w:r>
        <w:t xml:space="preserve">The learning objective of a Prior-Data Fitted Network (PFN) is to approximate the</w:t>
      </w:r>
      <w:r>
        <w:t xml:space="preserve"> </w:t>
      </w:r>
      <w:r>
        <w:rPr>
          <w:b/>
          <w:bCs/>
        </w:rPr>
        <w:t xml:space="preserve">posterior predictive distribution</w:t>
      </w:r>
      <w:r>
        <w:t xml:space="preserve"> </w:t>
      </w:r>
      <w:r>
        <w:t xml:space="preserve">() for a query sample</w:t>
      </w:r>
      <w:r>
        <w:t xml:space="preserve"> </w:t>
      </w:r>
      <m:oMath>
        <m:sSub>
          <m:e>
            <m:r>
              <m:t>x</m:t>
            </m:r>
          </m:e>
          <m:sub>
            <m:r>
              <m:t>q</m:t>
            </m:r>
          </m:sub>
        </m:sSub>
      </m:oMath>
      <w:r>
        <w:t xml:space="preserve"> </w:t>
      </w:r>
      <w:r>
        <w:t xml:space="preserve">given the context dataset</w:t>
      </w:r>
      <w:r>
        <w:t xml:space="preserve"> </w:t>
      </w:r>
      <m:oMath>
        <m:r>
          <m:t>S</m:t>
        </m:r>
      </m:oMath>
      <w:r>
        <w:t xml:space="preserve">:</w:t>
      </w:r>
    </w:p>
    <w:p>
      <w:pPr>
        <w:pStyle w:val="a0"/>
      </w:pPr>
      <m:oMathPara>
        <m:oMathParaPr>
          <m:jc m:val="center"/>
        </m:oMathParaPr>
        <m:oMath>
          <m:r>
            <m:t>p</m:t>
          </m:r>
          <m:r>
            <m:rPr>
              <m:sty m:val="p"/>
            </m:rPr>
            <m:t>(</m:t>
          </m:r>
          <m:r>
            <m:t>y</m:t>
          </m:r>
          <m:r>
            <m:t>q</m:t>
          </m:r>
          <m:r>
            <m:rPr>
              <m:sty m:val="p"/>
            </m:rPr>
            <m:t>∣</m:t>
          </m:r>
          <m:sSub>
            <m:e>
              <m:r>
                <m:t>x</m:t>
              </m:r>
            </m:e>
            <m:sub>
              <m:r>
                <m:t>q</m:t>
              </m:r>
            </m:sub>
          </m:sSub>
          <m:r>
            <m:rPr>
              <m:sty m:val="p"/>
            </m:rPr>
            <m:t>,</m:t>
          </m:r>
          <m:r>
            <m:t>S</m:t>
          </m:r>
          <m:r>
            <m:rPr>
              <m:sty m:val="p"/>
            </m:rPr>
            <m:t>)</m:t>
          </m:r>
          <m:r>
            <m:rPr>
              <m:sty m:val="p"/>
            </m:rPr>
            <m:t>=</m:t>
          </m:r>
          <m:r>
            <m:rPr>
              <m:sty m:val="p"/>
            </m:rPr>
            <m:t>∫</m:t>
          </m:r>
          <m:r>
            <m:t>P</m:t>
          </m:r>
          <m:r>
            <m:rPr>
              <m:sty m:val="p"/>
            </m:rPr>
            <m:t>(</m:t>
          </m:r>
          <m:r>
            <m:t>y</m:t>
          </m:r>
          <m:r>
            <m:t>q</m:t>
          </m:r>
          <m:r>
            <m:rPr>
              <m:sty m:val="p"/>
            </m:rPr>
            <m:t>∣</m:t>
          </m:r>
          <m:sSub>
            <m:e>
              <m:r>
                <m:t>x</m:t>
              </m:r>
            </m:e>
            <m:sub>
              <m:r>
                <m:t>q</m:t>
              </m:r>
            </m:sub>
          </m:sSub>
          <m:r>
            <m:rPr>
              <m:sty m:val="p"/>
            </m:rPr>
            <m:t>,</m:t>
          </m:r>
          <m:r>
            <m:t>f</m:t>
          </m:r>
          <m:r>
            <m:rPr>
              <m:sty m:val="p"/>
            </m:rPr>
            <m:t>)</m:t>
          </m:r>
          <m:r>
            <m:t> </m:t>
          </m:r>
          <m:r>
            <m:t>P</m:t>
          </m:r>
          <m:r>
            <m:rPr>
              <m:sty m:val="p"/>
            </m:rPr>
            <m:t>(</m:t>
          </m:r>
          <m:r>
            <m:t>f</m:t>
          </m:r>
          <m:r>
            <m:rPr>
              <m:sty m:val="p"/>
            </m:rPr>
            <m:t>∣</m:t>
          </m:r>
          <m:r>
            <m:t>S</m:t>
          </m:r>
          <m:r>
            <m:rPr>
              <m:sty m:val="p"/>
            </m:rPr>
            <m:t>)</m:t>
          </m:r>
          <m:r>
            <m:t> </m:t>
          </m:r>
          <m:r>
            <m:t>d</m:t>
          </m:r>
          <m:r>
            <m:t>f</m:t>
          </m:r>
        </m:oMath>
      </m:oMathPara>
    </w:p>
    <w:p>
      <w:pPr>
        <w:pStyle w:val="FirstParagraph"/>
      </w:pPr>
      <w:r>
        <w:t xml:space="preserve">TabPFN approximates this integral using a Transformer-based architecture that attends to the entire context</w:t>
      </w:r>
      <w:r>
        <w:t xml:space="preserve"> </w:t>
      </w:r>
      <m:oMath>
        <m:r>
          <m:t>S</m:t>
        </m:r>
      </m:oMath>
      <w:r>
        <w:t xml:space="preserve"> </w:t>
      </w:r>
      <w:r>
        <w:t xml:space="preserve">(In-Context Learning). This perspective is particularly advantageous for the medical small-sample setting (</w:t>
      </w:r>
      <m:oMath>
        <m:sSub>
          <m:e>
            <m:r>
              <m:t>n</m:t>
            </m:r>
          </m:e>
          <m:sub>
            <m:r>
              <m:t>S</m:t>
            </m:r>
          </m:sub>
        </m:sSub>
        <m:r>
          <m:rPr>
            <m:sty m:val="p"/>
          </m:rPr>
          <m:t>&lt;</m:t>
        </m:r>
        <m:r>
          <m:t>500</m:t>
        </m:r>
      </m:oMath>
      <w:r>
        <w:t xml:space="preserve">) because:</w:t>
      </w:r>
    </w:p>
    <w:p>
      <w:pPr>
        <w:numPr>
          <w:ilvl w:val="0"/>
          <w:numId w:val="1004"/>
        </w:numPr>
      </w:pPr>
      <w:r>
        <w:t xml:space="preserve">It avoids iterative gradient descent on the small dataset, mitigating the risk of overfitting to noise.</w:t>
      </w:r>
    </w:p>
    <w:p>
      <w:pPr>
        <w:numPr>
          <w:ilvl w:val="0"/>
          <w:numId w:val="1004"/>
        </w:numPr>
      </w:pPr>
      <w:r>
        <w:t xml:space="preserve">It leverages the "knowledge" encoded in the prior</w:t>
      </w:r>
      <w:r>
        <w:t xml:space="preserve"> </w:t>
      </w:r>
      <m:oMath>
        <m:sSub>
          <m:e>
            <m:r>
              <m:t>p</m:t>
            </m:r>
          </m:e>
          <m:sub>
            <m:r>
              <m:rPr>
                <m:nor/>
                <m:sty m:val="p"/>
              </m:rPr>
              <m:t>prior</m:t>
            </m:r>
          </m:sub>
        </m:sSub>
      </m:oMath>
      <w:r>
        <w:t xml:space="preserve">, effectively transferring inductive biases about tabular structures (e.g., decision boundaries are often aligned with axes, sparsity is common) to the medical task.</w:t>
      </w:r>
    </w:p>
    <w:p>
      <w:pPr>
        <w:pStyle w:val="FirstParagraph"/>
      </w:pPr>
      <w:r>
        <w:t xml:space="preserve">However, the standard PFN assumes that the query sample</w:t>
      </w:r>
      <w:r>
        <w:t xml:space="preserve"> </w:t>
      </w:r>
      <m:oMath>
        <m:sSub>
          <m:e>
            <m:r>
              <m:t>x</m:t>
            </m:r>
          </m:e>
          <m:sub>
            <m:r>
              <m:t>q</m:t>
            </m:r>
          </m:sub>
        </m:sSub>
      </m:oMath>
      <w:r>
        <w:t xml:space="preserve"> </w:t>
      </w:r>
      <w:r>
        <w:t xml:space="preserve">comes from the same distribution as</w:t>
      </w:r>
      <w:r>
        <w:t xml:space="preserve"> </w:t>
      </w:r>
      <m:oMath>
        <m:r>
          <m:t>S</m:t>
        </m:r>
      </m:oMath>
      <w:r>
        <w:t xml:space="preserve"> </w:t>
      </w:r>
      <w:r>
        <w:t xml:space="preserve">(i.e., same</w:t>
      </w:r>
      <w:r>
        <w:t xml:space="preserve"> </w:t>
      </w:r>
      <m:oMath>
        <m:r>
          <m:t>f</m:t>
        </m:r>
      </m:oMath>
      <w:r>
        <w:t xml:space="preserve">). In our cross-hospital setting, the target query</w:t>
      </w:r>
      <w:r>
        <w:t xml:space="preserve"> </w:t>
      </w:r>
      <m:oMath>
        <m:sSub>
          <m:e>
            <m:r>
              <m:t>x</m:t>
            </m:r>
          </m:e>
          <m:sub>
            <m:r>
              <m:t>t</m:t>
            </m:r>
          </m:sub>
        </m:sSub>
      </m:oMath>
      <w:r>
        <w:t xml:space="preserve"> </w:t>
      </w:r>
      <w:r>
        <w:t xml:space="preserve">comes from a shifted distribution</w:t>
      </w:r>
      <w:r>
        <w:t xml:space="preserve"> </w:t>
      </w:r>
      <m:oMath>
        <m:sSub>
          <m:e>
            <m:r>
              <m:t>P</m:t>
            </m:r>
          </m:e>
          <m:sub>
            <m:r>
              <m:t>T</m:t>
            </m:r>
          </m:sub>
        </m:sSub>
      </m:oMath>
      <w:r>
        <w:t xml:space="preserve">, violating the exchangeability assumption of the posterior approximation.</w:t>
      </w:r>
    </w:p>
    <w:bookmarkEnd w:id="42"/>
    <w:bookmarkStart w:id="47" w:name="subsec:domain-shift"/>
    <w:p>
      <w:pPr>
        <w:pStyle w:val="2"/>
      </w:pPr>
      <w:r>
        <w:t xml:space="preserve">Formalizing Domain Shift</w:t>
      </w:r>
    </w:p>
    <w:p>
      <w:pPr>
        <w:pStyle w:val="FirstParagraph"/>
      </w:pPr>
      <w:r>
        <w:t xml:space="preserve">The core challenge in our research is that</w:t>
      </w:r>
      <w:r>
        <w:t xml:space="preserve"> </w:t>
      </w:r>
      <m:oMath>
        <m:sSub>
          <m:e>
            <m:r>
              <m:t>P</m:t>
            </m:r>
          </m:e>
          <m:sub>
            <m:r>
              <m:t>S</m:t>
            </m:r>
          </m:sub>
        </m:sSub>
        <m:r>
          <m:rPr>
            <m:sty m:val="p"/>
          </m:rPr>
          <m:t>≠</m:t>
        </m:r>
        <m:sSub>
          <m:e>
            <m:r>
              <m:t>P</m:t>
            </m:r>
          </m:e>
          <m:sub>
            <m:r>
              <m:t>T</m:t>
            </m:r>
          </m:sub>
        </m:sSub>
      </m:oMath>
      <w:r>
        <w:t xml:space="preserve">. This joint distribution shift can be decomposed into three primary components relevant to medical AI:</w:t>
      </w:r>
    </w:p>
    <w:bookmarkStart w:id="43" w:name="covariate-shift-the-acquisition-gap"/>
    <w:p>
      <w:pPr>
        <w:pStyle w:val="3"/>
      </w:pPr>
      <w:r>
        <w:t xml:space="preserve">Covariate Shift: The Acquisition Gap</w:t>
      </w:r>
    </w:p>
    <w:p>
      <w:pPr>
        <w:pStyle w:val="FirstParagraph"/>
      </w:pPr>
      <w:r>
        <w:t xml:space="preserve">Covariate shift occurs when the marginal feature distributions differ,</w:t>
      </w:r>
      <w:r>
        <w:t xml:space="preserve"> </w:t>
      </w:r>
      <m:oMath>
        <m:sSub>
          <m:e>
            <m:r>
              <m:t>P</m:t>
            </m:r>
          </m:e>
          <m:sub>
            <m:r>
              <m:t>S</m:t>
            </m:r>
          </m:sub>
        </m:sSub>
        <m:r>
          <m:rPr>
            <m:sty m:val="p"/>
          </m:rPr>
          <m:t>≠</m:t>
        </m:r>
        <m:sSub>
          <m:e>
            <m:r>
              <m:t>P</m:t>
            </m:r>
          </m:e>
          <m:sub>
            <m:r>
              <m:t>T</m:t>
            </m:r>
          </m:sub>
        </m:sSub>
      </m:oMath>
      <w:r>
        <w:t xml:space="preserve">, while the conditional probability of the label remains constant,</w:t>
      </w:r>
      <w:r>
        <w:t xml:space="preserve"> </w:t>
      </w:r>
      <m:oMath>
        <m:sSub>
          <m:e>
            <m:r>
              <m:t>P</m:t>
            </m:r>
          </m:e>
          <m:sub>
            <m:r>
              <m:t>S</m:t>
            </m:r>
          </m:sub>
        </m:sSub>
        <m:r>
          <m:rPr>
            <m:sty m:val="p"/>
          </m:rPr>
          <m:t>=</m:t>
        </m:r>
        <m:sSub>
          <m:e>
            <m:r>
              <m:t>P</m:t>
            </m:r>
          </m:e>
          <m:sub>
            <m:r>
              <m:t>T</m:t>
            </m:r>
          </m:sub>
        </m:sSub>
      </m:oMath>
      <w:r>
        <w:t xml:space="preserve">.</w:t>
      </w:r>
    </w:p>
    <w:p>
      <w:pPr>
        <w:pStyle w:val="a0"/>
      </w:pPr>
      <m:oMathPara>
        <m:oMathParaPr>
          <m:jc m:val="center"/>
        </m:oMathParaPr>
        <m:oMath>
          <m:sSub>
            <m:e>
              <m:r>
                <m:t>P</m:t>
              </m:r>
            </m:e>
            <m:sub>
              <m:r>
                <m:t>S</m:t>
              </m:r>
            </m:sub>
          </m:sSub>
          <m:r>
            <m:rPr>
              <m:sty m:val="p"/>
            </m:rPr>
            <m:t>≠</m:t>
          </m:r>
          <m:sSub>
            <m:e>
              <m:r>
                <m:t>P</m:t>
              </m:r>
            </m:e>
            <m:sub>
              <m:r>
                <m:t>T</m:t>
              </m:r>
            </m:sub>
          </m:sSub>
          <m:r>
            <m:t> </m:t>
          </m:r>
          <m:r>
            <m:rPr>
              <m:nor/>
              <m:sty m:val="p"/>
            </m:rPr>
            <m:t>and</m:t>
          </m:r>
          <m:r>
            <m:t> </m:t>
          </m:r>
          <m:sSub>
            <m:e>
              <m:r>
                <m:t>P</m:t>
              </m:r>
            </m:e>
            <m:sub>
              <m:r>
                <m:t>S</m:t>
              </m:r>
            </m:sub>
          </m:sSub>
          <m:r>
            <m:rPr>
              <m:sty m:val="p"/>
            </m:rPr>
            <m:t>=</m:t>
          </m:r>
          <m:sSub>
            <m:e>
              <m:r>
                <m:t>P</m:t>
              </m:r>
            </m:e>
            <m:sub>
              <m:r>
                <m:t>T</m:t>
              </m:r>
            </m:sub>
          </m:sSub>
        </m:oMath>
      </m:oMathPara>
    </w:p>
    <w:p>
      <w:pPr>
        <w:pStyle w:val="FirstParagraph"/>
      </w:pPr>
      <w:r>
        <w:t xml:space="preserve">In pulmonary nodule diagnosis, this is often driven by technological heterogeneity. For instance, CT scanners use different reconstruction kernels (e.g., "Sharp" vs. "Smooth"). A nodule scanned with a sharp kernel will systematically exhibit higher values for texture features like "entropy" or "spiculation" compared to the same nodule scanned with a smooth kernel, shifting the probability density function</w:t>
      </w:r>
      <w:r>
        <w:t xml:space="preserve"> </w:t>
      </w:r>
      <m:oMath>
        <m:r>
          <m:t>P</m:t>
        </m:r>
        <m:r>
          <m:rPr>
            <m:sty m:val="p"/>
          </m:rPr>
          <m:t>(</m:t>
        </m:r>
        <m:sSub>
          <m:e>
            <m:r>
              <m:t>x</m:t>
            </m:r>
          </m:e>
          <m:sub>
            <m:r>
              <m:rPr>
                <m:nor/>
                <m:sty m:val="p"/>
              </m:rPr>
              <m:t>texture</m:t>
            </m:r>
          </m:sub>
        </m:sSub>
        <m:r>
          <m:rPr>
            <m:sty m:val="p"/>
          </m:rPr>
          <m:t>)</m:t>
        </m:r>
      </m:oMath>
      <w:r>
        <w:t xml:space="preserve"> </w:t>
      </w:r>
      <w:r>
        <w:t xml:space="preserve">without changing the underlying malignancy risk. TabPFN is particularly sensitive to this because its attention mechanism relies on finding similar examples in the support set; if the target</w:t>
      </w:r>
      <w:r>
        <w:t xml:space="preserve"> </w:t>
      </w:r>
      <m:oMath>
        <m:sSub>
          <m:e>
            <m:r>
              <m:t>x</m:t>
            </m:r>
          </m:e>
          <m:sub>
            <m:r>
              <m:t>t</m:t>
            </m:r>
          </m:sub>
        </m:sSub>
      </m:oMath>
      <w:r>
        <w:t xml:space="preserve"> </w:t>
      </w:r>
      <w:r>
        <w:t xml:space="preserve">lies in a region unsupported by</w:t>
      </w:r>
      <w:r>
        <w:t xml:space="preserve"> </w:t>
      </w:r>
      <m:oMath>
        <m:sSub>
          <m:e>
            <m:r>
              <m:t>P</m:t>
            </m:r>
          </m:e>
          <m:sub>
            <m:r>
              <m:t>S</m:t>
            </m:r>
          </m:sub>
        </m:sSub>
      </m:oMath>
      <w:r>
        <w:t xml:space="preserve">, the attention weights become diffuse.</w:t>
      </w:r>
    </w:p>
    <w:bookmarkEnd w:id="43"/>
    <w:bookmarkStart w:id="44" w:name="label-shift-the-prevalence-gap"/>
    <w:p>
      <w:pPr>
        <w:pStyle w:val="3"/>
      </w:pPr>
      <w:r>
        <w:t xml:space="preserve">Label Shift: The Prevalence Gap</w:t>
      </w:r>
    </w:p>
    <w:p>
      <w:pPr>
        <w:pStyle w:val="FirstParagraph"/>
      </w:pPr>
      <w:r>
        <w:t xml:space="preserve">Label shift, or prior probability shift, is defined by a change in the marginal label distribution:</w:t>
      </w:r>
    </w:p>
    <w:p>
      <w:pPr>
        <w:pStyle w:val="a0"/>
      </w:pPr>
      <m:oMathPara>
        <m:oMathParaPr>
          <m:jc m:val="center"/>
        </m:oMathParaPr>
        <m:oMath>
          <m:sSub>
            <m:e>
              <m:r>
                <m:t>P</m:t>
              </m:r>
            </m:e>
            <m:sub>
              <m:r>
                <m:t>S</m:t>
              </m:r>
            </m:sub>
          </m:sSub>
          <m:r>
            <m:rPr>
              <m:sty m:val="p"/>
            </m:rPr>
            <m:t>(</m:t>
          </m:r>
          <m:r>
            <m:t>Y</m:t>
          </m:r>
          <m:r>
            <m:rPr>
              <m:sty m:val="p"/>
            </m:rPr>
            <m:t>)</m:t>
          </m:r>
          <m:r>
            <m:rPr>
              <m:sty m:val="p"/>
            </m:rPr>
            <m:t>≠</m:t>
          </m:r>
          <m:sSub>
            <m:e>
              <m:r>
                <m:t>P</m:t>
              </m:r>
            </m:e>
            <m:sub>
              <m:r>
                <m:t>T</m:t>
              </m:r>
            </m:sub>
          </m:sSub>
          <m:r>
            <m:rPr>
              <m:sty m:val="p"/>
            </m:rPr>
            <m:t>(</m:t>
          </m:r>
          <m:r>
            <m:t>Y</m:t>
          </m:r>
          <m:r>
            <m:rPr>
              <m:sty m:val="p"/>
            </m:rPr>
            <m:t>)</m:t>
          </m:r>
        </m:oMath>
      </m:oMathPara>
    </w:p>
    <w:p>
      <w:pPr>
        <w:pStyle w:val="FirstParagraph"/>
      </w:pPr>
      <w:r>
        <w:t xml:space="preserve">This is endemic to healthcare referrals. A tertiary cancer center (Source) typically receives high-risk referrals with a malignancy prevalence of</w:t>
      </w:r>
      <w:r>
        <w:t xml:space="preserve"> </w:t>
      </w:r>
      <m:oMath>
        <m:r>
          <m:t>P</m:t>
        </m:r>
        <m:r>
          <m:rPr>
            <m:sty m:val="p"/>
          </m:rPr>
          <m:t>(</m:t>
        </m:r>
        <m:r>
          <m:rPr>
            <m:scr m:val="script"/>
            <m:sty m:val="p"/>
          </m:rPr>
          <m:t>Y</m:t>
        </m:r>
        <m:r>
          <m:rPr>
            <m:sty m:val="p"/>
          </m:rPr>
          <m:t>=</m:t>
        </m:r>
        <m:r>
          <m:t>1</m:t>
        </m:r>
        <m:r>
          <m:rPr>
            <m:sty m:val="p"/>
          </m:rPr>
          <m:t>)</m:t>
        </m:r>
        <m:r>
          <m:rPr>
            <m:sty m:val="p"/>
          </m:rPr>
          <m:t>≈</m:t>
        </m:r>
        <m:r>
          <m:t>60</m:t>
        </m:r>
        <m:r>
          <m:rPr>
            <m:sty m:val="p"/>
          </m:rPr>
          <m:t>%</m:t>
        </m:r>
      </m:oMath>
      <w:r>
        <w:t xml:space="preserve">. In contrast, a community screening program (Target) encounters a broader population with many benign incidental findings, where</w:t>
      </w:r>
      <w:r>
        <w:t xml:space="preserve"> </w:t>
      </w:r>
      <m:oMath>
        <m:r>
          <m:t>P</m:t>
        </m:r>
        <m:r>
          <m:rPr>
            <m:sty m:val="p"/>
          </m:rPr>
          <m:t>(</m:t>
        </m:r>
        <m:r>
          <m:rPr>
            <m:scr m:val="script"/>
            <m:sty m:val="p"/>
          </m:rPr>
          <m:t>Y</m:t>
        </m:r>
        <m:r>
          <m:rPr>
            <m:sty m:val="p"/>
          </m:rPr>
          <m:t>=</m:t>
        </m:r>
        <m:r>
          <m:t>1</m:t>
        </m:r>
        <m:r>
          <m:rPr>
            <m:sty m:val="p"/>
          </m:rPr>
          <m:t>)</m:t>
        </m:r>
        <m:r>
          <m:rPr>
            <m:sty m:val="p"/>
          </m:rPr>
          <m:t>≈</m:t>
        </m:r>
        <m:r>
          <m:t>5</m:t>
        </m:r>
        <m:r>
          <m:rPr>
            <m:sty m:val="p"/>
          </m:rPr>
          <m:t>%</m:t>
        </m:r>
        <m:r>
          <m:rPr>
            <m:sty m:val="p"/>
          </m:rPr>
          <m:t>−</m:t>
        </m:r>
        <m:r>
          <m:t>20</m:t>
        </m:r>
        <m:r>
          <m:rPr>
            <m:sty m:val="p"/>
          </m:rPr>
          <m:t>%</m:t>
        </m:r>
      </m:oMath>
      <w:r>
        <w:t xml:space="preserve">. A model trained on the balanced source will learn a prior</w:t>
      </w:r>
      <w:r>
        <w:t xml:space="preserve"> </w:t>
      </w:r>
      <m:oMath>
        <m:sSub>
          <m:e>
            <m:r>
              <m:t>π</m:t>
            </m:r>
          </m:e>
          <m:sub>
            <m:r>
              <m:t>S</m:t>
            </m:r>
          </m:sub>
        </m:sSub>
      </m:oMath>
      <w:r>
        <w:t xml:space="preserve"> </w:t>
      </w:r>
      <w:r>
        <w:t xml:space="preserve">and systematically overestimate risk on the target, leading to poor calibration and excessive false positives.</w:t>
      </w:r>
    </w:p>
    <w:bookmarkEnd w:id="44"/>
    <w:bookmarkStart w:id="45" w:name="concept-shift-the-definition-gap"/>
    <w:p>
      <w:pPr>
        <w:pStyle w:val="3"/>
      </w:pPr>
      <w:r>
        <w:t xml:space="preserve">Concept Shift: The Definition Gap</w:t>
      </w:r>
    </w:p>
    <w:p>
      <w:pPr>
        <w:pStyle w:val="FirstParagraph"/>
      </w:pPr>
      <w:r>
        <w:t xml:space="preserve">Concept shift implies a fundamental change in the relationship between features and labels:</w:t>
      </w:r>
    </w:p>
    <w:p>
      <w:pPr>
        <w:pStyle w:val="a0"/>
      </w:pPr>
      <m:oMathPara>
        <m:oMathParaPr>
          <m:jc m:val="center"/>
        </m:oMathParaPr>
        <m:oMath>
          <m:sSub>
            <m:e>
              <m:r>
                <m:t>P</m:t>
              </m:r>
            </m:e>
            <m:sub>
              <m:r>
                <m:t>S</m:t>
              </m:r>
            </m:sub>
          </m:sSub>
          <m:r>
            <m:rPr>
              <m:sty m:val="p"/>
            </m:rPr>
            <m:t>≠</m:t>
          </m:r>
          <m:sSub>
            <m:e>
              <m:r>
                <m:t>P</m:t>
              </m:r>
            </m:e>
            <m:sub>
              <m:r>
                <m:t>T</m:t>
              </m:r>
            </m:sub>
          </m:sSub>
        </m:oMath>
      </m:oMathPara>
    </w:p>
    <w:p>
      <w:pPr>
        <w:pStyle w:val="FirstParagraph"/>
      </w:pPr>
      <w:r>
        <w:t xml:space="preserve">In pulmonary medicine, apparent model failures often reflect latent confounders</w:t>
      </w:r>
      <w:r>
        <w:t xml:space="preserve"> </w:t>
      </w:r>
      <w:r>
        <w:t xml:space="preserve">arising from regional disease ecology. In regions such as the Mississippi and</w:t>
      </w:r>
      <w:r>
        <w:t xml:space="preserve"> </w:t>
      </w:r>
      <w:r>
        <w:t xml:space="preserve">Ohio River Valleys in North America or parts of East Asia, granulomatous</w:t>
      </w:r>
      <w:r>
        <w:t xml:space="preserve"> </w:t>
      </w:r>
      <w:r>
        <w:t xml:space="preserve">infections (e.g., histoplasmosis, tuberculosis) are endemic and generate a high</w:t>
      </w:r>
      <w:r>
        <w:t xml:space="preserve"> </w:t>
      </w:r>
      <w:r>
        <w:t xml:space="preserve">burden of benign pulmonary nodules and granulomas</w:t>
      </w:r>
      <w:r>
        <w:t xml:space="preserve"> </w:t>
      </w:r>
      <w:r>
        <w:t xml:space="preserve"> </w:t>
      </w:r>
      <w:r>
        <w:t xml:space="preserve">[</w:t>
      </w:r>
      <w:hyperlink w:anchor="ref-yang_comparison_2018">
        <w:r>
          <w:rPr>
            <w:rStyle w:val="af"/>
          </w:rPr>
          <w:t xml:space="preserve">82</w:t>
        </w:r>
      </w:hyperlink>
      <w:r>
        <w:t xml:space="preserve">,</w:t>
      </w:r>
      <w:hyperlink w:anchor="ref-barros_pulmonary_2023">
        <w:r>
          <w:rPr>
            <w:rStyle w:val="af"/>
          </w:rPr>
          <w:t xml:space="preserve">91</w:t>
        </w:r>
      </w:hyperlink>
      <w:r>
        <w:t xml:space="preserve">]</w:t>
      </w:r>
      <w:r>
        <w:t xml:space="preserve">.</w:t>
      </w:r>
      <w:r>
        <w:t xml:space="preserve"> </w:t>
      </w:r>
      <w:r>
        <w:t xml:space="preserve">These benign lesions frequently mimic malignant nodules on imaging, including</w:t>
      </w:r>
      <w:r>
        <w:t xml:space="preserve"> </w:t>
      </w:r>
      <w:r>
        <w:t xml:space="preserve">solid or spiculated nodules with appreciable metabolic uptake on PET–CT, and</w:t>
      </w:r>
      <w:r>
        <w:t xml:space="preserve"> </w:t>
      </w:r>
      <w:r>
        <w:t xml:space="preserve">therefore constitute an important source of diagnostic ambiguity in lung cancer</w:t>
      </w:r>
      <w:r>
        <w:t xml:space="preserve"> </w:t>
      </w:r>
      <w:r>
        <w:t xml:space="preserve">screening and workup </w:t>
      </w:r>
      <w:r>
        <w:t xml:space="preserve">[</w:t>
      </w:r>
      <w:hyperlink w:anchor="ref-shipe_validation_2021">
        <w:r>
          <w:rPr>
            <w:rStyle w:val="af"/>
          </w:rPr>
          <w:t xml:space="preserve">92</w:t>
        </w:r>
      </w:hyperlink>
      <w:r>
        <w:t xml:space="preserve">,</w:t>
      </w:r>
      <w:hyperlink w:anchor="ref-lang_asymptomatic_2017">
        <w:r>
          <w:rPr>
            <w:rStyle w:val="af"/>
          </w:rPr>
          <w:t xml:space="preserve">93</w:t>
        </w:r>
      </w:hyperlink>
      <w:r>
        <w:t xml:space="preserve">]</w:t>
      </w:r>
      <w:r>
        <w:t xml:space="preserve">.</w:t>
      </w:r>
      <w:r>
        <w:t xml:space="preserve"> </w:t>
      </w:r>
      <w:r>
        <w:t xml:space="preserve">Consequently, radiographic patterns that are highly predictive of malignancy in</w:t>
      </w:r>
      <w:r>
        <w:t xml:space="preserve"> </w:t>
      </w:r>
      <w:r>
        <w:t xml:space="preserve">low-endemic Western cohorts may correspond to a substantially lower cancer</w:t>
      </w:r>
      <w:r>
        <w:t xml:space="preserve"> </w:t>
      </w:r>
      <w:r>
        <w:t xml:space="preserve">probability in these settings, representing a form of concept shift.</w:t>
      </w:r>
    </w:p>
    <w:p>
      <w:pPr>
        <w:pStyle w:val="a0"/>
      </w:pPr>
      <w:r>
        <w:t xml:space="preserve">Formally, this means that the same feature vector</w:t>
      </w:r>
      <w:r>
        <w:t xml:space="preserve"> </w:t>
      </w:r>
      <m:oMath>
        <m:r>
          <m:t>x</m:t>
        </m:r>
      </m:oMath>
      <w:r>
        <w:t xml:space="preserve"> </w:t>
      </w:r>
      <w:r>
        <w:t xml:space="preserve">can be</w:t>
      </w:r>
      <w:r>
        <w:t xml:space="preserve"> </w:t>
      </w:r>
      <w:r>
        <w:t xml:space="preserve">associated with markedly different posterior malignancy probabilities across</w:t>
      </w:r>
      <w:r>
        <w:t xml:space="preserve"> </w:t>
      </w:r>
      <w:r>
        <w:t xml:space="preserve">hospitals: a model calibrated in a non-endemic source hospital might assign</w:t>
      </w:r>
      <w:r>
        <w:t xml:space="preserve"> </w:t>
      </w:r>
      <m:oMath>
        <m:sSub>
          <m:e>
            <m:r>
              <m:t>P</m:t>
            </m:r>
          </m:e>
          <m:sub>
            <m:r>
              <m:t>S</m:t>
            </m:r>
          </m:sub>
        </m:sSub>
        <m:r>
          <m:rPr>
            <m:sty m:val="p"/>
          </m:rPr>
          <m:t>(</m:t>
        </m:r>
        <m:r>
          <m:t>Y</m:t>
        </m:r>
        <m:r>
          <m:rPr>
            <m:sty m:val="p"/>
          </m:rPr>
          <m:t>=</m:t>
        </m:r>
        <m:r>
          <m:t>1</m:t>
        </m:r>
        <m:r>
          <m:rPr>
            <m:sty m:val="p"/>
          </m:rPr>
          <m:t>∣</m:t>
        </m:r>
        <m:r>
          <m:t>x</m:t>
        </m:r>
        <m:r>
          <m:rPr>
            <m:sty m:val="p"/>
          </m:rPr>
          <m:t>)</m:t>
        </m:r>
        <m:r>
          <m:rPr>
            <m:sty m:val="p"/>
          </m:rPr>
          <m:t>≈</m:t>
        </m:r>
        <m:r>
          <m:t>0.9</m:t>
        </m:r>
      </m:oMath>
      <w:r>
        <w:t xml:space="preserve">, whereas the true probability in a</w:t>
      </w:r>
      <w:r>
        <w:t xml:space="preserve"> </w:t>
      </w:r>
      <w:r>
        <w:t xml:space="preserve">TB-endemic target hospital could be closer to</w:t>
      </w:r>
      <w:r>
        <w:t xml:space="preserve"> </w:t>
      </w:r>
      <m:oMath>
        <m:sSub>
          <m:e>
            <m:r>
              <m:t>P</m:t>
            </m:r>
          </m:e>
          <m:sub>
            <m:r>
              <m:t>T</m:t>
            </m:r>
          </m:sub>
        </m:sSub>
        <m:r>
          <m:rPr>
            <m:sty m:val="p"/>
          </m:rPr>
          <m:t>(</m:t>
        </m:r>
        <m:r>
          <m:t>Y</m:t>
        </m:r>
        <m:r>
          <m:rPr>
            <m:sty m:val="p"/>
          </m:rPr>
          <m:t>=</m:t>
        </m:r>
        <m:r>
          <m:t>1</m:t>
        </m:r>
        <m:r>
          <m:rPr>
            <m:sty m:val="p"/>
          </m:rPr>
          <m:t>∣</m:t>
        </m:r>
        <m:r>
          <m:t>x</m:t>
        </m:r>
        <m:r>
          <m:rPr>
            <m:sty m:val="p"/>
          </m:rPr>
          <m:t>)</m:t>
        </m:r>
        <m:r>
          <m:rPr>
            <m:sty m:val="p"/>
          </m:rPr>
          <m:t>≈</m:t>
        </m:r>
        <m:r>
          <m:t>0.4</m:t>
        </m:r>
      </m:oMath>
      <w:r>
        <w:t xml:space="preserve"> </w:t>
      </w:r>
      <w:r>
        <w:t xml:space="preserve">[</w:t>
      </w:r>
      <w:hyperlink w:anchor="ref-ben2010theory">
        <w:r>
          <w:rPr>
            <w:rStyle w:val="af"/>
          </w:rPr>
          <w:t xml:space="preserve">94</w:t>
        </w:r>
      </w:hyperlink>
      <w:r>
        <w:t xml:space="preserve">]</w:t>
      </w:r>
      <w:r>
        <w:t xml:space="preserve">.</w:t>
      </w:r>
    </w:p>
    <w:bookmarkEnd w:id="45"/>
    <w:bookmarkStart w:id="46" w:name="X0980a6f305e99c5002fab5808b498094a9318fc"/>
    <w:p>
      <w:pPr>
        <w:pStyle w:val="3"/>
      </w:pPr>
      <w:r>
        <w:t xml:space="preserve">Theoretical Bound on Generalization Error</w:t>
      </w:r>
    </w:p>
    <w:p>
      <w:pPr>
        <w:pStyle w:val="FirstParagraph"/>
      </w:pPr>
      <w:r>
        <w:t xml:space="preserve">Following the seminal theory by Ben-David et al.</w:t>
      </w:r>
      <w:r>
        <w:t xml:space="preserve"> </w:t>
      </w:r>
      <w:r>
        <w:t xml:space="preserve">[</w:t>
      </w:r>
      <w:hyperlink w:anchor="ref-ben2010theory">
        <w:r>
          <w:rPr>
            <w:rStyle w:val="af"/>
          </w:rPr>
          <w:t xml:space="preserve">94</w:t>
        </w:r>
      </w:hyperlink>
      <w:r>
        <w:t xml:space="preserve">]</w:t>
      </w:r>
      <w:r>
        <w:t xml:space="preserve">, the expected error of a hypothesis</w:t>
      </w:r>
      <w:r>
        <w:t xml:space="preserve"> </w:t>
      </w:r>
      <m:oMath>
        <m:r>
          <m:t>h</m:t>
        </m:r>
      </m:oMath>
      <w:r>
        <w:t xml:space="preserve"> </w:t>
      </w:r>
      <w:r>
        <w:t xml:space="preserve">on the target domain,</w:t>
      </w:r>
      <w:r>
        <w:t xml:space="preserve"> </w:t>
      </w:r>
      <m:oMath>
        <m:sSub>
          <m:e>
            <m:r>
              <m:t>ϵ</m:t>
            </m:r>
          </m:e>
          <m:sub>
            <m:r>
              <m:t>T</m:t>
            </m:r>
          </m:sub>
        </m:sSub>
      </m:oMath>
      <w:r>
        <w:t xml:space="preserve">, is bounded by:</w:t>
      </w:r>
    </w:p>
    <w:p>
      <w:pPr>
        <w:pStyle w:val="a0"/>
      </w:pPr>
      <m:oMathPara>
        <m:oMathParaPr>
          <m:jc m:val="center"/>
        </m:oMathParaPr>
        <m:oMath>
          <m:sSub>
            <m:e>
              <m:r>
                <m:t>ϵ</m:t>
              </m:r>
            </m:e>
            <m:sub>
              <m:r>
                <m:t>T</m:t>
              </m:r>
            </m:sub>
          </m:sSub>
          <m:r>
            <m:rPr>
              <m:sty m:val="p"/>
            </m:rPr>
            <m:t>≤</m:t>
          </m:r>
          <m:sSub>
            <m:e>
              <m:r>
                <m:t>ϵ</m:t>
              </m:r>
            </m:e>
            <m:sub>
              <m:r>
                <m:t>S</m:t>
              </m:r>
            </m:sub>
          </m:sSub>
          <m:r>
            <m:rPr>
              <m:sty m:val="p"/>
            </m:rPr>
            <m:t>+</m:t>
          </m:r>
          <m:f>
            <m:fPr>
              <m:type m:val="bar"/>
            </m:fPr>
            <m:num>
              <m:r>
                <m:t>1</m:t>
              </m:r>
            </m:num>
            <m:den>
              <m:r>
                <m:t>2</m:t>
              </m:r>
            </m:den>
          </m:f>
          <m:sSub>
            <m:e>
              <m:r>
                <m:t>d</m:t>
              </m:r>
            </m:e>
            <m:sub>
              <m:r>
                <m:rPr>
                  <m:scr m:val="script"/>
                  <m:sty m:val="p"/>
                </m:rPr>
                <m:t>H</m:t>
              </m:r>
              <m:r>
                <m:rPr>
                  <m:sty m:val="p"/>
                </m:rPr>
                <m:t>Δ</m:t>
              </m:r>
              <m:r>
                <m:rPr>
                  <m:scr m:val="script"/>
                  <m:sty m:val="p"/>
                </m:rPr>
                <m:t>H</m:t>
              </m:r>
            </m:sub>
          </m:sSub>
          <m:r>
            <m:rPr>
              <m:sty m:val="p"/>
            </m:rPr>
            <m:t>(</m:t>
          </m:r>
          <m:sSub>
            <m:e>
              <m:r>
                <m:t>P</m:t>
              </m:r>
            </m:e>
            <m:sub>
              <m:r>
                <m:t>S</m:t>
              </m:r>
            </m:sub>
          </m:sSub>
          <m:r>
            <m:rPr>
              <m:sty m:val="p"/>
            </m:rPr>
            <m:t>,</m:t>
          </m:r>
          <m:sSub>
            <m:e>
              <m:r>
                <m:t>P</m:t>
              </m:r>
            </m:e>
            <m:sub>
              <m:r>
                <m:t>T</m:t>
              </m:r>
            </m:sub>
          </m:sSub>
          <m:r>
            <m:rPr>
              <m:sty m:val="p"/>
            </m:rPr>
            <m:t>)</m:t>
          </m:r>
          <m:r>
            <m:rPr>
              <m:sty m:val="p"/>
            </m:rPr>
            <m:t>+</m:t>
          </m:r>
          <m:r>
            <m:t>λ</m:t>
          </m:r>
        </m:oMath>
      </m:oMathPara>
    </w:p>
    <w:p>
      <w:pPr>
        <w:pStyle w:val="FirstParagraph"/>
      </w:pPr>
      <w:r>
        <w:t xml:space="preserve">where:</w:t>
      </w:r>
    </w:p>
    <w:p>
      <w:pPr>
        <w:numPr>
          <w:ilvl w:val="0"/>
          <w:numId w:val="1005"/>
        </w:numPr>
      </w:pPr>
      <m:oMath>
        <m:sSub>
          <m:e>
            <m:r>
              <m:t>ϵ</m:t>
            </m:r>
          </m:e>
          <m:sub>
            <m:r>
              <m:t>S</m:t>
            </m:r>
          </m:sub>
        </m:sSub>
      </m:oMath>
      <w:r>
        <w:t xml:space="preserve"> </w:t>
      </w:r>
      <w:r>
        <w:t xml:space="preserve">is the source domain error, minimized via supervised training.</w:t>
      </w:r>
    </w:p>
    <w:p>
      <w:pPr>
        <w:numPr>
          <w:ilvl w:val="0"/>
          <w:numId w:val="1005"/>
        </w:numPr>
      </w:pPr>
      <m:oMath>
        <m:sSub>
          <m:e>
            <m:r>
              <m:t>d</m:t>
            </m:r>
          </m:e>
          <m:sub>
            <m:r>
              <m:rPr>
                <m:scr m:val="script"/>
                <m:sty m:val="p"/>
              </m:rPr>
              <m:t>H</m:t>
            </m:r>
            <m:r>
              <m:rPr>
                <m:sty m:val="p"/>
              </m:rPr>
              <m:t>Δ</m:t>
            </m:r>
            <m:r>
              <m:rPr>
                <m:scr m:val="script"/>
                <m:sty m:val="p"/>
              </m:rPr>
              <m:t>H</m:t>
            </m:r>
          </m:sub>
        </m:sSub>
        <m:r>
          <m:rPr>
            <m:sty m:val="p"/>
          </m:rPr>
          <m:t>(</m:t>
        </m:r>
        <m:sSub>
          <m:e>
            <m:r>
              <m:t>P</m:t>
            </m:r>
          </m:e>
          <m:sub>
            <m:r>
              <m:t>S</m:t>
            </m:r>
          </m:sub>
        </m:sSub>
        <m:r>
          <m:rPr>
            <m:sty m:val="p"/>
          </m:rPr>
          <m:t>,</m:t>
        </m:r>
        <m:sSub>
          <m:e>
            <m:r>
              <m:t>P</m:t>
            </m:r>
          </m:e>
          <m:sub>
            <m:r>
              <m:t>T</m:t>
            </m:r>
          </m:sub>
        </m:sSub>
        <m:r>
          <m:rPr>
            <m:sty m:val="p"/>
          </m:rPr>
          <m:t>)</m:t>
        </m:r>
      </m:oMath>
      <w:r>
        <w:t xml:space="preserve"> </w:t>
      </w:r>
      <w:r>
        <w:t xml:space="preserve">is the</w:t>
      </w:r>
      <w:r>
        <w:t xml:space="preserve"> </w:t>
      </w:r>
      <m:oMath>
        <m:r>
          <m:rPr>
            <m:scr m:val="script"/>
            <m:sty m:val="p"/>
          </m:rPr>
          <m:t>H</m:t>
        </m:r>
        <m:r>
          <m:rPr>
            <m:sty m:val="p"/>
          </m:rPr>
          <m:t>Δ</m:t>
        </m:r>
        <m:r>
          <m:rPr>
            <m:scr m:val="script"/>
            <m:sty m:val="p"/>
          </m:rPr>
          <m:t>H</m:t>
        </m:r>
      </m:oMath>
      <w:r>
        <w:t xml:space="preserve">-divergence between the two domains.</w:t>
      </w:r>
    </w:p>
    <w:p>
      <w:pPr>
        <w:numPr>
          <w:ilvl w:val="0"/>
          <w:numId w:val="1005"/>
        </w:numPr>
      </w:pPr>
      <m:oMath>
        <m:r>
          <m:t>λ</m:t>
        </m:r>
        <m:r>
          <m:rPr>
            <m:sty m:val="p"/>
          </m:rPr>
          <m:t>=</m:t>
        </m:r>
        <m:sSub>
          <m:e>
            <m:r>
              <m:rPr>
                <m:sty m:val="p"/>
              </m:rPr>
              <m:t>min</m:t>
            </m:r>
          </m:e>
          <m:sub>
            <m:r>
              <m:t>h</m:t>
            </m:r>
            <m:r>
              <m:rPr>
                <m:sty m:val="p"/>
              </m:rPr>
              <m:t>∈</m:t>
            </m:r>
            <m:r>
              <m:rPr>
                <m:scr m:val="script"/>
                <m:sty m:val="p"/>
              </m:rPr>
              <m:t>H</m:t>
            </m:r>
          </m:sub>
        </m:sSub>
        <m:r>
          <m:rPr>
            <m:sty m:val="p"/>
          </m:rPr>
          <m:t>[</m:t>
        </m:r>
        <m:sSub>
          <m:e>
            <m:r>
              <m:t>ϵ</m:t>
            </m:r>
          </m:e>
          <m:sub>
            <m:r>
              <m:t>S</m:t>
            </m:r>
          </m:sub>
        </m:sSub>
        <m:r>
          <m:rPr>
            <m:sty m:val="p"/>
          </m:rPr>
          <m:t>+</m:t>
        </m:r>
        <m:sSub>
          <m:e>
            <m:r>
              <m:t>ϵ</m:t>
            </m:r>
          </m:e>
          <m:sub>
            <m:r>
              <m:t>T</m:t>
            </m:r>
          </m:sub>
        </m:sSub>
        <m:r>
          <m:rPr>
            <m:sty m:val="p"/>
          </m:rPr>
          <m:t>]</m:t>
        </m:r>
      </m:oMath>
      <w:r>
        <w:t xml:space="preserve"> </w:t>
      </w:r>
      <w:r>
        <w:t xml:space="preserve">is the error of the ideal joint hypothesis.</w:t>
      </w:r>
    </w:p>
    <w:p>
      <w:pPr>
        <w:pStyle w:val="FirstParagraph"/>
      </w:pPr>
      <w:r>
        <w:t xml:space="preserve">This bound highlights that minimizing source error alone is insufficient; an effective cross-hospital</w:t>
      </w:r>
      <w:r>
        <w:t xml:space="preserve"> </w:t>
      </w:r>
      <w:r>
        <w:t xml:space="preserve">system must simultaneously (i) keep</w:t>
      </w:r>
      <w:r>
        <w:t xml:space="preserve"> </w:t>
      </w:r>
      <m:oMath>
        <m:sSub>
          <m:e>
            <m:r>
              <m:t>ϵ</m:t>
            </m:r>
          </m:e>
          <m:sub>
            <m:r>
              <m:t>S</m:t>
            </m:r>
          </m:sub>
        </m:sSub>
      </m:oMath>
      <w:r>
        <w:t xml:space="preserve"> </w:t>
      </w:r>
      <w:r>
        <w:t xml:space="preserve">small, (ii) reduce the divergence term</w:t>
      </w:r>
      <w:r>
        <w:t xml:space="preserve"> </w:t>
      </w:r>
      <m:oMath>
        <m:sSub>
          <m:e>
            <m:r>
              <m:t>d</m:t>
            </m:r>
          </m:e>
          <m:sub>
            <m:r>
              <m:rPr>
                <m:scr m:val="script"/>
                <m:sty m:val="p"/>
              </m:rPr>
              <m:t>H</m:t>
            </m:r>
            <m:r>
              <m:rPr>
                <m:sty m:val="p"/>
              </m:rPr>
              <m:t>Δ</m:t>
            </m:r>
            <m:r>
              <m:rPr>
                <m:scr m:val="script"/>
                <m:sty m:val="p"/>
              </m:rPr>
              <m:t>H</m:t>
            </m:r>
          </m:sub>
        </m:sSub>
        <m:r>
          <m:rPr>
            <m:sty m:val="p"/>
          </m:rPr>
          <m:t>(</m:t>
        </m:r>
        <m:sSub>
          <m:e>
            <m:r>
              <m:t>P</m:t>
            </m:r>
          </m:e>
          <m:sub>
            <m:r>
              <m:t>S</m:t>
            </m:r>
          </m:sub>
        </m:sSub>
        <m:r>
          <m:rPr>
            <m:sty m:val="p"/>
          </m:rPr>
          <m:t>,</m:t>
        </m:r>
        <m:sSub>
          <m:e>
            <m:r>
              <m:t>P</m:t>
            </m:r>
          </m:e>
          <m:sub>
            <m:r>
              <m:t>T</m:t>
            </m:r>
          </m:sub>
        </m:sSub>
        <m:r>
          <m:rPr>
            <m:sty m:val="p"/>
          </m:rPr>
          <m:t>)</m:t>
        </m:r>
      </m:oMath>
      <w:r>
        <w:t xml:space="preserve">, and (iii) control the joint error</w:t>
      </w:r>
      <w:r>
        <w:t xml:space="preserve"> </w:t>
      </w:r>
      <m:oMath>
        <m:r>
          <m:t>λ</m:t>
        </m:r>
      </m:oMath>
      <w:r>
        <w:t xml:space="preserve"> </w:t>
      </w:r>
      <w:r>
        <w:t xml:space="preserve">by avoiding features that admit no low-error classifier across both domains.</w:t>
      </w:r>
    </w:p>
    <w:p>
      <w:pPr>
        <w:pStyle w:val="a0"/>
      </w:pPr>
      <w:r>
        <w:t xml:space="preserve">From this perspective, the three components of PANDA align directly with the three terms in</w:t>
      </w:r>
      <w:r>
        <w:t xml:space="preserve"> </w:t>
      </w:r>
      <w:r>
        <w:t xml:space="preserve">Eq. </w:t>
      </w:r>
      <w:hyperlink w:anchor="eq:ben-david">
        <w:r>
          <w:rPr>
            <w:rStyle w:val="af"/>
          </w:rPr>
          <w:t xml:space="preserve">[eq:ben-david]</w:t>
        </w:r>
      </w:hyperlink>
      <w:r>
        <w:t xml:space="preserve">:</w:t>
      </w:r>
    </w:p>
    <w:p>
      <w:pPr>
        <w:numPr>
          <w:ilvl w:val="0"/>
          <w:numId w:val="1006"/>
        </w:numPr>
      </w:pPr>
      <w:r>
        <w:rPr>
          <w:b/>
          <w:bCs/>
        </w:rPr>
        <w:t xml:space="preserve">Tabular foundation model (TabPFN)</w:t>
      </w:r>
      <w:r>
        <w:rPr>
          <w:b/>
          <w:bCs/>
        </w:rPr>
        <w:t xml:space="preserve"> </w:t>
      </w:r>
      <m:oMath>
        <m:r>
          <m:rPr>
            <m:sty m:val="p"/>
          </m:rPr>
          <m:t>→</m:t>
        </m:r>
        <m:sSub>
          <m:e>
            <m:r>
              <m:t>ϵ</m:t>
            </m:r>
          </m:e>
          <m:sub>
            <m:r>
              <m:t>S</m:t>
            </m:r>
          </m:sub>
        </m:sSub>
      </m:oMath>
      <w:r>
        <w:rPr>
          <w:b/>
          <w:bCs/>
        </w:rPr>
        <w:t xml:space="preserve">.</w:t>
      </w:r>
      <w:r>
        <w:t xml:space="preserve"> </w:t>
      </w:r>
      <w:r>
        <w:t xml:space="preserve">By treating the source cohort as a context set for a pre-trained PFN, PANDA reduces</w:t>
      </w:r>
      <w:r>
        <w:t xml:space="preserve"> </w:t>
      </w:r>
      <m:oMath>
        <m:sSub>
          <m:e>
            <m:r>
              <m:t>ϵ</m:t>
            </m:r>
          </m:e>
          <m:sub>
            <m:r>
              <m:t>S</m:t>
            </m:r>
          </m:sub>
        </m:sSub>
        <m:r>
          <m:rPr>
            <m:sty m:val="p"/>
          </m:rPr>
          <m:t>(</m:t>
        </m:r>
        <m:r>
          <m:t>h</m:t>
        </m:r>
        <m:r>
          <m:rPr>
            <m:sty m:val="p"/>
          </m:rPr>
          <m:t>)</m:t>
        </m:r>
      </m:oMath>
      <w:r>
        <w:t xml:space="preserve"> </w:t>
      </w:r>
      <w:r>
        <w:t xml:space="preserve">under small-sample, imbalanced conditions without extensive</w:t>
      </w:r>
      <w:r>
        <w:t xml:space="preserve"> </w:t>
      </w:r>
      <w:r>
        <w:t xml:space="preserve">hyperparameter tuning.</w:t>
      </w:r>
    </w:p>
    <w:p>
      <w:pPr>
        <w:numPr>
          <w:ilvl w:val="0"/>
          <w:numId w:val="1006"/>
        </w:numPr>
      </w:pPr>
      <w:r>
        <w:rPr>
          <w:b/>
          <w:bCs/>
        </w:rPr>
        <w:t xml:space="preserve">Transfer Component Analysis (TCA)</w:t>
      </w:r>
      <w:r>
        <w:rPr>
          <w:b/>
          <w:bCs/>
        </w:rPr>
        <w:t xml:space="preserve"> </w:t>
      </w:r>
      <m:oMath>
        <m:r>
          <m:rPr>
            <m:sty m:val="p"/>
          </m:rPr>
          <m:t>→</m:t>
        </m:r>
        <m:sSub>
          <m:e>
            <m:r>
              <m:t>d</m:t>
            </m:r>
          </m:e>
          <m:sub>
            <m:r>
              <m:rPr>
                <m:scr m:val="script"/>
                <m:sty m:val="p"/>
              </m:rPr>
              <m:t>H</m:t>
            </m:r>
            <m:r>
              <m:rPr>
                <m:sty m:val="p"/>
              </m:rPr>
              <m:t>Δ</m:t>
            </m:r>
            <m:r>
              <m:rPr>
                <m:scr m:val="script"/>
                <m:sty m:val="p"/>
              </m:rPr>
              <m:t>H</m:t>
            </m:r>
          </m:sub>
        </m:sSub>
      </m:oMath>
      <w:r>
        <w:rPr>
          <w:b/>
          <w:bCs/>
        </w:rPr>
        <w:t xml:space="preserve">.</w:t>
      </w:r>
      <w:r>
        <w:t xml:space="preserve"> </w:t>
      </w:r>
      <w:r>
        <w:t xml:space="preserve">The TCA module learns a latent space in which the empirical Maximum Mean Discrepancy between</w:t>
      </w:r>
      <w:r>
        <w:t xml:space="preserve"> </w:t>
      </w:r>
      <w:r>
        <w:t xml:space="preserve">source and target representations is minimized, directly targeting the divergence term</w:t>
      </w:r>
      <w:r>
        <w:t xml:space="preserve"> </w:t>
      </w:r>
      <m:oMath>
        <m:sSub>
          <m:e>
            <m:r>
              <m:t>d</m:t>
            </m:r>
          </m:e>
          <m:sub>
            <m:r>
              <m:rPr>
                <m:scr m:val="script"/>
                <m:sty m:val="p"/>
              </m:rPr>
              <m:t>H</m:t>
            </m:r>
            <m:r>
              <m:rPr>
                <m:sty m:val="p"/>
              </m:rPr>
              <m:t>Δ</m:t>
            </m:r>
            <m:r>
              <m:rPr>
                <m:scr m:val="script"/>
                <m:sty m:val="p"/>
              </m:rPr>
              <m:t>H</m:t>
            </m:r>
          </m:sub>
        </m:sSub>
        <m:r>
          <m:rPr>
            <m:sty m:val="p"/>
          </m:rPr>
          <m:t>(</m:t>
        </m:r>
        <m:sSub>
          <m:e>
            <m:r>
              <m:t>P</m:t>
            </m:r>
          </m:e>
          <m:sub>
            <m:r>
              <m:t>S</m:t>
            </m:r>
          </m:sub>
        </m:sSub>
        <m:r>
          <m:rPr>
            <m:sty m:val="p"/>
          </m:rPr>
          <m:t>,</m:t>
        </m:r>
        <m:sSub>
          <m:e>
            <m:r>
              <m:t>P</m:t>
            </m:r>
          </m:e>
          <m:sub>
            <m:r>
              <m:t>T</m:t>
            </m:r>
          </m:sub>
        </m:sSub>
        <m:r>
          <m:rPr>
            <m:sty m:val="p"/>
          </m:rPr>
          <m:t>)</m:t>
        </m:r>
      </m:oMath>
      <w:r>
        <w:t xml:space="preserve">.</w:t>
      </w:r>
    </w:p>
    <w:p>
      <w:pPr>
        <w:numPr>
          <w:ilvl w:val="0"/>
          <w:numId w:val="1006"/>
        </w:numPr>
      </w:pPr>
      <w:r>
        <w:rPr>
          <w:b/>
          <w:bCs/>
        </w:rPr>
        <w:t xml:space="preserve">Cross-domain RFE</w:t>
      </w:r>
      <w:r>
        <w:rPr>
          <w:b/>
          <w:bCs/>
        </w:rPr>
        <w:t xml:space="preserve"> </w:t>
      </w:r>
      <m:oMath>
        <m:r>
          <m:rPr>
            <m:sty m:val="p"/>
          </m:rPr>
          <m:t>→</m:t>
        </m:r>
        <m:r>
          <m:t>λ</m:t>
        </m:r>
      </m:oMath>
      <w:r>
        <w:rPr>
          <w:b/>
          <w:bCs/>
        </w:rPr>
        <w:t xml:space="preserve">.</w:t>
      </w:r>
      <w:r>
        <w:t xml:space="preserve"> </w:t>
      </w:r>
      <w:r>
        <w:t xml:space="preserve">Recursive feature elimination explicitly searches for a subset of shared features</w:t>
      </w:r>
      <w:r>
        <w:t xml:space="preserve"> </w:t>
      </w:r>
      <m:oMath>
        <m:sSup>
          <m:e>
            <m:r>
              <m:t>F</m:t>
            </m:r>
          </m:e>
          <m:sup>
            <m:r>
              <m:rPr>
                <m:sty m:val="p"/>
              </m:rPr>
              <m:t>*</m:t>
            </m:r>
          </m:sup>
        </m:sSup>
        <m:r>
          <m:rPr>
            <m:sty m:val="p"/>
          </m:rPr>
          <m:t>⊆</m:t>
        </m:r>
        <m:sSub>
          <m:e>
            <m:r>
              <m:t>F</m:t>
            </m:r>
          </m:e>
          <m:sub>
            <m:r>
              <m:rPr>
                <m:sty m:val="p"/>
              </m:rPr>
              <m:t>∩</m:t>
            </m:r>
          </m:sub>
        </m:sSub>
      </m:oMath>
      <w:r>
        <w:t xml:space="preserve"> </w:t>
      </w:r>
      <w:r>
        <w:t xml:space="preserve">that support a low-error joint classifier</w:t>
      </w:r>
      <w:r>
        <w:t xml:space="preserve"> </w:t>
      </w:r>
      <w:r>
        <w:t xml:space="preserve">across hospitals, thereby tightening the adaptability term</w:t>
      </w:r>
      <w:r>
        <w:t xml:space="preserve"> </w:t>
      </w:r>
      <m:oMath>
        <m:r>
          <m:t>λ</m:t>
        </m:r>
      </m:oMath>
      <w:r>
        <w:t xml:space="preserve"> </w:t>
      </w:r>
      <w:r>
        <w:t xml:space="preserve">by removing</w:t>
      </w:r>
      <w:r>
        <w:t xml:space="preserve"> </w:t>
      </w:r>
      <w:r>
        <w:t xml:space="preserve">unstable or hospital-specific biomarkers.</w:t>
      </w:r>
    </w:p>
    <w:p>
      <w:pPr>
        <w:pStyle w:val="FirstParagraph"/>
      </w:pPr>
      <w:r>
        <w:t xml:space="preserve">Thus, PANDA can be interpreted as an instantiation of the domain adaptation bound rather than</w:t>
      </w:r>
      <w:r>
        <w:t xml:space="preserve"> </w:t>
      </w:r>
      <w:r>
        <w:t xml:space="preserve">an ad hoc composition of modules: each architectural choice is motivated by a specific term in</w:t>
      </w:r>
      <w:r>
        <w:t xml:space="preserve"> </w:t>
      </w:r>
      <w:r>
        <w:t xml:space="preserve">Eq. </w:t>
      </w:r>
      <w:hyperlink w:anchor="eq:ben-david">
        <w:r>
          <w:rPr>
            <w:rStyle w:val="af"/>
          </w:rPr>
          <w:t xml:space="preserve">[eq:ben-david]</w:t>
        </w:r>
      </w:hyperlink>
      <w:r>
        <w:t xml:space="preserve">.</w:t>
      </w:r>
    </w:p>
    <w:bookmarkEnd w:id="46"/>
    <w:bookmarkEnd w:id="47"/>
    <w:bookmarkStart w:id="50" w:name="subsec:model-constraints"/>
    <w:p>
      <w:pPr>
        <w:pStyle w:val="2"/>
      </w:pPr>
      <w:r>
        <w:t xml:space="preserve">Theoretical Constraints of Existing Models</w:t>
      </w:r>
    </w:p>
    <w:p>
      <w:pPr>
        <w:pStyle w:val="FirstParagraph"/>
      </w:pPr>
      <w:r>
        <w:t xml:space="preserve">To justify the architecture of PANDA, we formally analyze why existing state-of-the-art models fail in this specific regime (</w:t>
      </w:r>
      <m:oMath>
        <m:r>
          <m:t>N</m:t>
        </m:r>
        <m:r>
          <m:rPr>
            <m:sty m:val="p"/>
          </m:rPr>
          <m:t>≈</m:t>
        </m:r>
        <m:r>
          <m:t>300</m:t>
        </m:r>
      </m:oMath>
      <w:r>
        <w:t xml:space="preserve">, Unlabeled Target, Tabular Data).</w:t>
      </w:r>
    </w:p>
    <w:bookmarkStart w:id="48" w:name="gradient-boosted-decision-trees-gbdt"/>
    <w:p>
      <w:pPr>
        <w:pStyle w:val="3"/>
      </w:pPr>
      <w:r>
        <w:t xml:space="preserve">Gradient Boosted Decision Trees (GBDT)</w:t>
      </w:r>
    </w:p>
    <w:p>
      <w:pPr>
        <w:pStyle w:val="FirstParagraph"/>
      </w:pPr>
      <w:r>
        <w:t xml:space="preserve">GBDTs (e.g., XGBoost, LightGBM) partition the feature space using hard, axis-aligned splits (</w:t>
      </w:r>
      <m:oMath>
        <m:r>
          <m:rPr>
            <m:scr m:val="double-struck"/>
            <m:sty m:val="p"/>
          </m:rPr>
          <m:t>I</m:t>
        </m:r>
        <m:r>
          <m:rPr>
            <m:sty m:val="p"/>
          </m:rPr>
          <m:t>(</m:t>
        </m:r>
        <m:sSub>
          <m:e>
            <m:r>
              <m:t>x</m:t>
            </m:r>
          </m:e>
          <m:sub>
            <m:r>
              <m:t>j</m:t>
            </m:r>
          </m:sub>
        </m:sSub>
        <m:r>
          <m:rPr>
            <m:sty m:val="p"/>
          </m:rPr>
          <m:t>&lt;</m:t>
        </m:r>
        <m:r>
          <m:t>τ</m:t>
        </m:r>
        <m:r>
          <m:rPr>
            <m:sty m:val="p"/>
          </m:rPr>
          <m:t>)</m:t>
        </m:r>
      </m:oMath>
      <w:r>
        <w:t xml:space="preserve">). They suffer from two critical limitations in UDA:</w:t>
      </w:r>
    </w:p>
    <w:p>
      <w:pPr>
        <w:numPr>
          <w:ilvl w:val="0"/>
          <w:numId w:val="1007"/>
        </w:numPr>
      </w:pPr>
      <w:r>
        <w:rPr>
          <w:b/>
          <w:bCs/>
        </w:rPr>
        <w:t xml:space="preserve">Non-Differentiability:</w:t>
      </w:r>
      <w:r>
        <w:t xml:space="preserve"> </w:t>
      </w:r>
      <w:r>
        <w:t xml:space="preserve">The piecewise constant decision boundary is non-differentiable with respect to input features. This precludes the use of gradient-based domain alignment techniques (like Adversarial Training or Gradient Reversal Layers) which require backpropagating a domain loss into the feature encoder.</w:t>
      </w:r>
    </w:p>
    <w:p>
      <w:pPr>
        <w:numPr>
          <w:ilvl w:val="0"/>
          <w:numId w:val="1007"/>
        </w:numPr>
      </w:pPr>
      <w:r>
        <w:rPr>
          <w:b/>
          <w:bCs/>
        </w:rPr>
        <w:t xml:space="preserve">Inability to Extrapolate:</w:t>
      </w:r>
      <w:r>
        <w:t xml:space="preserve"> </w:t>
      </w:r>
      <w:r>
        <w:t xml:space="preserve">Tree models cannot extrapolate beyond the range of the training data. If covariate shift pushes the target distribution</w:t>
      </w:r>
      <w:r>
        <w:t xml:space="preserve"> </w:t>
      </w:r>
      <m:oMath>
        <m:sSub>
          <m:e>
            <m:r>
              <m:t>P</m:t>
            </m:r>
          </m:e>
          <m:sub>
            <m:r>
              <m:t>T</m:t>
            </m:r>
          </m:sub>
        </m:sSub>
      </m:oMath>
      <w:r>
        <w:t xml:space="preserve"> </w:t>
      </w:r>
      <w:r>
        <w:t xml:space="preserve">outside the support of</w:t>
      </w:r>
      <w:r>
        <w:t xml:space="preserve"> </w:t>
      </w:r>
      <m:oMath>
        <m:sSub>
          <m:e>
            <m:r>
              <m:t>P</m:t>
            </m:r>
          </m:e>
          <m:sub>
            <m:r>
              <m:t>S</m:t>
            </m:r>
          </m:sub>
        </m:sSub>
      </m:oMath>
      <w:r>
        <w:t xml:space="preserve">, the tree maps all such points to the value of the nearest leaf node, often resulting in statistically invalid predictions.</w:t>
      </w:r>
    </w:p>
    <w:bookmarkEnd w:id="48"/>
    <w:bookmarkStart w:id="49" w:name="deep-tabular-models"/>
    <w:p>
      <w:pPr>
        <w:pStyle w:val="3"/>
      </w:pPr>
      <w:r>
        <w:t xml:space="preserve">Deep Tabular Models</w:t>
      </w:r>
    </w:p>
    <w:p>
      <w:pPr>
        <w:pStyle w:val="FirstParagraph"/>
      </w:pPr>
      <w:r>
        <w:t xml:space="preserve">Deep learning models (e.g., TabNet, FT-Transformer) offer differentiability but lack the appropriate inductive bias for small tabular datasets:</w:t>
      </w:r>
    </w:p>
    <w:p>
      <w:pPr>
        <w:numPr>
          <w:ilvl w:val="0"/>
          <w:numId w:val="1008"/>
        </w:numPr>
      </w:pPr>
      <w:r>
        <w:rPr>
          <w:b/>
          <w:bCs/>
        </w:rPr>
        <w:t xml:space="preserve">Data Hunger:</w:t>
      </w:r>
      <w:r>
        <w:t xml:space="preserve"> </w:t>
      </w:r>
      <w:r>
        <w:t xml:space="preserve">Neural networks typically require large datasets (</w:t>
      </w:r>
      <m:oMath>
        <m:r>
          <m:t>N</m:t>
        </m:r>
        <m:r>
          <m:rPr>
            <m:sty m:val="p"/>
          </m:rPr>
          <m:t>&gt;</m:t>
        </m:r>
        <m:sSup>
          <m:e>
            <m:r>
              <m:t>10</m:t>
            </m:r>
          </m:e>
          <m:sup>
            <m:r>
              <m:t>4</m:t>
            </m:r>
          </m:sup>
        </m:sSup>
      </m:oMath>
      <w:r>
        <w:t xml:space="preserve">) to converge to a generalizable solution. With</w:t>
      </w:r>
      <w:r>
        <w:t xml:space="preserve"> </w:t>
      </w:r>
      <m:oMath>
        <m:sSub>
          <m:e>
            <m:r>
              <m:t>n</m:t>
            </m:r>
          </m:e>
          <m:sub>
            <m:r>
              <m:t>S</m:t>
            </m:r>
          </m:sub>
        </m:sSub>
        <m:r>
          <m:rPr>
            <m:sty m:val="p"/>
          </m:rPr>
          <m:t>≈</m:t>
        </m:r>
        <m:r>
          <m:t>300</m:t>
        </m:r>
      </m:oMath>
      <w:r>
        <w:t xml:space="preserve">, deep models are prone to severe overfitting or convergence to local minima.</w:t>
      </w:r>
    </w:p>
    <w:p>
      <w:pPr>
        <w:numPr>
          <w:ilvl w:val="0"/>
          <w:numId w:val="1008"/>
        </w:numPr>
      </w:pPr>
      <w:r>
        <w:rPr>
          <w:b/>
          <w:bCs/>
        </w:rPr>
        <w:t xml:space="preserve">Rotational Invariance:</w:t>
      </w:r>
      <w:r>
        <w:t xml:space="preserve"> </w:t>
      </w:r>
      <w:r>
        <w:t xml:space="preserve">Standard MLPs are rotationally invariant, but tabular features are not rotationally interchangeable (e.g., rotating "Age" and "Creatinine" axes creates a nonsensical feature space). This mismatch in inductive bias makes them less sample-efficient than tree-based or prior-fitted methods.</w:t>
      </w:r>
    </w:p>
    <w:bookmarkEnd w:id="49"/>
    <w:bookmarkEnd w:id="50"/>
    <w:bookmarkStart w:id="51" w:name="subsec:tca-optimization"/>
    <w:p>
      <w:pPr>
        <w:pStyle w:val="2"/>
      </w:pPr>
      <w:r>
        <w:t xml:space="preserve">Transfer Component Analysis (TCA) Optimization Objective</w:t>
      </w:r>
    </w:p>
    <w:p>
      <w:pPr>
        <w:pStyle w:val="FirstParagraph"/>
      </w:pPr>
      <w:r>
        <w:t xml:space="preserve">To minimize the divergence term in Eq.</w:t>
      </w:r>
      <w:r>
        <w:t xml:space="preserve"> </w:t>
      </w:r>
      <w:hyperlink w:anchor="eq:ben-david">
        <w:r>
          <w:rPr>
            <w:rStyle w:val="af"/>
          </w:rPr>
          <w:t xml:space="preserve">[eq:ben-david]</w:t>
        </w:r>
      </w:hyperlink>
      <w:r>
        <w:t xml:space="preserve">, we employ Transfer Component Analysis (TCA). TCA seeks a feature map</w:t>
      </w:r>
      <w:r>
        <w:t xml:space="preserve"> </w:t>
      </w:r>
      <m:oMath>
        <m:r>
          <m:t>ϕ</m:t>
        </m:r>
        <m:r>
          <m:rPr>
            <m:sty m:val="p"/>
          </m:rPr>
          <m:t>:</m:t>
        </m:r>
        <m:r>
          <m:rPr>
            <m:scr m:val="script"/>
            <m:sty m:val="p"/>
          </m:rPr>
          <m:t>X</m:t>
        </m:r>
        <m:r>
          <m:rPr>
            <m:sty m:val="p"/>
          </m:rPr>
          <m:t>→</m:t>
        </m:r>
        <m:r>
          <m:rPr>
            <m:scr m:val="script"/>
            <m:sty m:val="p"/>
          </m:rPr>
          <m:t>H</m:t>
        </m:r>
      </m:oMath>
      <w:r>
        <w:t xml:space="preserve"> </w:t>
      </w:r>
      <w:r>
        <w:t xml:space="preserve">such that the Maximum Mean Discrepancy (MMD) between source and target distributions in the Reproducing Kernel Hilbert Space (RKHS) is minimized.</w:t>
      </w:r>
    </w:p>
    <w:p>
      <w:pPr>
        <w:pStyle w:val="a0"/>
      </w:pPr>
      <w:r>
        <w:t xml:space="preserve">The empirical MMD distance is defined as:</w:t>
      </w:r>
    </w:p>
    <w:p>
      <w:pPr>
        <w:pStyle w:val="a0"/>
      </w:pPr>
      <m:oMathPara>
        <m:oMathParaPr>
          <m:jc m:val="center"/>
        </m:oMathParaPr>
        <m:oMath>
          <m:r>
            <m:rPr>
              <m:nor/>
              <m:sty m:val="p"/>
            </m:rPr>
            <m:t>MMD</m:t>
          </m:r>
          <m:r>
            <m:rPr>
              <m:sty m:val="p"/>
            </m:rPr>
            <m:t>(</m:t>
          </m:r>
          <m:sSub>
            <m:e>
              <m:r>
                <m:t>P</m:t>
              </m:r>
            </m:e>
            <m:sub>
              <m:r>
                <m:t>S</m:t>
              </m:r>
            </m:sub>
          </m:sSub>
          <m:r>
            <m:rPr>
              <m:sty m:val="p"/>
            </m:rPr>
            <m:t>,</m:t>
          </m:r>
          <m:sSub>
            <m:e>
              <m:r>
                <m:t>P</m:t>
              </m:r>
            </m:e>
            <m:sub>
              <m:r>
                <m:t>T</m:t>
              </m:r>
            </m:sub>
          </m:sSub>
          <m:r>
            <m:rPr>
              <m:sty m:val="p"/>
            </m:rPr>
            <m:t>)</m:t>
          </m:r>
          <m:r>
            <m:rPr>
              <m:sty m:val="p"/>
            </m:rPr>
            <m:t>=</m:t>
          </m:r>
          <m:sSubSup>
            <m:e>
              <m:d>
                <m:dPr>
                  <m:begChr m:val="∥"/>
                  <m:sepChr m:val=""/>
                  <m:endChr m:val="∥"/>
                  <m:grow/>
                </m:dPr>
                <m:e>
                  <m:f>
                    <m:fPr>
                      <m:type m:val="bar"/>
                    </m:fPr>
                    <m:num>
                      <m:r>
                        <m:t>1</m:t>
                      </m:r>
                    </m:num>
                    <m:den>
                      <m:sSub>
                        <m:e>
                          <m:r>
                            <m:t>n</m:t>
                          </m:r>
                        </m:e>
                        <m:sub>
                          <m:r>
                            <m:t>S</m:t>
                          </m:r>
                        </m:sub>
                      </m:sSub>
                    </m:den>
                  </m:f>
                  <m:nary>
                    <m:naryPr>
                      <m:chr m:val="∑"/>
                      <m:limLoc m:val="undOvr"/>
                      <m:subHide m:val="off"/>
                      <m:supHide m:val="off"/>
                    </m:naryPr>
                    <m:sub>
                      <m:r>
                        <m:t>i</m:t>
                      </m:r>
                      <m:r>
                        <m:rPr>
                          <m:sty m:val="p"/>
                        </m:rPr>
                        <m:t>=</m:t>
                      </m:r>
                      <m:r>
                        <m:t>1</m:t>
                      </m:r>
                    </m:sub>
                    <m:sup>
                      <m:sSub>
                        <m:e>
                          <m:r>
                            <m:t>n</m:t>
                          </m:r>
                        </m:e>
                        <m:sub>
                          <m:r>
                            <m:t>S</m:t>
                          </m:r>
                        </m:sub>
                      </m:sSub>
                    </m:sup>
                    <m:e>
                      <m:r>
                        <m:t>ϕ</m:t>
                      </m:r>
                    </m:e>
                  </m:nary>
                  <m:r>
                    <m:rPr>
                      <m:sty m:val="p"/>
                    </m:rPr>
                    <m:t>(</m:t>
                  </m:r>
                  <m:sSubSup>
                    <m:e>
                      <m:r>
                        <m:t>x</m:t>
                      </m:r>
                    </m:e>
                    <m:sub>
                      <m:r>
                        <m:t>i</m:t>
                      </m:r>
                    </m:sub>
                    <m:sup>
                      <m:r>
                        <m:t>s</m:t>
                      </m:r>
                    </m:sup>
                  </m:sSubSup>
                  <m:r>
                    <m:rPr>
                      <m:sty m:val="p"/>
                    </m:rPr>
                    <m:t>)</m:t>
                  </m:r>
                  <m:r>
                    <m:rPr>
                      <m:sty m:val="p"/>
                    </m:rPr>
                    <m:t>−</m:t>
                  </m:r>
                  <m:f>
                    <m:fPr>
                      <m:type m:val="bar"/>
                    </m:fPr>
                    <m:num>
                      <m:r>
                        <m:t>1</m:t>
                      </m:r>
                    </m:num>
                    <m:den>
                      <m:r>
                        <m:t>T</m:t>
                      </m:r>
                      <m:r>
                        <m:t>s</m:t>
                      </m:r>
                      <m:r>
                        <m:t>i</m:t>
                      </m:r>
                      <m:r>
                        <m:t>z</m:t>
                      </m:r>
                      <m:r>
                        <m:t>e</m:t>
                      </m:r>
                    </m:den>
                  </m:f>
                  <m:nary>
                    <m:naryPr>
                      <m:chr m:val="∑"/>
                      <m:limLoc m:val="undOvr"/>
                      <m:subHide m:val="off"/>
                      <m:supHide m:val="off"/>
                    </m:naryPr>
                    <m:sub>
                      <m:r>
                        <m:t>j</m:t>
                      </m:r>
                      <m:r>
                        <m:rPr>
                          <m:sty m:val="p"/>
                        </m:rPr>
                        <m:t>=</m:t>
                      </m:r>
                      <m:r>
                        <m:t>1</m:t>
                      </m:r>
                    </m:sub>
                    <m:sup>
                      <m:r>
                        <m:t>T</m:t>
                      </m:r>
                      <m:r>
                        <m:t>s</m:t>
                      </m:r>
                      <m:r>
                        <m:t>i</m:t>
                      </m:r>
                      <m:r>
                        <m:t>z</m:t>
                      </m:r>
                      <m:r>
                        <m:t>e</m:t>
                      </m:r>
                    </m:sup>
                    <m:e>
                      <m:r>
                        <m:t>ϕ</m:t>
                      </m:r>
                    </m:e>
                  </m:nary>
                  <m:r>
                    <m:rPr>
                      <m:sty m:val="p"/>
                    </m:rPr>
                    <m:t>(</m:t>
                  </m:r>
                  <m:sSubSup>
                    <m:e>
                      <m:r>
                        <m:t>x</m:t>
                      </m:r>
                    </m:e>
                    <m:sub>
                      <m:r>
                        <m:t>j</m:t>
                      </m:r>
                    </m:sub>
                    <m:sup>
                      <m:r>
                        <m:t>t</m:t>
                      </m:r>
                    </m:sup>
                  </m:sSubSup>
                  <m:r>
                    <m:rPr>
                      <m:sty m:val="p"/>
                    </m:rPr>
                    <m:t>)</m:t>
                  </m:r>
                </m:e>
              </m:d>
            </m:e>
            <m:sub>
              <m:r>
                <m:rPr>
                  <m:scr m:val="script"/>
                  <m:sty m:val="p"/>
                </m:rPr>
                <m:t>H</m:t>
              </m:r>
            </m:sub>
            <m:sup>
              <m:r>
                <m:t>2</m:t>
              </m:r>
            </m:sup>
          </m:sSubSup>
        </m:oMath>
      </m:oMathPara>
    </w:p>
    <w:p>
      <w:pPr>
        <w:pStyle w:val="FirstParagraph"/>
      </w:pPr>
      <w:r>
        <w:t xml:space="preserve">TCA aims to learn a transformation matrix</w:t>
      </w:r>
      <w:r>
        <w:t xml:space="preserve"> </w:t>
      </w:r>
      <m:oMath>
        <m:r>
          <m:t>A</m:t>
        </m:r>
        <m:r>
          <m:rPr>
            <m:sty m:val="p"/>
          </m:rPr>
          <m:t>∈</m:t>
        </m:r>
        <m:sSup>
          <m:e>
            <m:r>
              <m:rPr>
                <m:scr m:val="double-struck"/>
                <m:sty m:val="p"/>
              </m:rPr>
              <m:t>R</m:t>
            </m:r>
          </m:e>
          <m:sup>
            <m:r>
              <m:rPr>
                <m:sty m:val="p"/>
              </m:rPr>
              <m:t>(</m:t>
            </m:r>
            <m:sSub>
              <m:e>
                <m:r>
                  <m:t>n</m:t>
                </m:r>
              </m:e>
              <m:sub>
                <m:r>
                  <m:t>S</m:t>
                </m:r>
              </m:sub>
            </m:sSub>
            <m:r>
              <m:rPr>
                <m:sty m:val="p"/>
              </m:rPr>
              <m:t>+</m:t>
            </m:r>
            <m:r>
              <m:t>T</m:t>
            </m:r>
            <m:r>
              <m:t>s</m:t>
            </m:r>
            <m:r>
              <m:t>i</m:t>
            </m:r>
            <m:r>
              <m:t>z</m:t>
            </m:r>
            <m:r>
              <m:t>e</m:t>
            </m:r>
            <m:r>
              <m:rPr>
                <m:sty m:val="p"/>
              </m:rPr>
              <m:t>)</m:t>
            </m:r>
            <m:r>
              <m:rPr>
                <m:sty m:val="p"/>
              </m:rPr>
              <m:t>×</m:t>
            </m:r>
            <m:r>
              <m:t>m</m:t>
            </m:r>
          </m:sup>
        </m:sSup>
      </m:oMath>
      <w:r>
        <w:t xml:space="preserve"> </w:t>
      </w:r>
      <w:r>
        <w:t xml:space="preserve">that reduces the data dimensionality to</w:t>
      </w:r>
      <w:r>
        <w:t xml:space="preserve"> </w:t>
      </w:r>
      <m:oMath>
        <m:r>
          <m:t>m</m:t>
        </m:r>
        <m:r>
          <m:rPr>
            <m:sty m:val="p"/>
          </m:rPr>
          <m:t>≪</m:t>
        </m:r>
        <m:r>
          <m:t>d</m:t>
        </m:r>
      </m:oMath>
      <w:r>
        <w:t xml:space="preserve"> </w:t>
      </w:r>
      <w:r>
        <w:t xml:space="preserve">while minimizing MMD. The optimization problem is formally:</w:t>
      </w:r>
    </w:p>
    <w:p>
      <w:pPr>
        <w:pStyle w:val="a0"/>
      </w:pPr>
      <w:r>
        <w:t xml:space="preserve">$$\begin{equation}
        \min_{A} \tr({A}^\top K M K A) + \mu \tr({A}^\top A) \,\text{s.t.}\, {A}^\top K H K A = I
    \end{equation}$$</w:t>
      </w:r>
    </w:p>
    <w:p>
      <w:pPr>
        <w:pStyle w:val="FirstParagraph"/>
      </w:pPr>
      <w:r>
        <w:t xml:space="preserve">where:</w:t>
      </w:r>
    </w:p>
    <w:p>
      <w:pPr>
        <w:numPr>
          <w:ilvl w:val="0"/>
          <w:numId w:val="1009"/>
        </w:numPr>
      </w:pPr>
      <m:oMath>
        <m:r>
          <m:t>K</m:t>
        </m:r>
        <m:r>
          <m:rPr>
            <m:sty m:val="p"/>
          </m:rPr>
          <m:t>∈</m:t>
        </m:r>
        <m:sSup>
          <m:e>
            <m:r>
              <m:rPr>
                <m:scr m:val="double-struck"/>
                <m:sty m:val="p"/>
              </m:rPr>
              <m:t>R</m:t>
            </m:r>
          </m:e>
          <m:sup>
            <m:r>
              <m:rPr>
                <m:sty m:val="p"/>
              </m:rPr>
              <m:t>(</m:t>
            </m:r>
            <m:sSub>
              <m:e>
                <m:r>
                  <m:t>n</m:t>
                </m:r>
              </m:e>
              <m:sub>
                <m:r>
                  <m:t>S</m:t>
                </m:r>
              </m:sub>
            </m:sSub>
            <m:r>
              <m:rPr>
                <m:sty m:val="p"/>
              </m:rPr>
              <m:t>+</m:t>
            </m:r>
            <m:r>
              <m:t>T</m:t>
            </m:r>
            <m:r>
              <m:t>s</m:t>
            </m:r>
            <m:r>
              <m:t>i</m:t>
            </m:r>
            <m:r>
              <m:t>z</m:t>
            </m:r>
            <m:r>
              <m:t>e</m:t>
            </m:r>
            <m:r>
              <m:rPr>
                <m:sty m:val="p"/>
              </m:rPr>
              <m:t>)</m:t>
            </m:r>
            <m:r>
              <m:rPr>
                <m:sty m:val="p"/>
              </m:rPr>
              <m:t>×</m:t>
            </m:r>
            <m:r>
              <m:rPr>
                <m:sty m:val="p"/>
              </m:rPr>
              <m:t>(</m:t>
            </m:r>
            <m:sSub>
              <m:e>
                <m:r>
                  <m:t>n</m:t>
                </m:r>
              </m:e>
              <m:sub>
                <m:r>
                  <m:t>S</m:t>
                </m:r>
              </m:sub>
            </m:sSub>
            <m:r>
              <m:rPr>
                <m:sty m:val="p"/>
              </m:rPr>
              <m:t>+</m:t>
            </m:r>
            <m:r>
              <m:t>T</m:t>
            </m:r>
            <m:r>
              <m:t>s</m:t>
            </m:r>
            <m:r>
              <m:t>i</m:t>
            </m:r>
            <m:r>
              <m:t>z</m:t>
            </m:r>
            <m:r>
              <m:t>e</m:t>
            </m:r>
            <m:r>
              <m:rPr>
                <m:sty m:val="p"/>
              </m:rPr>
              <m:t>)</m:t>
            </m:r>
          </m:sup>
        </m:sSup>
      </m:oMath>
      <w:r>
        <w:t xml:space="preserve"> </w:t>
      </w:r>
      <w:r>
        <w:t xml:space="preserve">is the kernel matrix computed on the union of source and target data (specifically, the RFE-selected features). We specifically employ a</w:t>
      </w:r>
      <w:r>
        <w:t xml:space="preserve"> </w:t>
      </w:r>
      <w:r>
        <w:rPr>
          <w:b/>
          <w:bCs/>
        </w:rPr>
        <w:t xml:space="preserve">Linear Kernel</w:t>
      </w:r>
      <w:r>
        <w:t xml:space="preserve"> </w:t>
      </w:r>
      <w:r>
        <w:t xml:space="preserve">on these features:</w:t>
      </w:r>
      <w:r>
        <w:t xml:space="preserve"> </w:t>
      </w:r>
      <m:oMath>
        <m:sSub>
          <m:e>
            <m:r>
              <m:t>K</m:t>
            </m:r>
          </m:e>
          <m:sub>
            <m:r>
              <m:t>i</m:t>
            </m:r>
            <m:r>
              <m:t>j</m:t>
            </m:r>
          </m:sub>
        </m:sSub>
        <m:r>
          <m:rPr>
            <m:sty m:val="p"/>
          </m:rPr>
          <m:t>=</m:t>
        </m:r>
        <m:r>
          <m:rPr>
            <m:sty m:val="p"/>
          </m:rPr>
          <m:t>⟨</m:t>
        </m:r>
        <m:sSub>
          <m:e>
            <m:r>
              <m:t>x</m:t>
            </m:r>
          </m:e>
          <m:sub>
            <m:r>
              <m:t>i</m:t>
            </m:r>
          </m:sub>
        </m:sSub>
        <m:r>
          <m:rPr>
            <m:sty m:val="p"/>
          </m:rPr>
          <m:t>,</m:t>
        </m:r>
        <m:sSub>
          <m:e>
            <m:r>
              <m:t>x</m:t>
            </m:r>
          </m:e>
          <m:sub>
            <m:r>
              <m:t>j</m:t>
            </m:r>
          </m:sub>
        </m:sSub>
        <m:r>
          <m:rPr>
            <m:sty m:val="p"/>
          </m:rPr>
          <m:t>⟩</m:t>
        </m:r>
      </m:oMath>
      <w:r>
        <w:t xml:space="preserve">. This is justified because the RFE process aims to select a set of features that are already more linearly separable or amenable to linear transformation. Using a linear kernel provides a robust and computationally efficient alignment without introducing complex hyperparameter tuning for RBF bandwidths.</w:t>
      </w:r>
    </w:p>
    <w:p>
      <w:pPr>
        <w:numPr>
          <w:ilvl w:val="0"/>
          <w:numId w:val="1009"/>
        </w:numPr>
      </w:pPr>
      <m:oMath>
        <m:r>
          <m:t>M</m:t>
        </m:r>
      </m:oMath>
      <w:r>
        <w:t xml:space="preserve"> </w:t>
      </w:r>
      <w:r>
        <w:t xml:space="preserve">is the MMD coefficient matrix, with elements</w:t>
      </w:r>
      <w:r>
        <w:t xml:space="preserve"> </w:t>
      </w:r>
      <m:oMath>
        <m:sSub>
          <m:e>
            <m:r>
              <m:t>M</m:t>
            </m:r>
          </m:e>
          <m:sub>
            <m:r>
              <m:t>i</m:t>
            </m:r>
            <m:r>
              <m:t>j</m:t>
            </m:r>
          </m:sub>
        </m:sSub>
        <m:r>
          <m:rPr>
            <m:sty m:val="p"/>
          </m:rPr>
          <m:t>=</m:t>
        </m:r>
        <m:r>
          <m:t>1</m:t>
        </m:r>
        <m:r>
          <m:rPr>
            <m:sty m:val="p"/>
          </m:rPr>
          <m:t>/</m:t>
        </m:r>
        <m:sSubSup>
          <m:e>
            <m:r>
              <m:t>n</m:t>
            </m:r>
          </m:e>
          <m:sub>
            <m:r>
              <m:t>S</m:t>
            </m:r>
          </m:sub>
          <m:sup>
            <m:r>
              <m:t>2</m:t>
            </m:r>
          </m:sup>
        </m:sSubSup>
      </m:oMath>
      <w:r>
        <w:t xml:space="preserve"> </w:t>
      </w:r>
      <w:r>
        <w:t xml:space="preserve">if</w:t>
      </w:r>
      <w:r>
        <w:t xml:space="preserve"> </w:t>
      </w:r>
      <m:oMath>
        <m:sSub>
          <m:e>
            <m:r>
              <m:t>x</m:t>
            </m:r>
          </m:e>
          <m:sub>
            <m:r>
              <m:t>i</m:t>
            </m:r>
          </m:sub>
        </m:sSub>
        <m:r>
          <m:rPr>
            <m:sty m:val="p"/>
          </m:rPr>
          <m:t>,</m:t>
        </m:r>
        <m:sSub>
          <m:e>
            <m:r>
              <m:t>x</m:t>
            </m:r>
          </m:e>
          <m:sub>
            <m:r>
              <m:t>j</m:t>
            </m:r>
          </m:sub>
        </m:sSub>
        <m:r>
          <m:rPr>
            <m:sty m:val="p"/>
          </m:rPr>
          <m:t>∈</m:t>
        </m:r>
        <m:r>
          <m:t>S</m:t>
        </m:r>
      </m:oMath>
      <w:r>
        <w:t xml:space="preserve">,</w:t>
      </w:r>
      <w:r>
        <w:t xml:space="preserve"> </w:t>
      </w:r>
      <m:oMath>
        <m:r>
          <m:t>1</m:t>
        </m:r>
        <m:r>
          <m:rPr>
            <m:sty m:val="p"/>
          </m:rPr>
          <m:t>/</m:t>
        </m:r>
        <m:r>
          <m:t>T</m:t>
        </m:r>
        <m:r>
          <m:t>s</m:t>
        </m:r>
        <m:r>
          <m:t>i</m:t>
        </m:r>
        <m:r>
          <m:t>z</m:t>
        </m:r>
        <m:sSup>
          <m:e>
            <m:r>
              <m:t>e</m:t>
            </m:r>
          </m:e>
          <m:sup>
            <m:r>
              <m:t>2</m:t>
            </m:r>
          </m:sup>
        </m:sSup>
      </m:oMath>
      <w:r>
        <w:t xml:space="preserve"> </w:t>
      </w:r>
      <w:r>
        <w:t xml:space="preserve">if</w:t>
      </w:r>
      <w:r>
        <w:t xml:space="preserve"> </w:t>
      </w:r>
      <m:oMath>
        <m:sSub>
          <m:e>
            <m:r>
              <m:t>x</m:t>
            </m:r>
          </m:e>
          <m:sub>
            <m:r>
              <m:t>i</m:t>
            </m:r>
          </m:sub>
        </m:sSub>
        <m:r>
          <m:rPr>
            <m:sty m:val="p"/>
          </m:rPr>
          <m:t>,</m:t>
        </m:r>
        <m:sSub>
          <m:e>
            <m:r>
              <m:t>x</m:t>
            </m:r>
          </m:e>
          <m:sub>
            <m:r>
              <m:t>j</m:t>
            </m:r>
          </m:sub>
        </m:sSub>
        <m:r>
          <m:rPr>
            <m:sty m:val="p"/>
          </m:rPr>
          <m:t>∈</m:t>
        </m:r>
        <m:r>
          <m:t>T</m:t>
        </m:r>
      </m:oMath>
      <w:r>
        <w:t xml:space="preserve">, and</w:t>
      </w:r>
      <w:r>
        <w:t xml:space="preserve"> </w:t>
      </w:r>
      <m:oMath>
        <m:r>
          <m:rPr>
            <m:sty m:val="p"/>
          </m:rPr>
          <m:t>−</m:t>
        </m:r>
        <m:r>
          <m:t>1</m:t>
        </m:r>
        <m:r>
          <m:rPr>
            <m:sty m:val="p"/>
          </m:rPr>
          <m:t>/</m:t>
        </m:r>
        <m:r>
          <m:rPr>
            <m:sty m:val="p"/>
          </m:rPr>
          <m:t>(</m:t>
        </m:r>
        <m:sSub>
          <m:e>
            <m:r>
              <m:t>n</m:t>
            </m:r>
          </m:e>
          <m:sub>
            <m:r>
              <m:t>S</m:t>
            </m:r>
          </m:sub>
        </m:sSub>
        <m:r>
          <m:t>T</m:t>
        </m:r>
        <m:r>
          <m:t>s</m:t>
        </m:r>
        <m:r>
          <m:t>i</m:t>
        </m:r>
        <m:r>
          <m:t>z</m:t>
        </m:r>
        <m:r>
          <m:t>e</m:t>
        </m:r>
        <m:r>
          <m:rPr>
            <m:sty m:val="p"/>
          </m:rPr>
          <m:t>)</m:t>
        </m:r>
      </m:oMath>
      <w:r>
        <w:t xml:space="preserve"> </w:t>
      </w:r>
      <w:r>
        <w:t xml:space="preserve">otherwise.</w:t>
      </w:r>
    </w:p>
    <w:p>
      <w:pPr>
        <w:numPr>
          <w:ilvl w:val="0"/>
          <w:numId w:val="1009"/>
        </w:numPr>
      </w:pPr>
      <m:oMath>
        <m:r>
          <m:t>H</m:t>
        </m:r>
        <m:r>
          <m:rPr>
            <m:sty m:val="p"/>
          </m:rPr>
          <m:t>=</m:t>
        </m:r>
        <m:r>
          <m:t>I</m:t>
        </m:r>
        <m:r>
          <m:rPr>
            <m:sty m:val="p"/>
          </m:rPr>
          <m:t>−</m:t>
        </m:r>
        <m:f>
          <m:fPr>
            <m:type m:val="bar"/>
          </m:fPr>
          <m:num>
            <m:r>
              <m:t>1</m:t>
            </m:r>
          </m:num>
          <m:den>
            <m:sSub>
              <m:e>
                <m:r>
                  <m:t>n</m:t>
                </m:r>
              </m:e>
              <m:sub>
                <m:r>
                  <m:t>S</m:t>
                </m:r>
              </m:sub>
            </m:sSub>
            <m:r>
              <m:rPr>
                <m:sty m:val="p"/>
              </m:rPr>
              <m:t>+</m:t>
            </m:r>
            <m:r>
              <m:t>T</m:t>
            </m:r>
            <m:r>
              <m:t>s</m:t>
            </m:r>
            <m:r>
              <m:t>i</m:t>
            </m:r>
            <m:r>
              <m:t>z</m:t>
            </m:r>
            <m:r>
              <m:t>e</m:t>
            </m:r>
          </m:den>
        </m:f>
        <m:r>
          <m:rPr>
            <m:sty m:val="b"/>
          </m:rPr>
          <m:t>1</m:t>
        </m:r>
        <m:sSup>
          <m:e>
            <m:r>
              <m:rPr>
                <m:sty m:val="b"/>
              </m:rPr>
              <m:t>1</m:t>
            </m:r>
          </m:e>
          <m:sup>
            <m:r>
              <m:rPr>
                <m:sty m:val="p"/>
              </m:rPr>
              <m:t>⊤</m:t>
            </m:r>
          </m:sup>
        </m:sSup>
      </m:oMath>
      <w:r>
        <w:t xml:space="preserve"> </w:t>
      </w:r>
      <w:r>
        <w:t xml:space="preserve">is the centering matrix.</w:t>
      </w:r>
    </w:p>
    <w:p>
      <w:pPr>
        <w:numPr>
          <w:ilvl w:val="0"/>
          <w:numId w:val="1009"/>
        </w:numPr>
      </w:pPr>
      <w:r>
        <w:t xml:space="preserve">The constraint</w:t>
      </w:r>
      <w:r>
        <w:t xml:space="preserve"> </w:t>
      </w:r>
      <m:oMath>
        <m:sSup>
          <m:e>
            <m:r>
              <m:t>A</m:t>
            </m:r>
          </m:e>
          <m:sup>
            <m:r>
              <m:rPr>
                <m:sty m:val="p"/>
              </m:rPr>
              <m:t>⊤</m:t>
            </m:r>
          </m:sup>
        </m:sSup>
        <m:r>
          <m:t>K</m:t>
        </m:r>
        <m:r>
          <m:t>H</m:t>
        </m:r>
        <m:r>
          <m:t>K</m:t>
        </m:r>
        <m:r>
          <m:t>A</m:t>
        </m:r>
        <m:r>
          <m:rPr>
            <m:sty m:val="p"/>
          </m:rPr>
          <m:t>=</m:t>
        </m:r>
        <m:r>
          <m:t>I</m:t>
        </m:r>
      </m:oMath>
      <w:r>
        <w:t xml:space="preserve"> </w:t>
      </w:r>
      <w:r>
        <w:t xml:space="preserve">ensures the variance of the projected data is preserved (maximizing information).</w:t>
      </w:r>
    </w:p>
    <w:bookmarkEnd w:id="51"/>
    <w:bookmarkStart w:id="56" w:name="subsec:panda-formalization"/>
    <w:p>
      <w:pPr>
        <w:pStyle w:val="2"/>
      </w:pPr>
      <w:r>
        <w:t xml:space="preserve">The PANDA Framework: A Unified Formalization</w:t>
      </w:r>
    </w:p>
    <w:p>
      <w:pPr>
        <w:pStyle w:val="FirstParagraph"/>
      </w:pPr>
      <w:r>
        <w:t xml:space="preserve">We formalize our proposed</w:t>
      </w:r>
      <w:r>
        <w:t xml:space="preserve"> </w:t>
      </w:r>
      <w:r>
        <w:rPr>
          <w:b/>
          <w:bCs/>
        </w:rPr>
        <w:t xml:space="preserve">PANDA</w:t>
      </w:r>
      <w:r>
        <w:t xml:space="preserve"> </w:t>
      </w:r>
      <w:r>
        <w:t xml:space="preserve">(Pretrained Adaptation Network with Domain Alignment) framework as a composite function</w:t>
      </w:r>
      <w:r>
        <w:t xml:space="preserve"> </w:t>
      </w:r>
      <m:oMath>
        <m:sSub>
          <m:e>
            <m:r>
              <m:t>f</m:t>
            </m:r>
          </m:e>
          <m:sub>
            <m:r>
              <m:rPr>
                <m:nor/>
                <m:sty m:val="p"/>
              </m:rPr>
              <m:t>PANDA</m:t>
            </m:r>
          </m:sub>
        </m:sSub>
        <m:r>
          <m:rPr>
            <m:sty m:val="p"/>
          </m:rPr>
          <m:t>:</m:t>
        </m:r>
        <m:r>
          <m:rPr>
            <m:scr m:val="script"/>
            <m:sty m:val="p"/>
          </m:rPr>
          <m:t>X</m:t>
        </m:r>
        <m:r>
          <m:rPr>
            <m:sty m:val="p"/>
          </m:rPr>
          <m:t>→</m:t>
        </m:r>
        <m:r>
          <m:rPr>
            <m:scr m:val="script"/>
            <m:sty m:val="p"/>
          </m:rPr>
          <m:t>Y</m:t>
        </m:r>
      </m:oMath>
      <w:r>
        <w:t xml:space="preserve">. The inference process for a target sample</w:t>
      </w:r>
      <w:r>
        <w:t xml:space="preserve"> </w:t>
      </w:r>
      <m:oMath>
        <m:r>
          <m:t>x</m:t>
        </m:r>
      </m:oMath>
      <w:r>
        <w:t xml:space="preserve"> </w:t>
      </w:r>
      <w:r>
        <w:t xml:space="preserve">is defined as:</w:t>
      </w:r>
    </w:p>
    <w:p>
      <w:pPr>
        <w:pStyle w:val="a0"/>
      </w:pPr>
      <m:oMathPara>
        <m:oMathParaPr>
          <m:jc m:val="center"/>
        </m:oMathParaPr>
        <m:oMath>
          <m:sSub>
            <m:e>
              <m:r>
                <m:t>f</m:t>
              </m:r>
            </m:e>
            <m:sub>
              <m:r>
                <m:rPr>
                  <m:nor/>
                  <m:sty m:val="p"/>
                </m:rPr>
                <m:t>PANDA</m:t>
              </m:r>
            </m:sub>
          </m:sSub>
          <m:r>
            <m:rPr>
              <m:sty m:val="p"/>
            </m:rPr>
            <m:t>(</m:t>
          </m:r>
          <m:r>
            <m:t>x</m:t>
          </m:r>
          <m:r>
            <m:rPr>
              <m:sty m:val="p"/>
            </m:rPr>
            <m:t>)</m:t>
          </m:r>
          <m:r>
            <m:rPr>
              <m:sty m:val="p"/>
            </m:rPr>
            <m:t>=</m:t>
          </m:r>
          <m:r>
            <m:t>h</m:t>
          </m:r>
          <m:r>
            <m:rPr>
              <m:sty m:val="p"/>
            </m:rPr>
            <m:t>∘</m:t>
          </m:r>
          <m:r>
            <m:rPr>
              <m:sty m:val="p"/>
            </m:rPr>
            <m:t>Φ</m:t>
          </m:r>
          <m:r>
            <m:rPr>
              <m:sty m:val="p"/>
            </m:rPr>
            <m:t>∘</m:t>
          </m:r>
          <m:sSub>
            <m:e>
              <m:r>
                <m:t>π</m:t>
              </m:r>
            </m:e>
            <m:sub>
              <m:r>
                <m:rPr>
                  <m:sty m:val="p"/>
                </m:rPr>
                <m:t>∩</m:t>
              </m:r>
            </m:sub>
          </m:sSub>
          <m:r>
            <m:rPr>
              <m:sty m:val="p"/>
            </m:rPr>
            <m:t>∘</m:t>
          </m:r>
          <m:r>
            <m:rPr>
              <m:sty m:val="p"/>
            </m:rPr>
            <m:t>R</m:t>
          </m:r>
          <m:r>
            <m:rPr>
              <m:sty m:val="p"/>
            </m:rPr>
            <m:t>F</m:t>
          </m:r>
          <m:r>
            <m:rPr>
              <m:sty m:val="p"/>
            </m:rPr>
            <m:t>E</m:t>
          </m:r>
          <m:r>
            <m:rPr>
              <m:sty m:val="p"/>
            </m:rPr>
            <m:t>(</m:t>
          </m:r>
          <m:r>
            <m:t>x</m:t>
          </m:r>
          <m:r>
            <m:rPr>
              <m:sty m:val="p"/>
            </m:rPr>
            <m:t>)</m:t>
          </m:r>
          <m:r>
            <m:rPr>
              <m:sty m:val="p"/>
            </m:rPr>
            <m:t>,</m:t>
          </m:r>
        </m:oMath>
      </m:oMathPara>
    </w:p>
    <w:p>
      <w:pPr>
        <w:pStyle w:val="FirstParagraph"/>
      </w:pPr>
      <w:r>
        <w:t xml:space="preserve">where</w:t>
      </w:r>
      <w:r>
        <w:t xml:space="preserve"> </w:t>
      </w:r>
      <m:oMath>
        <m:r>
          <m:rPr>
            <m:sty m:val="p"/>
          </m:rPr>
          <m:t>R</m:t>
        </m:r>
        <m:r>
          <m:rPr>
            <m:sty m:val="p"/>
          </m:rPr>
          <m:t>F</m:t>
        </m:r>
        <m:r>
          <m:rPr>
            <m:sty m:val="p"/>
          </m:rPr>
          <m:t>E</m:t>
        </m:r>
      </m:oMath>
      <w:r>
        <w:t xml:space="preserve"> </w:t>
      </w:r>
      <w:r>
        <w:t xml:space="preserve">selects the discriminative feature subset</w:t>
      </w:r>
      <w:r>
        <w:t xml:space="preserve"> </w:t>
      </w:r>
      <m:oMath>
        <m:sSup>
          <m:e>
            <m:r>
              <m:t>F</m:t>
            </m:r>
          </m:e>
          <m:sup>
            <m:r>
              <m:rPr>
                <m:sty m:val="p"/>
              </m:rPr>
              <m:t>*</m:t>
            </m:r>
          </m:sup>
        </m:sSup>
      </m:oMath>
      <w:r>
        <w:t xml:space="preserve">, and</w:t>
      </w:r>
      <w:r>
        <w:t xml:space="preserve"> </w:t>
      </w:r>
      <m:oMath>
        <m:sSub>
          <m:e>
            <m:r>
              <m:t>π</m:t>
            </m:r>
          </m:e>
          <m:sub>
            <m:r>
              <m:rPr>
                <m:sty m:val="p"/>
              </m:rPr>
              <m:t>∩</m:t>
            </m:r>
          </m:sub>
        </m:sSub>
      </m:oMath>
      <w:r>
        <w:t xml:space="preserve"> </w:t>
      </w:r>
      <w:r>
        <w:t xml:space="preserve">enforces the schema intersection with the target domain (Feature Alignment).</w:t>
      </w:r>
    </w:p>
    <w:p>
      <w:pPr>
        <w:pStyle w:val="a0"/>
      </w:pPr>
      <w:r>
        <w:t xml:space="preserve">This composition involves distinct stages, grounded in the optimization of the feature subspace prior to alignment:</w:t>
      </w:r>
    </w:p>
    <w:bookmarkStart w:id="52" w:name="subsubsec:rfe-formalization"/>
    <w:p>
      <w:pPr>
        <w:pStyle w:val="3"/>
      </w:pPr>
      <w:r>
        <w:t xml:space="preserve">Stage 1: Recursive Feature Elimination (RFE) with TabPFN</w:t>
      </w:r>
    </w:p>
    <w:p>
      <w:pPr>
        <w:pStyle w:val="FirstParagraph"/>
      </w:pPr>
      <w:r>
        <w:t xml:space="preserve">Directly applying domain adaptation on high-dimensional, noisy feature spaces often leads to negative transfer. We employ Recursive Feature Elimination (RFE) to determine the optimal subspace</w:t>
      </w:r>
      <w:r>
        <w:t xml:space="preserve"> </w:t>
      </w:r>
      <m:oMath>
        <m:sSup>
          <m:e>
            <m:r>
              <m:t>F</m:t>
            </m:r>
          </m:e>
          <m:sup>
            <m:r>
              <m:rPr>
                <m:sty m:val="p"/>
              </m:rPr>
              <m:t>*</m:t>
            </m:r>
          </m:sup>
        </m:sSup>
        <m:r>
          <m:rPr>
            <m:sty m:val="p"/>
          </m:rPr>
          <m:t>⊆</m:t>
        </m:r>
        <m:sSub>
          <m:e>
            <m:r>
              <m:t>F</m:t>
            </m:r>
          </m:e>
          <m:sub>
            <m:r>
              <m:rPr>
                <m:sty m:val="p"/>
              </m:rPr>
              <m:t>∩</m:t>
            </m:r>
          </m:sub>
        </m:sSub>
      </m:oMath>
      <w:r>
        <w:t xml:space="preserve">.</w:t>
      </w:r>
    </w:p>
    <w:p>
      <w:pPr>
        <w:pStyle w:val="a0"/>
      </w:pPr>
      <w:r>
        <w:t xml:space="preserve">Let</w:t>
      </w:r>
      <w:r>
        <w:t xml:space="preserve"> </w:t>
      </w:r>
      <m:oMath>
        <m:sSup>
          <m:e>
            <m:r>
              <m:t>F</m:t>
            </m:r>
          </m:e>
          <m:sup>
            <m:r>
              <m:rPr>
                <m:sty m:val="p"/>
              </m:rPr>
              <m:t>(</m:t>
            </m:r>
            <m:r>
              <m:t>0</m:t>
            </m:r>
            <m:r>
              <m:rPr>
                <m:sty m:val="p"/>
              </m:rPr>
              <m:t>)</m:t>
            </m:r>
          </m:sup>
        </m:sSup>
        <m:r>
          <m:rPr>
            <m:sty m:val="p"/>
          </m:rPr>
          <m:t>=</m:t>
        </m:r>
        <m:sSub>
          <m:e>
            <m:r>
              <m:t>F</m:t>
            </m:r>
          </m:e>
          <m:sub>
            <m:r>
              <m:rPr>
                <m:sty m:val="p"/>
              </m:rPr>
              <m:t>∩</m:t>
            </m:r>
          </m:sub>
        </m:sSub>
      </m:oMath>
      <w:r>
        <w:t xml:space="preserve"> </w:t>
      </w:r>
      <w:r>
        <w:t xml:space="preserve">be the initial set of shared features. The RFE process generates a sequence of feature subsets</w:t>
      </w:r>
      <w:r>
        <w:t xml:space="preserve"> </w:t>
      </w:r>
      <m:oMath>
        <m:sSup>
          <m:e>
            <m:r>
              <m:t>F</m:t>
            </m:r>
          </m:e>
          <m:sup>
            <m:r>
              <m:rPr>
                <m:sty m:val="p"/>
              </m:rPr>
              <m:t>(</m:t>
            </m:r>
            <m:r>
              <m:t>0</m:t>
            </m:r>
            <m:r>
              <m:rPr>
                <m:sty m:val="p"/>
              </m:rPr>
              <m:t>)</m:t>
            </m:r>
          </m:sup>
        </m:sSup>
        <m:r>
          <m:rPr>
            <m:sty m:val="p"/>
          </m:rPr>
          <m:t>⊃</m:t>
        </m:r>
        <m:sSup>
          <m:e>
            <m:r>
              <m:t>F</m:t>
            </m:r>
          </m:e>
          <m:sup>
            <m:r>
              <m:rPr>
                <m:sty m:val="p"/>
              </m:rPr>
              <m:t>(</m:t>
            </m:r>
            <m:r>
              <m:t>1</m:t>
            </m:r>
            <m:r>
              <m:rPr>
                <m:sty m:val="p"/>
              </m:rPr>
              <m:t>)</m:t>
            </m:r>
          </m:sup>
        </m:sSup>
        <m:r>
          <m:rPr>
            <m:sty m:val="p"/>
          </m:rPr>
          <m:t>⊃</m:t>
        </m:r>
        <m:r>
          <m:rPr>
            <m:sty m:val="p"/>
          </m:rPr>
          <m:t>…</m:t>
        </m:r>
        <m:r>
          <m:rPr>
            <m:sty m:val="p"/>
          </m:rPr>
          <m:t>⊃</m:t>
        </m:r>
        <m:sSup>
          <m:e>
            <m:r>
              <m:t>F</m:t>
            </m:r>
          </m:e>
          <m:sup>
            <m:r>
              <m:rPr>
                <m:sty m:val="p"/>
              </m:rPr>
              <m:t>(</m:t>
            </m:r>
            <m:r>
              <m:t>d</m:t>
            </m:r>
            <m:r>
              <m:rPr>
                <m:sty m:val="p"/>
              </m:rPr>
              <m:t>−</m:t>
            </m:r>
            <m:sSub>
              <m:e>
                <m:r>
                  <m:t>d</m:t>
                </m:r>
              </m:e>
              <m:sub>
                <m:r>
                  <m:rPr>
                    <m:nor/>
                    <m:sty m:val="p"/>
                  </m:rPr>
                  <m:t>RFE</m:t>
                </m:r>
              </m:sub>
            </m:sSub>
            <m:r>
              <m:rPr>
                <m:sty m:val="p"/>
              </m:rPr>
              <m:t>)</m:t>
            </m:r>
          </m:sup>
        </m:sSup>
      </m:oMath>
      <w:r>
        <w:t xml:space="preserve">, where</w:t>
      </w:r>
      <w:r>
        <w:t xml:space="preserve"> </w:t>
      </w:r>
      <m:oMath>
        <m:sSub>
          <m:e>
            <m:r>
              <m:t>d</m:t>
            </m:r>
          </m:e>
          <m:sub>
            <m:r>
              <m:rPr>
                <m:nor/>
                <m:sty m:val="p"/>
              </m:rPr>
              <m:t>RFE</m:t>
            </m:r>
          </m:sub>
        </m:sSub>
      </m:oMath>
      <w:r>
        <w:t xml:space="preserve"> </w:t>
      </w:r>
      <w:r>
        <w:t xml:space="preserve">is the target dimensionality. At each iteration</w:t>
      </w:r>
      <w:r>
        <w:t xml:space="preserve"> </w:t>
      </w:r>
      <m:oMath>
        <m:r>
          <m:t>t</m:t>
        </m:r>
      </m:oMath>
      <w:r>
        <w:t xml:space="preserve">:</w:t>
      </w:r>
    </w:p>
    <w:p>
      <w:pPr>
        <w:numPr>
          <w:ilvl w:val="0"/>
          <w:numId w:val="1010"/>
        </w:numPr>
      </w:pPr>
      <w:r>
        <w:rPr>
          <w:b/>
          <w:bCs/>
        </w:rPr>
        <w:t xml:space="preserve">Model Fitting:</w:t>
      </w:r>
      <w:r>
        <w:t xml:space="preserve"> </w:t>
      </w:r>
      <w:r>
        <w:t xml:space="preserve">We define the TabPFN posterior predictive distribution conditioned on the current subset</w:t>
      </w:r>
      <w:r>
        <w:t xml:space="preserve"> </w:t>
      </w:r>
      <m:oMath>
        <m:sSub>
          <m:e>
            <m:r>
              <m:t>F</m:t>
            </m:r>
          </m:e>
          <m:sub>
            <m:r>
              <m:t>t</m:t>
            </m:r>
          </m:sub>
        </m:sSub>
      </m:oMath>
      <w:r>
        <w:t xml:space="preserve"> </w:t>
      </w:r>
      <w:r>
        <w:t xml:space="preserve">using the source data</w:t>
      </w:r>
      <w:r>
        <w:t xml:space="preserve"> </w:t>
      </w:r>
      <m:oMath>
        <m:r>
          <m:t>S</m:t>
        </m:r>
      </m:oMath>
      <w:r>
        <w:t xml:space="preserve">.</w:t>
      </w:r>
    </w:p>
    <w:p>
      <w:pPr>
        <w:numPr>
          <w:ilvl w:val="0"/>
          <w:numId w:val="1010"/>
        </w:numPr>
      </w:pPr>
      <w:r>
        <w:rPr>
          <w:b/>
          <w:bCs/>
        </w:rPr>
        <w:t xml:space="preserve">Importance Estimation (</w:t>
      </w:r>
      <m:oMath>
        <m:sSub>
          <m:e>
            <m:r>
              <m:t>I</m:t>
            </m:r>
          </m:e>
          <m:sub>
            <m:r>
              <m:rPr>
                <m:nor/>
                <m:sty m:val="p"/>
              </m:rPr>
              <m:t>RFE</m:t>
            </m:r>
          </m:sub>
        </m:sSub>
      </m:oMath>
      <w:r>
        <w:rPr>
          <w:b/>
          <w:bCs/>
        </w:rPr>
        <w:t xml:space="preserve">):</w:t>
      </w:r>
      <w:r>
        <w:t xml:space="preserve"> </w:t>
      </w:r>
      <w:r>
        <w:t xml:space="preserve">Unlike linear models, TabPFN is a non-parametric meta-learned model. We approximate feature importance using</w:t>
      </w:r>
      <w:r>
        <w:t xml:space="preserve"> </w:t>
      </w:r>
      <w:r>
        <w:rPr>
          <w:b/>
          <w:bCs/>
        </w:rPr>
        <w:t xml:space="preserve">Permutation Importance</w:t>
      </w:r>
      <w:r>
        <w:t xml:space="preserve">. For each feature</w:t>
      </w:r>
      <w:r>
        <w:t xml:space="preserve"> </w:t>
      </w:r>
      <m:oMath>
        <m:sSub>
          <m:e>
            <m:r>
              <m:t>x</m:t>
            </m:r>
          </m:e>
          <m:sub>
            <m:r>
              <m:t>j</m:t>
            </m:r>
          </m:sub>
        </m:sSub>
        <m:r>
          <m:rPr>
            <m:sty m:val="p"/>
          </m:rPr>
          <m:t>∈</m:t>
        </m:r>
        <m:sSub>
          <m:e>
            <m:r>
              <m:t>F</m:t>
            </m:r>
          </m:e>
          <m:sub>
            <m:r>
              <m:t>t</m:t>
            </m:r>
          </m:sub>
        </m:sSub>
      </m:oMath>
      <w:r>
        <w:t xml:space="preserve">, we compute the degradation in the metric when feature</w:t>
      </w:r>
      <w:r>
        <w:t xml:space="preserve"> </w:t>
      </w:r>
      <m:oMath>
        <m:sSub>
          <m:e>
            <m:r>
              <m:t>x</m:t>
            </m:r>
          </m:e>
          <m:sub>
            <m:r>
              <m:t>j</m:t>
            </m:r>
          </m:sub>
        </m:sSub>
      </m:oMath>
      <w:r>
        <w:t xml:space="preserve"> </w:t>
      </w:r>
      <w:r>
        <w:t xml:space="preserve">is randomly permuted in the validation set:</w:t>
      </w:r>
    </w:p>
    <w:p>
      <w:pPr>
        <w:pStyle w:val="a0"/>
      </w:pPr>
      <m:oMathPara>
        <m:oMathParaPr>
          <m:jc m:val="center"/>
        </m:oMathParaPr>
        <m:oMath>
          <m:sSub>
            <m:e>
              <m:r>
                <m:t>I</m:t>
              </m:r>
            </m:e>
            <m:sub>
              <m:r>
                <m:rPr>
                  <m:nor/>
                  <m:sty m:val="p"/>
                </m:rPr>
                <m:t>RFE</m:t>
              </m:r>
            </m:sub>
          </m:sSub>
          <m:r>
            <m:rPr>
              <m:sty m:val="p"/>
            </m:rPr>
            <m:t>(</m:t>
          </m:r>
          <m:sSub>
            <m:e>
              <m:r>
                <m:t>x</m:t>
              </m:r>
            </m:e>
            <m:sub>
              <m:r>
                <m:t>j</m:t>
              </m:r>
            </m:sub>
          </m:sSub>
          <m:r>
            <m:rPr>
              <m:sty m:val="p"/>
            </m:rPr>
            <m:t>;</m:t>
          </m:r>
          <m:sSub>
            <m:e>
              <m:r>
                <m:t>F</m:t>
              </m:r>
            </m:e>
            <m:sub>
              <m:r>
                <m:t>t</m:t>
              </m:r>
            </m:sub>
          </m:sSub>
          <m:r>
            <m:rPr>
              <m:sty m:val="p"/>
            </m:rPr>
            <m:t>)</m:t>
          </m:r>
          <m:r>
            <m:rPr>
              <m:sty m:val="p"/>
            </m:rPr>
            <m:t>=</m:t>
          </m:r>
          <m:sSub>
            <m:e>
              <m:r>
                <m:t>ℓ</m:t>
              </m:r>
            </m:e>
            <m:sub>
              <m:r>
                <m:t>A</m:t>
              </m:r>
              <m:r>
                <m:t>U</m:t>
              </m:r>
              <m:r>
                <m:t>C</m:t>
              </m:r>
            </m:sub>
          </m:sSub>
          <m:r>
            <m:rPr>
              <m:sty m:val="p"/>
            </m:rPr>
            <m:t>(</m:t>
          </m:r>
          <m:r>
            <m:t>h</m:t>
          </m:r>
          <m:r>
            <m:t>s</m:t>
          </m:r>
          <m:r>
            <m:t>u</m:t>
          </m:r>
          <m:r>
            <m:t>b</m:t>
          </m:r>
          <m:r>
            <m:t>s</m:t>
          </m:r>
          <m:r>
            <m:t>e</m:t>
          </m:r>
          <m:r>
            <m:t>t</m:t>
          </m:r>
          <m:r>
            <m:rPr>
              <m:sty m:val="p"/>
            </m:rPr>
            <m:t>,</m:t>
          </m:r>
          <m:r>
            <m:t>S</m:t>
          </m:r>
          <m:r>
            <m:rPr>
              <m:sty m:val="p"/>
            </m:rPr>
            <m:t>)</m:t>
          </m:r>
          <m:r>
            <m:rPr>
              <m:sty m:val="p"/>
            </m:rPr>
            <m:t>−</m:t>
          </m:r>
          <m:sSub>
            <m:e>
              <m:r>
                <m:t>ℓ</m:t>
              </m:r>
            </m:e>
            <m:sub>
              <m:r>
                <m:t>A</m:t>
              </m:r>
              <m:r>
                <m:t>U</m:t>
              </m:r>
              <m:r>
                <m:t>C</m:t>
              </m:r>
            </m:sub>
          </m:sSub>
          <m:r>
            <m:rPr>
              <m:sty m:val="p"/>
            </m:rPr>
            <m:t>(</m:t>
          </m:r>
          <m:r>
            <m:t>h</m:t>
          </m:r>
          <m:r>
            <m:t>s</m:t>
          </m:r>
          <m:r>
            <m:t>u</m:t>
          </m:r>
          <m:r>
            <m:t>b</m:t>
          </m:r>
          <m:r>
            <m:t>s</m:t>
          </m:r>
          <m:r>
            <m:t>e</m:t>
          </m:r>
          <m:r>
            <m:t>t</m:t>
          </m:r>
          <m:r>
            <m:rPr>
              <m:sty m:val="p"/>
            </m:rPr>
            <m:t>,</m:t>
          </m:r>
          <m:sSup>
            <m:e>
              <m:r>
                <m:t>S</m:t>
              </m:r>
            </m:e>
            <m:sup>
              <m:r>
                <m:rPr>
                  <m:nor/>
                  <m:sty m:val="p"/>
                </m:rPr>
                <m:t>perm</m:t>
              </m:r>
              <m:r>
                <m:rPr>
                  <m:sty m:val="p"/>
                </m:rPr>
                <m:t>(</m:t>
              </m:r>
              <m:r>
                <m:t>j</m:t>
              </m:r>
              <m:r>
                <m:rPr>
                  <m:sty m:val="p"/>
                </m:rPr>
                <m:t>)</m:t>
              </m:r>
            </m:sup>
          </m:sSup>
          <m:r>
            <m:rPr>
              <m:sty m:val="p"/>
            </m:rPr>
            <m:t>)</m:t>
          </m:r>
        </m:oMath>
      </m:oMathPara>
    </w:p>
    <w:p>
      <w:pPr>
        <w:numPr>
          <w:ilvl w:val="0"/>
          <w:numId w:val="1010"/>
        </w:numPr>
      </w:pPr>
      <w:r>
        <w:rPr>
          <w:b/>
          <w:bCs/>
        </w:rPr>
        <w:t xml:space="preserve">Elimination:</w:t>
      </w:r>
      <w:r>
        <w:t xml:space="preserve"> </w:t>
      </w:r>
      <w:r>
        <w:t xml:space="preserve">We identify and remove the feature with the minimal contribution:</w:t>
      </w:r>
    </w:p>
    <w:p>
      <w:pPr>
        <w:pStyle w:val="a0"/>
      </w:pPr>
      <m:oMathPara>
        <m:oMathParaPr>
          <m:jc m:val="center"/>
        </m:oMathParaPr>
        <m:oMath>
          <m:sSub>
            <m:e>
              <m:r>
                <m:t>j</m:t>
              </m:r>
            </m:e>
            <m:sub>
              <m:r>
                <m:rPr>
                  <m:sty m:val="p"/>
                </m:rPr>
                <m:t>min</m:t>
              </m:r>
            </m:sub>
          </m:sSub>
          <m:r>
            <m:rPr>
              <m:sty m:val="p"/>
            </m:rPr>
            <m:t>=</m:t>
          </m:r>
          <m:sSub>
            <m:e>
              <m:r>
                <m:rPr>
                  <m:sty m:val="p"/>
                </m:rPr>
                <m:t>argmin</m:t>
              </m:r>
            </m:e>
            <m:sub>
              <m:sSub>
                <m:e>
                  <m:r>
                    <m:t>x</m:t>
                  </m:r>
                </m:e>
                <m:sub>
                  <m:r>
                    <m:t>j</m:t>
                  </m:r>
                </m:sub>
              </m:sSub>
              <m:r>
                <m:rPr>
                  <m:sty m:val="p"/>
                </m:rPr>
                <m:t>∈</m:t>
              </m:r>
              <m:sSub>
                <m:e>
                  <m:r>
                    <m:t>F</m:t>
                  </m:r>
                </m:e>
                <m:sub>
                  <m:r>
                    <m:t>t</m:t>
                  </m:r>
                </m:sub>
              </m:sSub>
            </m:sub>
          </m:sSub>
          <m:sSub>
            <m:e>
              <m:r>
                <m:t>I</m:t>
              </m:r>
            </m:e>
            <m:sub>
              <m:r>
                <m:rPr>
                  <m:nor/>
                  <m:sty m:val="p"/>
                </m:rPr>
                <m:t>RFE</m:t>
              </m:r>
            </m:sub>
          </m:sSub>
          <m:r>
            <m:rPr>
              <m:sty m:val="p"/>
            </m:rPr>
            <m:t>(</m:t>
          </m:r>
          <m:sSub>
            <m:e>
              <m:r>
                <m:t>x</m:t>
              </m:r>
            </m:e>
            <m:sub>
              <m:r>
                <m:t>j</m:t>
              </m:r>
            </m:sub>
          </m:sSub>
          <m:r>
            <m:rPr>
              <m:sty m:val="p"/>
            </m:rPr>
            <m:t>;</m:t>
          </m:r>
          <m:sSub>
            <m:e>
              <m:r>
                <m:t>F</m:t>
              </m:r>
            </m:e>
            <m:sub>
              <m:r>
                <m:t>t</m:t>
              </m:r>
            </m:sub>
          </m:sSub>
          <m:r>
            <m:rPr>
              <m:sty m:val="p"/>
            </m:rPr>
            <m:t>)</m:t>
          </m:r>
          <m:r>
            <m:t> </m:t>
          </m:r>
          <m:r>
            <m:rPr>
              <m:sty m:val="p"/>
            </m:rPr>
            <m:t>→</m:t>
          </m:r>
          <m:r>
            <m:t> </m:t>
          </m:r>
          <m:sSup>
            <m:e>
              <m:r>
                <m:t>F</m:t>
              </m:r>
            </m:e>
            <m:sup>
              <m:r>
                <m:rPr>
                  <m:sty m:val="p"/>
                </m:rPr>
                <m:t>(</m:t>
              </m:r>
              <m:r>
                <m:t>t</m:t>
              </m:r>
              <m:r>
                <m:rPr>
                  <m:sty m:val="p"/>
                </m:rPr>
                <m:t>+</m:t>
              </m:r>
              <m:r>
                <m:t>1</m:t>
              </m:r>
              <m:r>
                <m:rPr>
                  <m:sty m:val="p"/>
                </m:rPr>
                <m:t>)</m:t>
              </m:r>
            </m:sup>
          </m:sSup>
          <m:r>
            <m:rPr>
              <m:sty m:val="p"/>
            </m:rPr>
            <m:t>=</m:t>
          </m:r>
          <m:sSub>
            <m:e>
              <m:r>
                <m:t>F</m:t>
              </m:r>
            </m:e>
            <m:sub>
              <m:r>
                <m:t>t</m:t>
              </m:r>
            </m:sub>
          </m:sSub>
          <m:r>
            <m:rPr>
              <m:sty m:val="p"/>
            </m:rPr>
            <m:t>\</m:t>
          </m:r>
          <m:r>
            <m:rPr>
              <m:sty m:val="p"/>
            </m:rPr>
            <m:t>{</m:t>
          </m:r>
          <m:sSub>
            <m:e>
              <m:r>
                <m:t>j</m:t>
              </m:r>
            </m:e>
            <m:sub>
              <m:r>
                <m:rPr>
                  <m:sty m:val="p"/>
                </m:rPr>
                <m:t>min</m:t>
              </m:r>
            </m:sub>
          </m:sSub>
          <m:r>
            <m:rPr>
              <m:sty m:val="p"/>
            </m:rPr>
            <m:t>}</m:t>
          </m:r>
        </m:oMath>
      </m:oMathPara>
    </w:p>
    <w:p>
      <w:pPr>
        <w:pStyle w:val="FirstParagraph"/>
      </w:pPr>
      <w:r>
        <w:t xml:space="preserve">The final subset</w:t>
      </w:r>
      <w:r>
        <w:t xml:space="preserve"> </w:t>
      </w:r>
      <m:oMath>
        <m:sSup>
          <m:e>
            <m:r>
              <m:t>F</m:t>
            </m:r>
          </m:e>
          <m:sup>
            <m:r>
              <m:rPr>
                <m:sty m:val="p"/>
              </m:rPr>
              <m:t>*</m:t>
            </m:r>
          </m:sup>
        </m:sSup>
      </m:oMath>
      <w:r>
        <w:t xml:space="preserve"> </w:t>
      </w:r>
      <w:r>
        <w:t xml:space="preserve">is selected to maximize stability and discriminative power, effectively reducing the</w:t>
      </w:r>
      <w:r>
        <w:t xml:space="preserve"> </w:t>
      </w:r>
      <m:oMath>
        <m:r>
          <m:t>λ</m:t>
        </m:r>
      </m:oMath>
      <w:r>
        <w:t xml:space="preserve"> </w:t>
      </w:r>
      <w:r>
        <w:t xml:space="preserve">term (joint error) in the Ben-David bound by removing concept-shifted features.</w:t>
      </w:r>
    </w:p>
    <w:bookmarkEnd w:id="52"/>
    <w:bookmarkStart w:id="53" w:name="stage-2-feature-alignment-pi_cap"/>
    <w:p>
      <w:pPr>
        <w:pStyle w:val="3"/>
      </w:pPr>
      <w:r>
        <w:t xml:space="preserve">Stage 2: Feature Alignment (</w:t>
      </w:r>
      <m:oMath>
        <m:sSub>
          <m:e>
            <m:r>
              <m:t>π</m:t>
            </m:r>
          </m:e>
          <m:sub>
            <m:r>
              <m:rPr>
                <m:sty m:val="p"/>
              </m:rPr>
              <m:t>∩</m:t>
            </m:r>
          </m:sub>
        </m:sSub>
      </m:oMath>
      <w:r>
        <w:t xml:space="preserve">)</w:t>
      </w:r>
    </w:p>
    <w:p>
      <w:pPr>
        <w:pStyle w:val="FirstParagraph"/>
      </w:pPr>
      <w:r>
        <w:t xml:space="preserve">Given the selected feature subset</w:t>
      </w:r>
      <w:r>
        <w:t xml:space="preserve"> </w:t>
      </w:r>
      <m:oMath>
        <m:sSup>
          <m:e>
            <m:r>
              <m:t>F</m:t>
            </m:r>
          </m:e>
          <m:sup>
            <m:r>
              <m:rPr>
                <m:sty m:val="p"/>
              </m:rPr>
              <m:t>*</m:t>
            </m:r>
          </m:sup>
        </m:sSup>
      </m:oMath>
      <w:r>
        <w:t xml:space="preserve">, this stage enforces schema consistency between hospitals. In our specific experimental setup, RFE identifies an optimal subset of</w:t>
      </w:r>
      <w:r>
        <w:t xml:space="preserve"> </w:t>
      </w:r>
      <m:oMath>
        <m:r>
          <m:rPr>
            <m:sty m:val="p"/>
          </m:rPr>
          <m:t>|</m:t>
        </m:r>
        <m:sSup>
          <m:e>
            <m:r>
              <m:t>F</m:t>
            </m:r>
          </m:e>
          <m:sup>
            <m:r>
              <m:rPr>
                <m:sty m:val="p"/>
              </m:rPr>
              <m:t>*</m:t>
            </m:r>
          </m:sup>
        </m:sSup>
        <m:r>
          <m:rPr>
            <m:sty m:val="p"/>
          </m:rPr>
          <m:t>|</m:t>
        </m:r>
        <m:r>
          <m:rPr>
            <m:sty m:val="p"/>
          </m:rPr>
          <m:t>=</m:t>
        </m:r>
        <m:r>
          <m:t>9</m:t>
        </m:r>
      </m:oMath>
      <w:r>
        <w:t xml:space="preserve"> </w:t>
      </w:r>
      <w:r>
        <w:t xml:space="preserve">features. However, due to missingness shift in the target domain, the alignment operator</w:t>
      </w:r>
      <w:r>
        <w:t xml:space="preserve"> </w:t>
      </w:r>
      <m:oMath>
        <m:sSub>
          <m:e>
            <m:r>
              <m:t>π</m:t>
            </m:r>
          </m:e>
          <m:sub>
            <m:r>
              <m:rPr>
                <m:sty m:val="p"/>
              </m:rPr>
              <m:t>∩</m:t>
            </m:r>
          </m:sub>
        </m:sSub>
      </m:oMath>
      <w:r>
        <w:t xml:space="preserve"> </w:t>
      </w:r>
      <w:r>
        <w:t xml:space="preserve">restricts this to the intersection of available schemas:</w:t>
      </w:r>
    </w:p>
    <w:p>
      <w:pPr>
        <w:pStyle w:val="a0"/>
      </w:pPr>
      <m:oMathPara>
        <m:oMathParaPr>
          <m:jc m:val="center"/>
        </m:oMathParaPr>
        <m:oMath>
          <m:sSub>
            <m:e>
              <m:r>
                <m:t>F</m:t>
              </m:r>
            </m:e>
            <m:sub>
              <m:r>
                <m:rPr>
                  <m:sty m:val="p"/>
                </m:rPr>
                <m:t>∩</m:t>
              </m:r>
            </m:sub>
          </m:sSub>
          <m:r>
            <m:rPr>
              <m:sty m:val="p"/>
            </m:rPr>
            <m:t>=</m:t>
          </m:r>
          <m:sSup>
            <m:e>
              <m:r>
                <m:t>F</m:t>
              </m:r>
            </m:e>
            <m:sup>
              <m:r>
                <m:rPr>
                  <m:sty m:val="p"/>
                </m:rPr>
                <m:t>*</m:t>
              </m:r>
            </m:sup>
          </m:sSup>
          <m:r>
            <m:rPr>
              <m:sty m:val="p"/>
            </m:rPr>
            <m:t>∩</m:t>
          </m:r>
          <m:sSub>
            <m:e>
              <m:r>
                <m:t>F</m:t>
              </m:r>
            </m:e>
            <m:sub>
              <m:r>
                <m:t>T</m:t>
              </m:r>
            </m:sub>
          </m:sSub>
        </m:oMath>
      </m:oMathPara>
    </w:p>
    <w:p>
      <w:pPr>
        <w:pStyle w:val="FirstParagraph"/>
      </w:pPr>
      <w:r>
        <w:t xml:space="preserve">This dimensionality reduction (from 9 to 8) explicitly handles the constraint where specific biomarkers are unrecorded in the target hospital, ensuring that subsequent stages operate only on the biologically common subspace.</w:t>
      </w:r>
    </w:p>
    <w:bookmarkEnd w:id="53"/>
    <w:bookmarkStart w:id="54" w:name="Xa6df3b745a2c897ab273dcd0b15d6796907fe7c"/>
    <w:p>
      <w:pPr>
        <w:pStyle w:val="3"/>
      </w:pPr>
      <w:r>
        <w:t xml:space="preserve">Stage 3: Domain Adaptation Mapping (</w:t>
      </w:r>
      <m:oMath>
        <m:r>
          <m:rPr>
            <m:sty m:val="p"/>
          </m:rPr>
          <m:t>Φ</m:t>
        </m:r>
      </m:oMath>
      <w:r>
        <w:t xml:space="preserve">)</w:t>
      </w:r>
    </w:p>
    <w:p>
      <w:pPr>
        <w:pStyle w:val="FirstParagraph"/>
      </w:pPr>
      <w:r>
        <w:t xml:space="preserve">The aligned features</w:t>
      </w:r>
      <w:r>
        <w:t xml:space="preserve"> </w:t>
      </w:r>
      <m:oMath>
        <m:sSub>
          <m:e>
            <m:r>
              <m:t>F</m:t>
            </m:r>
          </m:e>
          <m:sub>
            <m:r>
              <m:rPr>
                <m:sty m:val="p"/>
              </m:rPr>
              <m:t>∩</m:t>
            </m:r>
          </m:sub>
        </m:sSub>
      </m:oMath>
      <w:r>
        <w:t xml:space="preserve"> </w:t>
      </w:r>
      <w:r>
        <w:t xml:space="preserve">are then adapted using Transfer Component Analysis (TCA). The domain adaptation mapping</w:t>
      </w:r>
      <w:r>
        <w:t xml:space="preserve"> </w:t>
      </w:r>
      <m:oMath>
        <m:r>
          <m:rPr>
            <m:sty m:val="p"/>
          </m:rPr>
          <m:t>Φ</m:t>
        </m:r>
      </m:oMath>
      <w:r>
        <w:t xml:space="preserve"> </w:t>
      </w:r>
      <w:r>
        <w:t xml:space="preserve">projects these features into a Reproducing Kernel Hilbert Space (RKHS) where the Maximum Mean Discrepancy (MMD) between source and target distributions is minimized.</w:t>
      </w:r>
    </w:p>
    <w:p>
      <w:pPr>
        <w:pStyle w:val="a0"/>
      </w:pPr>
      <m:oMathPara>
        <m:oMathParaPr>
          <m:jc m:val="center"/>
        </m:oMathParaPr>
        <m:oMath>
          <m:sSup>
            <m:e>
              <m:r>
                <m:t>x</m:t>
              </m:r>
            </m:e>
            <m:sup>
              <m:r>
                <m:rPr>
                  <m:sty m:val="p"/>
                </m:rPr>
                <m:t>′</m:t>
              </m:r>
            </m:sup>
          </m:sSup>
          <m:r>
            <m:rPr>
              <m:sty m:val="p"/>
            </m:rPr>
            <m:t>=</m:t>
          </m:r>
          <m:r>
            <m:rPr>
              <m:sty m:val="p"/>
            </m:rPr>
            <m:t>Φ</m:t>
          </m:r>
          <m:r>
            <m:rPr>
              <m:sty m:val="p"/>
            </m:rPr>
            <m:t>(</m:t>
          </m:r>
          <m:r>
            <m:t>x</m:t>
          </m:r>
          <m:r>
            <m:rPr>
              <m:sty m:val="p"/>
            </m:rPr>
            <m:t>;</m:t>
          </m:r>
          <m:sSub>
            <m:e>
              <m:r>
                <m:t>F</m:t>
              </m:r>
            </m:e>
            <m:sub>
              <m:r>
                <m:rPr>
                  <m:sty m:val="p"/>
                </m:rPr>
                <m:t>∩</m:t>
              </m:r>
            </m:sub>
          </m:sSub>
          <m:r>
            <m:rPr>
              <m:sty m:val="p"/>
            </m:rPr>
            <m:t>)</m:t>
          </m:r>
          <m:r>
            <m:rPr>
              <m:sty m:val="p"/>
            </m:rPr>
            <m:t>=</m:t>
          </m:r>
          <m:sSup>
            <m:e>
              <m:r>
                <m:t>A</m:t>
              </m:r>
            </m:e>
            <m:sup>
              <m:r>
                <m:rPr>
                  <m:sty m:val="p"/>
                </m:rPr>
                <m:t>⊤</m:t>
              </m:r>
            </m:sup>
          </m:sSup>
          <m:r>
            <m:t>x</m:t>
          </m:r>
        </m:oMath>
      </m:oMathPara>
    </w:p>
    <w:p>
      <w:pPr>
        <w:pStyle w:val="FirstParagraph"/>
      </w:pPr>
      <w:r>
        <w:t xml:space="preserve">This linear projection</w:t>
      </w:r>
      <w:r>
        <w:t xml:space="preserve"> </w:t>
      </w:r>
      <m:oMath>
        <m:r>
          <m:t>A</m:t>
        </m:r>
      </m:oMath>
      <w:r>
        <w:t xml:space="preserve"> </w:t>
      </w:r>
      <w:r>
        <w:t xml:space="preserve">is learned to align the marginal distributions</w:t>
      </w:r>
      <w:r>
        <w:t xml:space="preserve"> </w:t>
      </w:r>
      <m:oMath>
        <m:sSub>
          <m:e>
            <m:r>
              <m:t>P</m:t>
            </m:r>
          </m:e>
          <m:sub>
            <m:r>
              <m:t>S</m:t>
            </m:r>
          </m:sub>
        </m:sSub>
        <m:r>
          <m:rPr>
            <m:sty m:val="p"/>
          </m:rPr>
          <m:t>(</m:t>
        </m:r>
        <m:sSub>
          <m:e>
            <m:r>
              <m:t>F</m:t>
            </m:r>
          </m:e>
          <m:sub>
            <m:r>
              <m:rPr>
                <m:sty m:val="p"/>
              </m:rPr>
              <m:t>∩</m:t>
            </m:r>
          </m:sub>
        </m:sSub>
        <m:r>
          <m:rPr>
            <m:sty m:val="p"/>
          </m:rPr>
          <m:t>)</m:t>
        </m:r>
      </m:oMath>
      <w:r>
        <w:t xml:space="preserve"> </w:t>
      </w:r>
      <w:r>
        <w:t xml:space="preserve">and</w:t>
      </w:r>
      <w:r>
        <w:t xml:space="preserve"> </w:t>
      </w:r>
      <m:oMath>
        <m:sSub>
          <m:e>
            <m:r>
              <m:t>P</m:t>
            </m:r>
          </m:e>
          <m:sub>
            <m:r>
              <m:t>T</m:t>
            </m:r>
          </m:sub>
        </m:sSub>
        <m:r>
          <m:rPr>
            <m:sty m:val="p"/>
          </m:rPr>
          <m:t>(</m:t>
        </m:r>
        <m:sSub>
          <m:e>
            <m:r>
              <m:t>F</m:t>
            </m:r>
          </m:e>
          <m:sub>
            <m:r>
              <m:rPr>
                <m:sty m:val="p"/>
              </m:rPr>
              <m:t>∩</m:t>
            </m:r>
          </m:sub>
        </m:sSub>
        <m:r>
          <m:rPr>
            <m:sty m:val="p"/>
          </m:rPr>
          <m:t>)</m:t>
        </m:r>
      </m:oMath>
      <w:r>
        <w:t xml:space="preserve">, thereby reducing the domain divergence term</w:t>
      </w:r>
      <w:r>
        <w:t xml:space="preserve"> </w:t>
      </w:r>
      <m:oMath>
        <m:sSub>
          <m:e>
            <m:r>
              <m:t>d</m:t>
            </m:r>
          </m:e>
          <m:sub>
            <m:r>
              <m:rPr>
                <m:scr m:val="script"/>
                <m:sty m:val="p"/>
              </m:rPr>
              <m:t>H</m:t>
            </m:r>
            <m:r>
              <m:rPr>
                <m:sty m:val="p"/>
              </m:rPr>
              <m:t>Δ</m:t>
            </m:r>
            <m:r>
              <m:rPr>
                <m:scr m:val="script"/>
                <m:sty m:val="p"/>
              </m:rPr>
              <m:t>H</m:t>
            </m:r>
          </m:sub>
        </m:sSub>
      </m:oMath>
      <w:r>
        <w:t xml:space="preserve"> </w:t>
      </w:r>
      <w:r>
        <w:t xml:space="preserve">in the generalization bound.</w:t>
      </w:r>
    </w:p>
    <w:bookmarkEnd w:id="54"/>
    <w:bookmarkStart w:id="55" w:name="Xf694293cc42c62ebe3dc367b757afb4bd211a13"/>
    <w:p>
      <w:pPr>
        <w:pStyle w:val="3"/>
      </w:pPr>
      <w:r>
        <w:t xml:space="preserve">Stage 4: Classification and Ensemble (</w:t>
      </w:r>
      <m:oMath>
        <m:r>
          <m:t>h</m:t>
        </m:r>
      </m:oMath>
      <w:r>
        <w:t xml:space="preserve">)</w:t>
      </w:r>
    </w:p>
    <w:p>
      <w:pPr>
        <w:pStyle w:val="FirstParagraph"/>
      </w:pPr>
      <w:r>
        <w:t xml:space="preserve">Finally, the classification function</w:t>
      </w:r>
      <w:r>
        <w:t xml:space="preserve"> </w:t>
      </w:r>
      <m:oMath>
        <m:r>
          <m:t>h</m:t>
        </m:r>
      </m:oMath>
      <w:r>
        <w:t xml:space="preserve"> </w:t>
      </w:r>
      <w:r>
        <w:t xml:space="preserve">processes the adapted features</w:t>
      </w:r>
      <w:r>
        <w:t xml:space="preserve"> </w:t>
      </w:r>
      <m:oMath>
        <m:sSup>
          <m:e>
            <m:r>
              <m:t>x</m:t>
            </m:r>
          </m:e>
          <m:sup>
            <m:r>
              <m:rPr>
                <m:sty m:val="p"/>
              </m:rPr>
              <m:t>′</m:t>
            </m:r>
          </m:sup>
        </m:sSup>
      </m:oMath>
      <w:r>
        <w:t xml:space="preserve">. This stage leverages the pre-trained TabPFN as a robust classifier, augmented by an ensemble mechanism to handle predictive uncertainty and label shift.</w:t>
      </w:r>
    </w:p>
    <w:p>
      <w:pPr>
        <w:pStyle w:val="a0"/>
      </w:pPr>
      <m:oMathPara>
        <m:oMathParaPr>
          <m:jc m:val="center"/>
        </m:oMathParaPr>
        <m:oMath>
          <m:r>
            <m:t>h</m:t>
          </m:r>
          <m:r>
            <m:rPr>
              <m:sty m:val="p"/>
            </m:rPr>
            <m:t>(</m:t>
          </m:r>
          <m:sSup>
            <m:e>
              <m:r>
                <m:t>x</m:t>
              </m:r>
            </m:e>
            <m:sup>
              <m:r>
                <m:rPr>
                  <m:sty m:val="p"/>
                </m:rPr>
                <m:t>′</m:t>
              </m:r>
            </m:sup>
          </m:sSup>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t>σ</m:t>
              </m:r>
            </m:e>
          </m:nary>
          <m:d>
            <m:dPr>
              <m:begChr m:val="("/>
              <m:sepChr m:val=""/>
              <m:endChr m:val=")"/>
              <m:grow/>
            </m:dPr>
            <m:e>
              <m:f>
                <m:fPr>
                  <m:type m:val="bar"/>
                </m:fPr>
                <m:num>
                  <m:sSub>
                    <m:e>
                      <m:r>
                        <m:t>f</m:t>
                      </m:r>
                    </m:e>
                    <m:sub>
                      <m:r>
                        <m:rPr>
                          <m:nor/>
                          <m:sty m:val="p"/>
                        </m:rPr>
                        <m:t>PFN</m:t>
                      </m:r>
                    </m:sub>
                  </m:sSub>
                  <m:r>
                    <m:t>i</m:t>
                  </m:r>
                  <m:r>
                    <m:t>i</m:t>
                  </m:r>
                  <m:r>
                    <m:rPr>
                      <m:sty m:val="p"/>
                    </m:rPr>
                    <m:t>(</m:t>
                  </m:r>
                  <m:sSup>
                    <m:e>
                      <m:r>
                        <m:t>x</m:t>
                      </m:r>
                    </m:e>
                    <m:sup>
                      <m:r>
                        <m:rPr>
                          <m:sty m:val="p"/>
                        </m:rPr>
                        <m:t>′</m:t>
                      </m:r>
                    </m:sup>
                  </m:sSup>
                  <m:r>
                    <m:rPr>
                      <m:sty m:val="p"/>
                    </m:rPr>
                    <m:t>)</m:t>
                  </m:r>
                </m:num>
                <m:den>
                  <m:r>
                    <m:t>T</m:t>
                  </m:r>
                </m:den>
              </m:f>
            </m:e>
          </m:d>
        </m:oMath>
      </m:oMathPara>
    </w:p>
    <w:p>
      <w:pPr>
        <w:pStyle w:val="FirstParagraph"/>
      </w:pPr>
      <w:r>
        <w:t xml:space="preserve">where</w:t>
      </w:r>
      <w:r>
        <w:t xml:space="preserve"> </w:t>
      </w:r>
      <m:oMath>
        <m:r>
          <m:t>T</m:t>
        </m:r>
      </m:oMath>
      <w:r>
        <w:t xml:space="preserve"> </w:t>
      </w:r>
      <w:r>
        <w:t xml:space="preserve">is a temperature scaling parameter optimized to calibrate the output probabilities against the prevalence differences between hospitals. The result is a calibrated malignancy probability that is robust to both covariate and label shifts.</w:t>
      </w:r>
    </w:p>
    <w:bookmarkEnd w:id="55"/>
    <w:bookmarkEnd w:id="56"/>
    <w:bookmarkStart w:id="58" w:name="subsec:clinical-mapping"/>
    <w:p>
      <w:pPr>
        <w:pStyle w:val="2"/>
      </w:pPr>
      <w:r>
        <w:t xml:space="preserve">Clinical-Statistical Mapping</w:t>
      </w:r>
    </w:p>
    <w:p>
      <w:pPr>
        <w:pStyle w:val="FirstParagraph"/>
      </w:pPr>
      <w:r>
        <w:t xml:space="preserve">Table</w:t>
      </w:r>
      <w:r>
        <w:t xml:space="preserve"> </w:t>
      </w:r>
      <w:hyperlink w:anchor="tbl:clinical-mapping">
        <w:r>
          <w:rPr>
            <w:rStyle w:val="af"/>
          </w:rPr>
          <w:t xml:space="preserve">2</w:t>
        </w:r>
      </w:hyperlink>
      <w:r>
        <w:t xml:space="preserve"> </w:t>
      </w:r>
      <w:r>
        <w:t xml:space="preserve">summarizes the correspondence between the clinical challenges observed in pulmonary nodule diagnosis, their statistical manifestations, and the corresponding PANDA solution components derived from our theoretical framework.</w:t>
      </w:r>
    </w:p>
    <w:bookmarkStart w:id="57" w:name="tbl:clinical-mapping"/>
    <w:p>
      <w:pPr>
        <w:pStyle w:val="TableCaption"/>
      </w:pPr>
      <w:r>
        <w:t xml:space="preserve">Table 7: Mathematical Mapping of Clinical Problems to PANDA Components</w:t>
      </w:r>
    </w:p>
    <w:tbl>
      <w:tblPr>
        <w:tblStyle w:val="Table"/>
        <w:tblW w:type="auto" w:w="0"/>
        <w:tblLook w:firstRow="1" w:lastRow="0" w:firstColumn="0" w:lastColumn="0" w:noHBand="0" w:noVBand="0" w:val="0020"/>
        <w:tblCaption w:val="Table 7: Mathematical Mapping of Clinical Problems to PANDA Components"/>
      </w:tblPr>
      <w:tblGrid>
        <w:gridCol w:w="1980"/>
        <w:gridCol w:w="1980"/>
        <w:gridCol w:w="1980"/>
        <w:gridCol w:w="1980"/>
      </w:tblGrid>
      <w:tr>
        <w:trPr>
          <w:tblHeader w:val="on"/>
        </w:trPr>
        <w:tc>
          <w:tcPr/>
          <w:p>
            <w:pPr>
              <w:pStyle w:val="Compact"/>
              <w:jc w:val="left"/>
            </w:pPr>
            <w:r>
              <w:rPr>
                <w:b/>
                <w:bCs/>
              </w:rPr>
              <w:t xml:space="preserve">Clinical Challenge</w:t>
            </w:r>
          </w:p>
        </w:tc>
        <w:tc>
          <w:tcPr/>
          <w:p>
            <w:pPr>
              <w:pStyle w:val="Compact"/>
              <w:jc w:val="left"/>
            </w:pPr>
            <w:r>
              <w:rPr>
                <w:b/>
                <w:bCs/>
              </w:rPr>
              <w:t xml:space="preserve">Statistical Mechanism</w:t>
            </w:r>
          </w:p>
        </w:tc>
        <w:tc>
          <w:tcPr/>
          <w:p>
            <w:pPr>
              <w:pStyle w:val="Compact"/>
              <w:jc w:val="left"/>
            </w:pPr>
            <w:r>
              <w:rPr>
                <w:b/>
                <w:bCs/>
              </w:rPr>
              <w:t xml:space="preserve">PANDA Component</w:t>
            </w:r>
          </w:p>
        </w:tc>
        <w:tc>
          <w:tcPr/>
          <w:p>
            <w:pPr>
              <w:pStyle w:val="Compact"/>
              <w:jc w:val="left"/>
            </w:pPr>
            <w:r>
              <w:rPr>
                <w:b/>
                <w:bCs/>
              </w:rPr>
              <w:t xml:space="preserve">Theoretical Justification</w:t>
            </w:r>
          </w:p>
        </w:tc>
      </w:tr>
      <w:tr>
        <w:tc>
          <w:tcPr/>
          <w:p>
            <w:pPr>
              <w:pStyle w:val="Compact"/>
              <w:jc w:val="left"/>
            </w:pPr>
            <w:r>
              <w:t xml:space="preserve">Scanner Variance (Sharp vs. Smooth Kernels)</w:t>
            </w:r>
          </w:p>
        </w:tc>
        <w:tc>
          <w:tcPr/>
          <w:p>
            <w:pPr>
              <w:pStyle w:val="Compact"/>
              <w:jc w:val="left"/>
            </w:pPr>
            <w:r>
              <w:t xml:space="preserve">Covariate Shift:</w:t>
            </w:r>
            <w:r>
              <w:t xml:space="preserve"> </w:t>
            </w:r>
            <m:oMath>
              <m:sSub>
                <m:e>
                  <m:r>
                    <m:t>P</m:t>
                  </m:r>
                </m:e>
                <m:sub>
                  <m:r>
                    <m:t>S</m:t>
                  </m:r>
                </m:sub>
              </m:sSub>
              <m:r>
                <m:rPr>
                  <m:sty m:val="p"/>
                </m:rPr>
                <m:t>≠</m:t>
              </m:r>
              <m:sSub>
                <m:e>
                  <m:r>
                    <m:t>P</m:t>
                  </m:r>
                </m:e>
                <m:sub>
                  <m:r>
                    <m:t>T</m:t>
                  </m:r>
                </m:sub>
              </m:sSub>
            </m:oMath>
          </w:p>
        </w:tc>
        <w:tc>
          <w:tcPr/>
          <w:p>
            <w:pPr>
              <w:pStyle w:val="Compact"/>
              <w:jc w:val="left"/>
            </w:pPr>
            <w:r>
              <w:t xml:space="preserve">Latent TCA on RFE-selected features</w:t>
            </w:r>
          </w:p>
        </w:tc>
        <w:tc>
          <w:tcPr/>
          <w:p>
            <w:pPr>
              <w:pStyle w:val="Compact"/>
              <w:jc w:val="left"/>
            </w:pPr>
            <w:r>
              <w:t xml:space="preserve">Minimizes MMD divergence</w:t>
            </w:r>
            <w:r>
              <w:t xml:space="preserve"> </w:t>
            </w:r>
            <m:oMath>
              <m:sSub>
                <m:e>
                  <m:r>
                    <m:t>d</m:t>
                  </m:r>
                </m:e>
                <m:sub>
                  <m:r>
                    <m:rPr>
                      <m:scr m:val="script"/>
                      <m:sty m:val="p"/>
                    </m:rPr>
                    <m:t>H</m:t>
                  </m:r>
                  <m:r>
                    <m:rPr>
                      <m:sty m:val="p"/>
                    </m:rPr>
                    <m:t>Δ</m:t>
                  </m:r>
                  <m:r>
                    <m:rPr>
                      <m:scr m:val="script"/>
                      <m:sty m:val="p"/>
                    </m:rPr>
                    <m:t>H</m:t>
                  </m:r>
                </m:sub>
              </m:sSub>
            </m:oMath>
            <w:r>
              <w:t xml:space="preserve"> </w:t>
            </w:r>
            <w:r>
              <w:t xml:space="preserve">in RKHS.</w:t>
            </w:r>
          </w:p>
        </w:tc>
      </w:tr>
      <w:tr>
        <w:tc>
          <w:tcPr/>
          <w:p>
            <w:pPr>
              <w:pStyle w:val="Compact"/>
              <w:jc w:val="left"/>
            </w:pPr>
            <w:r>
              <w:t xml:space="preserve">Referral Patterns (Cancer Center vs. Screening)</w:t>
            </w:r>
          </w:p>
        </w:tc>
        <w:tc>
          <w:tcPr/>
          <w:p>
            <w:pPr>
              <w:pStyle w:val="Compact"/>
              <w:jc w:val="left"/>
            </w:pPr>
            <w:r>
              <w:t xml:space="preserve">Label Shift:</w:t>
            </w:r>
            <w:r>
              <w:t xml:space="preserve"> </w:t>
            </w:r>
            <m:oMath>
              <m:sSub>
                <m:e>
                  <m:r>
                    <m:t>P</m:t>
                  </m:r>
                </m:e>
                <m:sub>
                  <m:r>
                    <m:t>S</m:t>
                  </m:r>
                </m:sub>
              </m:sSub>
              <m:r>
                <m:rPr>
                  <m:sty m:val="p"/>
                </m:rPr>
                <m:t>(</m:t>
              </m:r>
              <m:r>
                <m:t>Y</m:t>
              </m:r>
              <m:r>
                <m:rPr>
                  <m:sty m:val="p"/>
                </m:rPr>
                <m:t>)</m:t>
              </m:r>
              <m:r>
                <m:rPr>
                  <m:sty m:val="p"/>
                </m:rPr>
                <m:t>≠</m:t>
              </m:r>
              <m:sSub>
                <m:e>
                  <m:r>
                    <m:t>P</m:t>
                  </m:r>
                </m:e>
                <m:sub>
                  <m:r>
                    <m:t>T</m:t>
                  </m:r>
                </m:sub>
              </m:sSub>
              <m:r>
                <m:rPr>
                  <m:sty m:val="p"/>
                </m:rPr>
                <m:t>(</m:t>
              </m:r>
              <m:r>
                <m:t>Y</m:t>
              </m:r>
              <m:r>
                <m:rPr>
                  <m:sty m:val="p"/>
                </m:rPr>
                <m:t>)</m:t>
              </m:r>
            </m:oMath>
          </w:p>
        </w:tc>
        <w:tc>
          <w:tcPr/>
          <w:p>
            <w:pPr>
              <w:pStyle w:val="Compact"/>
              <w:jc w:val="left"/>
            </w:pPr>
            <w:r>
              <w:t xml:space="preserve">Ensemble Aggregation &amp; Temperature Scaling</w:t>
            </w:r>
          </w:p>
        </w:tc>
        <w:tc>
          <w:tcPr/>
          <w:p>
            <w:pPr>
              <w:pStyle w:val="Compact"/>
              <w:jc w:val="left"/>
            </w:pPr>
            <w:r>
              <w:t xml:space="preserve">Calibrates posteriors; smooths overconfidence from prior mismatch.</w:t>
            </w:r>
          </w:p>
        </w:tc>
      </w:tr>
      <w:tr>
        <w:tc>
          <w:tcPr/>
          <w:p>
            <w:pPr>
              <w:pStyle w:val="Compact"/>
              <w:jc w:val="left"/>
            </w:pPr>
            <w:r>
              <w:t xml:space="preserve">Biological Confounders (TB vs. Cancer)</w:t>
            </w:r>
          </w:p>
        </w:tc>
        <w:tc>
          <w:tcPr/>
          <w:p>
            <w:pPr>
              <w:pStyle w:val="Compact"/>
              <w:jc w:val="left"/>
            </w:pPr>
            <w:r>
              <w:t xml:space="preserve">Concept Shift:</w:t>
            </w:r>
            <w:r>
              <w:t xml:space="preserve"> </w:t>
            </w:r>
            <m:oMath>
              <m:sSub>
                <m:e>
                  <m:r>
                    <m:t>P</m:t>
                  </m:r>
                </m:e>
                <m:sub>
                  <m:r>
                    <m:t>S</m:t>
                  </m:r>
                </m:sub>
              </m:sSub>
              <m:r>
                <m:rPr>
                  <m:sty m:val="p"/>
                </m:rPr>
                <m:t>≠</m:t>
              </m:r>
              <m:sSub>
                <m:e>
                  <m:r>
                    <m:t>P</m:t>
                  </m:r>
                </m:e>
                <m:sub>
                  <m:r>
                    <m:t>T</m:t>
                  </m:r>
                </m:sub>
              </m:sSub>
            </m:oMath>
          </w:p>
        </w:tc>
        <w:tc>
          <w:tcPr/>
          <w:p>
            <w:pPr>
              <w:pStyle w:val="Compact"/>
              <w:jc w:val="left"/>
            </w:pPr>
            <w:r>
              <w:t xml:space="preserve">Cross-Domain RFE</w:t>
            </w:r>
          </w:p>
        </w:tc>
        <w:tc>
          <w:tcPr/>
          <w:p>
            <w:pPr>
              <w:pStyle w:val="Compact"/>
              <w:jc w:val="left"/>
            </w:pPr>
            <w:r>
              <w:t xml:space="preserve">Minimizes joint error</w:t>
            </w:r>
            <w:r>
              <w:t xml:space="preserve"> </w:t>
            </w:r>
            <m:oMath>
              <m:r>
                <m:t>λ</m:t>
              </m:r>
            </m:oMath>
            <w:r>
              <w:t xml:space="preserve"> </w:t>
            </w:r>
            <w:r>
              <w:t xml:space="preserve">by removing unstable features.</w:t>
            </w:r>
          </w:p>
        </w:tc>
      </w:tr>
    </w:tbl>
    <w:bookmarkEnd w:id="57"/>
    <w:bookmarkEnd w:id="58"/>
    <w:bookmarkStart w:id="61" w:name="sec:problem-constraints"/>
    <w:p>
      <w:pPr>
        <w:pStyle w:val="2"/>
      </w:pPr>
      <w:r>
        <w:t xml:space="preserve">Problem Constraints and Research Scope</w:t>
      </w:r>
    </w:p>
    <w:p>
      <w:pPr>
        <w:pStyle w:val="FirstParagraph"/>
      </w:pPr>
      <w:bookmarkStart w:id="59" w:name="subsec:constraints"/>
      <w:bookmarkEnd w:id="59"/>
    </w:p>
    <w:p>
      <w:pPr>
        <w:pStyle w:val="a0"/>
      </w:pPr>
      <w:r>
        <w:t xml:space="preserve">Our formulation is bound by specific constraints inherent to the medical domain:</w:t>
      </w:r>
    </w:p>
    <w:p>
      <w:pPr>
        <w:numPr>
          <w:ilvl w:val="0"/>
          <w:numId w:val="1011"/>
        </w:numPr>
      </w:pPr>
      <w:r>
        <w:rPr>
          <w:b/>
          <w:bCs/>
        </w:rPr>
        <w:t xml:space="preserve">Small Sample Size Constraint:</w:t>
      </w:r>
      <w:r>
        <w:t xml:space="preserve"> </w:t>
      </w:r>
      <w:r>
        <w:t xml:space="preserve">The sample sizes</w:t>
      </w:r>
      <w:r>
        <w:t xml:space="preserve"> </w:t>
      </w:r>
      <m:oMath>
        <m:sSub>
          <m:e>
            <m:r>
              <m:t>n</m:t>
            </m:r>
          </m:e>
          <m:sub>
            <m:r>
              <m:t>S</m:t>
            </m:r>
          </m:sub>
        </m:sSub>
        <m:r>
          <m:rPr>
            <m:sty m:val="p"/>
          </m:rPr>
          <m:t>,</m:t>
        </m:r>
        <m:r>
          <m:t>T</m:t>
        </m:r>
        <m:r>
          <m:t>s</m:t>
        </m:r>
        <m:r>
          <m:t>i</m:t>
        </m:r>
        <m:r>
          <m:t>z</m:t>
        </m:r>
        <m:r>
          <m:t>e</m:t>
        </m:r>
      </m:oMath>
      <w:r>
        <w:t xml:space="preserve"> </w:t>
      </w:r>
      <w:r>
        <w:t xml:space="preserve">are typically in the range of 100 to 1000, which is insufficient for training over-parameterized deep networks from scratch:</w:t>
      </w:r>
    </w:p>
    <w:p>
      <w:pPr>
        <w:pStyle w:val="a0"/>
      </w:pPr>
      <m:oMathPara>
        <m:oMathParaPr>
          <m:jc m:val="center"/>
        </m:oMathParaPr>
        <m:oMath>
          <m:sSub>
            <m:e>
              <m:r>
                <m:t>n</m:t>
              </m:r>
            </m:e>
            <m:sub>
              <m:r>
                <m:t>S</m:t>
              </m:r>
            </m:sub>
          </m:sSub>
          <m:r>
            <m:rPr>
              <m:sty m:val="p"/>
            </m:rPr>
            <m:t>≪</m:t>
          </m:r>
          <m:sSub>
            <m:e>
              <m:r>
                <m:t>d</m:t>
              </m:r>
            </m:e>
            <m:sub>
              <m:r>
                <m:t>V</m:t>
              </m:r>
              <m:r>
                <m:t>C</m:t>
              </m:r>
            </m:sub>
          </m:sSub>
          <m:r>
            <m:rPr>
              <m:sty m:val="p"/>
            </m:rPr>
            <m:t>(</m:t>
          </m:r>
          <m:sSub>
            <m:e>
              <m:r>
                <m:rPr>
                  <m:scr m:val="script"/>
                  <m:sty m:val="p"/>
                </m:rPr>
                <m:t>H</m:t>
              </m:r>
            </m:e>
            <m:sub>
              <m:r>
                <m:rPr>
                  <m:nor/>
                  <m:sty m:val="p"/>
                </m:rPr>
                <m:t>deep</m:t>
              </m:r>
            </m:sub>
          </m:sSub>
          <m:r>
            <m:rPr>
              <m:sty m:val="p"/>
            </m:rPr>
            <m:t>)</m:t>
          </m:r>
        </m:oMath>
      </m:oMathPara>
    </w:p>
    <w:p>
      <w:pPr>
        <w:numPr>
          <w:ilvl w:val="0"/>
          <w:numId w:val="1000"/>
        </w:numPr>
      </w:pPr>
      <w:r>
        <w:t xml:space="preserve">where</w:t>
      </w:r>
      <w:r>
        <w:t xml:space="preserve"> </w:t>
      </w:r>
      <m:oMath>
        <m:sSub>
          <m:e>
            <m:r>
              <m:t>d</m:t>
            </m:r>
          </m:e>
          <m:sub>
            <m:r>
              <m:t>V</m:t>
            </m:r>
            <m:r>
              <m:t>C</m:t>
            </m:r>
          </m:sub>
        </m:sSub>
        <m:r>
          <m:rPr>
            <m:sty m:val="p"/>
          </m:rPr>
          <m:t>(</m:t>
        </m:r>
        <m:sSub>
          <m:e>
            <m:r>
              <m:rPr>
                <m:scr m:val="script"/>
                <m:sty m:val="p"/>
              </m:rPr>
              <m:t>H</m:t>
            </m:r>
          </m:e>
          <m:sub>
            <m:r>
              <m:rPr>
                <m:nor/>
                <m:sty m:val="p"/>
              </m:rPr>
              <m:t>deep</m:t>
            </m:r>
          </m:sub>
        </m:sSub>
        <m:r>
          <m:rPr>
            <m:sty m:val="p"/>
          </m:rPr>
          <m:t>)</m:t>
        </m:r>
      </m:oMath>
      <w:r>
        <w:t xml:space="preserve"> </w:t>
      </w:r>
      <w:r>
        <w:t xml:space="preserve">represents the VC dimension required for standard deep domain adaptation networks to generalize.</w:t>
      </w:r>
    </w:p>
    <w:p>
      <w:pPr>
        <w:numPr>
          <w:ilvl w:val="0"/>
          <w:numId w:val="1011"/>
        </w:numPr>
      </w:pPr>
      <w:r>
        <w:rPr>
          <w:b/>
          <w:bCs/>
        </w:rPr>
        <w:t xml:space="preserve">Privacy and Data Silos:</w:t>
      </w:r>
      <w:r>
        <w:t xml:space="preserve"> </w:t>
      </w:r>
      <w:r>
        <w:t xml:space="preserve">We assume source data</w:t>
      </w:r>
      <w:r>
        <w:t xml:space="preserve"> </w:t>
      </w:r>
      <m:oMath>
        <m:sSub>
          <m:e>
            <m:r>
              <m:t>P</m:t>
            </m:r>
          </m:e>
          <m:sub>
            <m:r>
              <m:t>S</m:t>
            </m:r>
          </m:sub>
        </m:sSub>
      </m:oMath>
      <w:r>
        <w:t xml:space="preserve"> </w:t>
      </w:r>
      <w:r>
        <w:t xml:space="preserve">and target data</w:t>
      </w:r>
      <w:r>
        <w:t xml:space="preserve"> </w:t>
      </w:r>
      <m:oMath>
        <m:sSub>
          <m:e>
            <m:r>
              <m:t>P</m:t>
            </m:r>
          </m:e>
          <m:sub>
            <m:r>
              <m:t>T</m:t>
            </m:r>
          </m:sub>
        </m:sSub>
      </m:oMath>
      <w:r>
        <w:t xml:space="preserve"> </w:t>
      </w:r>
      <w:r>
        <w:t xml:space="preserve">cannot be physically merged.</w:t>
      </w:r>
    </w:p>
    <w:p>
      <w:pPr>
        <w:numPr>
          <w:ilvl w:val="0"/>
          <w:numId w:val="1011"/>
        </w:numPr>
      </w:pPr>
      <w:r>
        <w:rPr>
          <w:b/>
          <w:bCs/>
        </w:rPr>
        <w:t xml:space="preserve">Class Imbalance:</w:t>
      </w:r>
      <w:r>
        <w:t xml:space="preserve"> </w:t>
      </w:r>
      <w:r>
        <w:t xml:space="preserve">The prevalence of the positive class is often low (</w:t>
      </w:r>
      <m:oMath>
        <m:r>
          <m:t>π</m:t>
        </m:r>
        <m:r>
          <m:rPr>
            <m:sty m:val="p"/>
          </m:rPr>
          <m:t>&lt;</m:t>
        </m:r>
        <m:r>
          <m:t>0.3</m:t>
        </m:r>
      </m:oMath>
      <w:r>
        <w:t xml:space="preserve">), requiring -centric optimization.</w:t>
      </w:r>
    </w:p>
    <w:p>
      <w:pPr>
        <w:pStyle w:val="FirstParagraph"/>
      </w:pPr>
      <w:r>
        <w:t xml:space="preserve">This formalization sets the stage for the specific methodological implementations detailed in Chapter 4.</w:t>
      </w:r>
      <w:r>
        <w:t xml:space="preserve"> </w:t>
      </w:r>
      <w:bookmarkStart w:id="60" w:name="sec:pf-end"/>
      <w:bookmarkEnd w:id="60"/>
    </w:p>
    <w:bookmarkEnd w:id="61"/>
    <w:bookmarkEnd w:id="62"/>
    <w:bookmarkStart w:id="71" w:name="sec:solution"/>
    <w:p>
      <w:pPr>
        <w:pStyle w:val="1"/>
      </w:pPr>
      <w:r>
        <w:t xml:space="preserve">Solution</w:t>
      </w:r>
    </w:p>
    <w:p>
      <w:pPr>
        <w:pStyle w:val="FirstParagraph"/>
      </w:pPr>
      <w:r>
        <w:t xml:space="preserve">To bridge the gap between advanced tabular foundation models and the practical constraints outlined in Section </w:t>
      </w:r>
      <w:hyperlink w:anchor="sec:problem-constraints">
        <w:r>
          <w:rPr>
            <w:rStyle w:val="af"/>
          </w:rPr>
          <w:t xml:space="preserve">[sec:problem-constraints]</w:t>
        </w:r>
      </w:hyperlink>
      <w:r>
        <w:t xml:space="preserve">—small sample sizes, heterogeneous feature schemas, distribution shifts, and privacy-preserving data silos—we propose PANDA (Pretrained Adaptation Network with Domain Alignment). PANDA is a composite algorithmic framework designed to predict pulmonary nodule malignancy with high stability across heterogeneous clinical environments. It explicitly addresses the tripartite challenge of small-sample scarcity, distribution shift, and feature heterogeneity through a tightly integrated pipeline that combines cross-domain feature selection, schema alignment, latent-space adaptation, and a calibrated foundation-model ensemble.</w:t>
      </w:r>
    </w:p>
    <w:p>
      <w:pPr>
        <w:pStyle w:val="a0"/>
      </w:pPr>
      <w:r>
        <w:t xml:space="preserve">Formally, PANDA implements a composite mapping</w:t>
      </w:r>
    </w:p>
    <w:p>
      <w:pPr>
        <w:pStyle w:val="a0"/>
      </w:pPr>
      <w:r>
        <w:t xml:space="preserve">which transforms raw, heterogeneous clinical inputs into a calibrated malignancy probability. Building on the notation introduced in Section </w:t>
      </w:r>
      <w:hyperlink w:anchor="sec:problem-formulation">
        <w:r>
          <w:rPr>
            <w:rStyle w:val="af"/>
          </w:rPr>
          <w:t xml:space="preserve">[sec:problem-formulation]</w:t>
        </w:r>
      </w:hyperlink>
      <w:r>
        <w:t xml:space="preserve">, we factorize this mapping as</w:t>
      </w:r>
    </w:p>
    <w:p>
      <w:pPr>
        <w:pStyle w:val="a0"/>
      </w:pPr>
      <w:r>
        <w:t xml:space="preserve">where</w:t>
      </w:r>
      <w:r>
        <w:t xml:space="preserve"> </w:t>
      </w:r>
      <m:oMath>
        <m:sSub>
          <m:e>
            <m:r>
              <m:t>π</m:t>
            </m:r>
          </m:e>
          <m:sub>
            <m:r>
              <m:rPr>
                <m:nor/>
                <m:sty m:val="p"/>
              </m:rPr>
              <m:t>RFE</m:t>
            </m:r>
          </m:sub>
        </m:sSub>
      </m:oMath>
      <w:r>
        <w:t xml:space="preserve"> </w:t>
      </w:r>
      <w:r>
        <w:t xml:space="preserve">performs cross-domain feature selection,</w:t>
      </w:r>
      <w:r>
        <w:t xml:space="preserve"> </w:t>
      </w:r>
      <m:oMath>
        <m:sSub>
          <m:e>
            <m:r>
              <m:t>π</m:t>
            </m:r>
          </m:e>
          <m:sub>
            <m:r>
              <m:rPr>
                <m:sty m:val="p"/>
              </m:rPr>
              <m:t>∩</m:t>
            </m:r>
          </m:sub>
        </m:sSub>
      </m:oMath>
      <w:r>
        <w:t xml:space="preserve"> </w:t>
      </w:r>
      <w:r>
        <w:t xml:space="preserve">enforces a robust schema intersection across hospitals,</w:t>
      </w:r>
      <w:r>
        <w:t xml:space="preserve"> </w:t>
      </w:r>
      <m:oMath>
        <m:r>
          <m:t>ψ</m:t>
        </m:r>
      </m:oMath>
      <w:r>
        <w:t xml:space="preserve"> </w:t>
      </w:r>
      <w:r>
        <w:t xml:space="preserve">denotes latent-space domain adaptation, and</w:t>
      </w:r>
      <w:r>
        <w:t xml:space="preserve"> </w:t>
      </w:r>
      <m:oMath>
        <m:r>
          <m:t>h</m:t>
        </m:r>
      </m:oMath>
      <w:r>
        <w:t xml:space="preserve"> </w:t>
      </w:r>
      <w:r>
        <w:t xml:space="preserve">is a calibrated foundation-model classifier.</w:t>
      </w:r>
    </w:p>
    <w:bookmarkStart w:id="63" w:name="sec:solution-architecture"/>
    <w:p>
      <w:pPr>
        <w:pStyle w:val="2"/>
      </w:pPr>
      <w:r>
        <w:t xml:space="preserve">Architectural Overview</w:t>
      </w:r>
    </w:p>
    <w:p>
      <w:pPr>
        <w:pStyle w:val="FirstParagraph"/>
      </w:pPr>
      <w:r>
        <w:t xml:space="preserve">The PANDA framework operates as a directed acyclic graph (DAG) of data transformations that progressively refine the representation of each patient from raw features to domain-invariant embeddings and, finally, to a calibrated risk estimate. Table </w:t>
      </w:r>
      <w:hyperlink w:anchor="tbl:data-flow">
        <w:r>
          <w:rPr>
            <w:rStyle w:val="af"/>
          </w:rPr>
          <w:t xml:space="preserve">[tab:data-flow]</w:t>
        </w:r>
      </w:hyperlink>
      <w:r>
        <w:t xml:space="preserve"> </w:t>
      </w:r>
      <w:r>
        <w:t xml:space="preserve">summarizes this data flow, while Figure </w:t>
      </w:r>
      <w:hyperlink w:anchor="fig:model_details">
        <w:r>
          <w:rPr>
            <w:rStyle w:val="af"/>
          </w:rPr>
          <w:t xml:space="preserve">1</w:t>
        </w:r>
      </w:hyperlink>
      <w:r>
        <w:t xml:space="preserve"> </w:t>
      </w:r>
      <w:r>
        <w:t xml:space="preserve">provides a comprehensive visual overview of the architecture. Conceptually, the pipeline consists of four sequential stages:</w:t>
      </w:r>
    </w:p>
    <w:p>
      <w:pPr>
        <w:numPr>
          <w:ilvl w:val="0"/>
          <w:numId w:val="1012"/>
        </w:numPr>
      </w:pPr>
      <w:r>
        <w:rPr>
          <w:b/>
          <w:bCs/>
        </w:rPr>
        <w:t xml:space="preserve">Domain-Aware Feature Selection and Alignment</w:t>
      </w:r>
      <w:r>
        <w:t xml:space="preserve">: PANDA first applies Cross-Domain Recursive Feature Elimination (RFE) to identify a compact, clinically meaningful subset of predictors that are stable across hospitals. It then intersects this subset with the feature schema available at each target site, yielding a site-specific, yet harmonized, feature space. This dual step reduces dimensionality, filters site-specific artifacts, and mitigates</w:t>
      </w:r>
      <w:r>
        <w:t xml:space="preserve"> </w:t>
      </w:r>
      <w:r>
        <w:t xml:space="preserve">“missingness shift”</w:t>
      </w:r>
      <w:r>
        <w:t xml:space="preserve"> </w:t>
      </w:r>
      <w:r>
        <w:t xml:space="preserve">by propagating only universally available variables.</w:t>
      </w:r>
    </w:p>
    <w:p>
      <w:pPr>
        <w:numPr>
          <w:ilvl w:val="0"/>
          <w:numId w:val="1012"/>
        </w:numPr>
      </w:pPr>
      <w:r>
        <w:rPr>
          <w:b/>
          <w:bCs/>
        </w:rPr>
        <w:t xml:space="preserve">Latent-Space Domain Adaptation</w:t>
      </w:r>
      <w:r>
        <w:t xml:space="preserve">: On the aligned feature space, PANDA applies Transfer Component Analysis (TCA) to project data into a lower-dimensional, domain-invariant latent space. The projection is learned to minimize a Maximum Mean Discrepancy (MMD) objective between source and target distributions, thereby addressing covariate shift while preserving task-relevant structure.</w:t>
      </w:r>
    </w:p>
    <w:p>
      <w:pPr>
        <w:numPr>
          <w:ilvl w:val="0"/>
          <w:numId w:val="1012"/>
        </w:numPr>
      </w:pPr>
      <w:r>
        <w:rPr>
          <w:b/>
          <w:bCs/>
        </w:rPr>
        <w:t xml:space="preserve">Foundation-Model Inference</w:t>
      </w:r>
      <w:r>
        <w:t xml:space="preserve">: The TCA-transformed features are then processed by a pre-trained TabPFN classifier. Rather than training a deep network from scratch on small clinical cohorts, PANDA reuses the prior-data-fitted structure of TabPFN, which encodes priors learned from millions of synthetic tasks and can infer complex non-linear decision boundaries without extensive gradient-based fine-tuning.</w:t>
      </w:r>
    </w:p>
    <w:p>
      <w:pPr>
        <w:numPr>
          <w:ilvl w:val="0"/>
          <w:numId w:val="1012"/>
        </w:numPr>
      </w:pPr>
      <w:r>
        <w:rPr>
          <w:b/>
          <w:bCs/>
        </w:rPr>
        <w:t xml:space="preserve">Multi-View Ensemble and Calibration</w:t>
      </w:r>
      <w:r>
        <w:t xml:space="preserve">: To further mitigate variance induced by small sample sizes and label shift, PANDA constructs a multi-branch ensemble that exposes the foundation model to diverse yet consistent views of the same patient. Branches differ in preprocessing (e.g., raw, quantile-normalized, ordinal, and power-transformed representations), and multiple random seeds are used to induce rotational invariance in the feature ordering. The resulting ensemble predictions are then temperature-scaled and averaged to yield a final, well-calibrated malignancy probability.</w:t>
      </w:r>
    </w:p>
    <w:p>
      <w:pPr>
        <w:pStyle w:val="FirstParagraph"/>
      </w:pPr>
      <w:r>
        <w:t xml:space="preserve">This architectural decomposition provides a clear separation of concerns: RFE and schema intersection handle feature heterogeneity and data silos; TCA focuses on distribution alignment; TabPFN contributes strong priors for small-sample learning; and the multi-view ensemble targets robustness and calibration. The complete end-to-end pipeline, including the multi-branch ensemble configuration and temperature scaling mechanism, is illustrated in Figure </w:t>
      </w:r>
      <w:hyperlink w:anchor="fig:model_details">
        <w:r>
          <w:rPr>
            <w:rStyle w:val="af"/>
          </w:rPr>
          <w:t xml:space="preserve">1</w:t>
        </w:r>
      </w:hyperlink>
      <w:r>
        <w:t xml:space="preserve">.</w:t>
      </w:r>
    </w:p>
    <w:bookmarkEnd w:id="63"/>
    <w:bookmarkStart w:id="64" w:name="sec:solution-mapping"/>
    <w:p>
      <w:pPr>
        <w:pStyle w:val="2"/>
      </w:pPr>
      <w:r>
        <w:t xml:space="preserve">Mapping to the Formal Problem Formulation</w:t>
      </w:r>
    </w:p>
    <w:p>
      <w:pPr>
        <w:pStyle w:val="FirstParagraph"/>
      </w:pPr>
      <w:r>
        <w:t xml:space="preserve">The four-stage architecture described above directly instantiates the formal problem setup of Section </w:t>
      </w:r>
      <w:hyperlink w:anchor="sec:problem-formulation">
        <w:r>
          <w:rPr>
            <w:rStyle w:val="af"/>
          </w:rPr>
          <w:t xml:space="preserve">[sec:problem-formulation]</w:t>
        </w:r>
      </w:hyperlink>
      <w:r>
        <w:t xml:space="preserve">. Specifically:</w:t>
      </w:r>
    </w:p>
    <w:p>
      <w:pPr>
        <w:numPr>
          <w:ilvl w:val="0"/>
          <w:numId w:val="1013"/>
        </w:numPr>
      </w:pPr>
      <w:r>
        <w:rPr>
          <w:b/>
          <w:bCs/>
        </w:rPr>
        <w:t xml:space="preserve">Cross-Domain RFE</w:t>
      </w:r>
      <w:r>
        <w:t xml:space="preserve"> </w:t>
      </w:r>
      <w:r>
        <w:t xml:space="preserve">implements the operator</w:t>
      </w:r>
      <w:r>
        <w:t xml:space="preserve"> </w:t>
      </w:r>
      <m:oMath>
        <m:sSub>
          <m:e>
            <m:r>
              <m:t>π</m:t>
            </m:r>
          </m:e>
          <m:sub>
            <m:r>
              <m:rPr>
                <m:nor/>
                <m:sty m:val="p"/>
              </m:rPr>
              <m:t>RFE</m:t>
            </m:r>
          </m:sub>
        </m:sSub>
      </m:oMath>
      <w:r>
        <w:t xml:space="preserve">, reducing the original high-dimensional space</w:t>
      </w:r>
      <w:r>
        <w:t xml:space="preserve"> </w:t>
      </w:r>
      <m:oMath>
        <m:sSup>
          <m:e>
            <m:r>
              <m:rPr>
                <m:scr m:val="double-struck"/>
                <m:sty m:val="p"/>
              </m:rPr>
              <m:t>R</m:t>
            </m:r>
          </m:e>
          <m:sup>
            <m:sSub>
              <m:e>
                <m:r>
                  <m:t>d</m:t>
                </m:r>
              </m:e>
              <m:sub>
                <m:r>
                  <m:rPr>
                    <m:nor/>
                    <m:sty m:val="p"/>
                  </m:rPr>
                  <m:t>raw</m:t>
                </m:r>
              </m:sub>
            </m:sSub>
          </m:sup>
        </m:sSup>
      </m:oMath>
      <w:r>
        <w:t xml:space="preserve"> </w:t>
      </w:r>
      <w:r>
        <w:t xml:space="preserve">to a compact set of clinically actionable features</w:t>
      </w:r>
      <w:r>
        <w:t xml:space="preserve"> </w:t>
      </w:r>
      <m:oMath>
        <m:sSup>
          <m:e>
            <m:r>
              <m:t>F</m:t>
            </m:r>
          </m:e>
          <m:sup>
            <m:r>
              <m:rPr>
                <m:sty m:val="p"/>
              </m:rPr>
              <m:t>*</m:t>
            </m:r>
          </m:sup>
        </m:sSup>
      </m:oMath>
      <w:r>
        <w:t xml:space="preserve"> </w:t>
      </w:r>
      <w:r>
        <w:t xml:space="preserve">of size</w:t>
      </w:r>
      <w:r>
        <w:t xml:space="preserve"> </w:t>
      </w:r>
      <m:oMath>
        <m:r>
          <m:t>k</m:t>
        </m:r>
        <m:r>
          <m:rPr>
            <m:sty m:val="p"/>
          </m:rPr>
          <m:t>=</m:t>
        </m:r>
        <m:r>
          <m:rPr>
            <m:sty m:val="p"/>
          </m:rPr>
          <m:t>|</m:t>
        </m:r>
        <m:sSup>
          <m:e>
            <m:r>
              <m:t>F</m:t>
            </m:r>
          </m:e>
          <m:sup>
            <m:r>
              <m:rPr>
                <m:sty m:val="p"/>
              </m:rPr>
              <m:t>*</m:t>
            </m:r>
          </m:sup>
        </m:sSup>
        <m:r>
          <m:rPr>
            <m:sty m:val="p"/>
          </m:rPr>
          <m:t>|</m:t>
        </m:r>
      </m:oMath>
      <w:r>
        <w:t xml:space="preserve">. The selection objective jointly balances discriminative performance, stability across folds, computational efficiency, and parsimony.</w:t>
      </w:r>
    </w:p>
    <w:p>
      <w:pPr>
        <w:numPr>
          <w:ilvl w:val="0"/>
          <w:numId w:val="1013"/>
        </w:numPr>
      </w:pPr>
      <w:r>
        <w:rPr>
          <w:b/>
          <w:bCs/>
        </w:rPr>
        <w:t xml:space="preserve">Feature Alignment</w:t>
      </w:r>
      <w:r>
        <w:t xml:space="preserve"> </w:t>
      </w:r>
      <w:r>
        <w:t xml:space="preserve">implements</w:t>
      </w:r>
      <w:r>
        <w:t xml:space="preserve"> </w:t>
      </w:r>
      <m:oMath>
        <m:sSub>
          <m:e>
            <m:r>
              <m:t>π</m:t>
            </m:r>
          </m:e>
          <m:sub>
            <m:r>
              <m:rPr>
                <m:sty m:val="p"/>
              </m:rPr>
              <m:t>∩</m:t>
            </m:r>
          </m:sub>
        </m:sSub>
      </m:oMath>
      <w:r>
        <w:t xml:space="preserve">, mapping site-specific feature sets to a shared schema</w:t>
      </w:r>
      <w:r>
        <w:t xml:space="preserve"> </w:t>
      </w:r>
      <m:oMath>
        <m:sSub>
          <m:e>
            <m:r>
              <m:t>F</m:t>
            </m:r>
          </m:e>
          <m:sub>
            <m:r>
              <m:rPr>
                <m:sty m:val="p"/>
              </m:rPr>
              <m:t>∩</m:t>
            </m:r>
          </m:sub>
        </m:sSub>
      </m:oMath>
      <w:r>
        <w:t xml:space="preserve"> </w:t>
      </w:r>
      <w:r>
        <w:t xml:space="preserve">of dimension</w:t>
      </w:r>
      <w:r>
        <w:t xml:space="preserve"> </w:t>
      </w:r>
      <m:oMath>
        <m:sSub>
          <m:e>
            <m:r>
              <m:t>d</m:t>
            </m:r>
          </m:e>
          <m:sub>
            <m:r>
              <m:rPr>
                <m:sty m:val="p"/>
              </m:rPr>
              <m:t>∩</m:t>
            </m:r>
          </m:sub>
        </m:sSub>
        <m:r>
          <m:rPr>
            <m:sty m:val="p"/>
          </m:rPr>
          <m:t>=</m:t>
        </m:r>
        <m:r>
          <m:rPr>
            <m:sty m:val="p"/>
          </m:rPr>
          <m:t>|</m:t>
        </m:r>
        <m:sSub>
          <m:e>
            <m:r>
              <m:t>F</m:t>
            </m:r>
          </m:e>
          <m:sub>
            <m:r>
              <m:rPr>
                <m:sty m:val="p"/>
              </m:rPr>
              <m:t>∩</m:t>
            </m:r>
          </m:sub>
        </m:sSub>
        <m:r>
          <m:rPr>
            <m:sty m:val="p"/>
          </m:rPr>
          <m:t>|</m:t>
        </m:r>
      </m:oMath>
      <w:r>
        <w:t xml:space="preserve">, thereby ensuring that source and target hospitals operate on a common representation despite differing EHR schemas.</w:t>
      </w:r>
    </w:p>
    <w:p>
      <w:pPr>
        <w:numPr>
          <w:ilvl w:val="0"/>
          <w:numId w:val="1013"/>
        </w:numPr>
      </w:pPr>
      <w:r>
        <w:rPr>
          <w:b/>
          <w:bCs/>
        </w:rPr>
        <w:t xml:space="preserve">Latent TCA</w:t>
      </w:r>
      <w:r>
        <w:t xml:space="preserve"> </w:t>
      </w:r>
      <w:r>
        <w:t xml:space="preserve">implements</w:t>
      </w:r>
      <w:r>
        <w:t xml:space="preserve"> </w:t>
      </w:r>
      <m:oMath>
        <m:r>
          <m:t>ψ</m:t>
        </m:r>
      </m:oMath>
      <w:r>
        <w:t xml:space="preserve">, projecting the aligned features into a latent space</w:t>
      </w:r>
      <w:r>
        <w:t xml:space="preserve"> </w:t>
      </w:r>
      <m:oMath>
        <m:sSup>
          <m:e>
            <m:r>
              <m:rPr>
                <m:scr m:val="double-struck"/>
                <m:sty m:val="p"/>
              </m:rPr>
              <m:t>R</m:t>
            </m:r>
          </m:e>
          <m:sup>
            <m:r>
              <m:t>m</m:t>
            </m:r>
          </m:sup>
        </m:sSup>
      </m:oMath>
      <w:r>
        <w:t xml:space="preserve"> </w:t>
      </w:r>
      <w:r>
        <w:t xml:space="preserve">in which the empirical MMD between source and target distributions is minimized, directly tackling the covariate-shift component of the generalization bound.</w:t>
      </w:r>
    </w:p>
    <w:p>
      <w:pPr>
        <w:numPr>
          <w:ilvl w:val="0"/>
          <w:numId w:val="1013"/>
        </w:numPr>
      </w:pPr>
      <w:r>
        <w:rPr>
          <w:b/>
          <w:bCs/>
        </w:rPr>
        <w:t xml:space="preserve">Foundation-Model Ensemble</w:t>
      </w:r>
      <w:r>
        <w:t xml:space="preserve"> </w:t>
      </w:r>
      <w:r>
        <w:t xml:space="preserve">implements</w:t>
      </w:r>
      <w:r>
        <w:t xml:space="preserve"> </w:t>
      </w:r>
      <m:oMath>
        <m:r>
          <m:t>h</m:t>
        </m:r>
      </m:oMath>
      <w:r>
        <w:t xml:space="preserve">, mapping latent representations to calibrated probabilities through a TabPFN-based classifier composed with a multi-branch, temperature-scaled ensemble.</w:t>
      </w:r>
    </w:p>
    <w:p>
      <w:pPr>
        <w:pStyle w:val="FirstParagraph"/>
      </w:pPr>
      <w:r>
        <w:t xml:space="preserve">By making this mapping explicit, PANDA connects the abstract components of the theoretical formulation to concrete algorithmic steps, allowing each design choice to be interpreted in terms of the underlying constraints on sample size, privacy, imbalance, and distribution shift.</w:t>
      </w:r>
    </w:p>
    <w:bookmarkEnd w:id="64"/>
    <w:bookmarkStart w:id="70" w:name="sec:solution-pointers"/>
    <w:p>
      <w:pPr>
        <w:pStyle w:val="2"/>
      </w:pPr>
      <w:r>
        <w:t xml:space="preserve">Pointers to Implementation Details</w:t>
      </w:r>
    </w:p>
    <w:p>
      <w:pPr>
        <w:pStyle w:val="FirstParagraph"/>
      </w:pPr>
      <w:r>
        <w:t xml:space="preserve">The subsequent Methods chapter provides the implementation-level details that instantiate each component of the PANDA architecture:</w:t>
      </w:r>
    </w:p>
    <w:p>
      <w:pPr>
        <w:numPr>
          <w:ilvl w:val="0"/>
          <w:numId w:val="1014"/>
        </w:numPr>
      </w:pPr>
      <w:r>
        <w:t xml:space="preserve">Section </w:t>
      </w:r>
      <w:hyperlink w:anchor="sec:methods-rfe">
        <w:r>
          <w:rPr>
            <w:rStyle w:val="af"/>
          </w:rPr>
          <w:t xml:space="preserve">[sec:methods-rfe]</w:t>
        </w:r>
      </w:hyperlink>
      <w:r>
        <w:t xml:space="preserve"> </w:t>
      </w:r>
      <w:r>
        <w:t xml:space="preserve">formalizes the Cross-Domain RFE procedure and the Cost-Effectiveness Index used to select the</w:t>
      </w:r>
      <w:r>
        <w:t xml:space="preserve"> </w:t>
      </w:r>
      <w:r>
        <w:t xml:space="preserve">“Best-</w:t>
      </w:r>
      <m:oMath>
        <m:r>
          <m:t>k</m:t>
        </m:r>
      </m:oMath>
      <w:r>
        <w:t xml:space="preserve">”</w:t>
      </w:r>
      <w:r>
        <w:t xml:space="preserve"> </w:t>
      </w:r>
      <w:r>
        <w:t xml:space="preserve">feature subset.</w:t>
      </w:r>
    </w:p>
    <w:p>
      <w:pPr>
        <w:numPr>
          <w:ilvl w:val="0"/>
          <w:numId w:val="1014"/>
        </w:numPr>
      </w:pPr>
      <w:r>
        <w:t xml:space="preserve">Section </w:t>
      </w:r>
      <w:hyperlink w:anchor="sec:methods-tca">
        <w:r>
          <w:rPr>
            <w:rStyle w:val="af"/>
          </w:rPr>
          <w:t xml:space="preserve">[sec:methods-tca]</w:t>
        </w:r>
      </w:hyperlink>
      <w:r>
        <w:t xml:space="preserve"> </w:t>
      </w:r>
      <w:r>
        <w:t xml:space="preserve">details the TCA objective, kernel construction, and choice of regularization for latent-space alignment.</w:t>
      </w:r>
    </w:p>
    <w:p>
      <w:pPr>
        <w:numPr>
          <w:ilvl w:val="0"/>
          <w:numId w:val="1014"/>
        </w:numPr>
      </w:pPr>
      <w:r>
        <w:t xml:space="preserve">Section </w:t>
      </w:r>
      <w:hyperlink w:anchor="sec:methods-tabpfn">
        <w:r>
          <w:rPr>
            <w:rStyle w:val="af"/>
          </w:rPr>
          <w:t xml:space="preserve">[sec:methods-tabpfn]</w:t>
        </w:r>
      </w:hyperlink>
      <w:r>
        <w:t xml:space="preserve"> </w:t>
      </w:r>
      <w:r>
        <w:t xml:space="preserve">describes how PANDA integrates TabPFN as a probabilistic classifier, including in-context serialization of tabular inputs.</w:t>
      </w:r>
    </w:p>
    <w:p>
      <w:pPr>
        <w:numPr>
          <w:ilvl w:val="0"/>
          <w:numId w:val="1014"/>
        </w:numPr>
      </w:pPr>
      <w:r>
        <w:t xml:space="preserve">Section </w:t>
      </w:r>
      <w:hyperlink w:anchor="sec:methods-ensemble">
        <w:r>
          <w:rPr>
            <w:rStyle w:val="af"/>
          </w:rPr>
          <w:t xml:space="preserve">[sec:methods-ensemble]</w:t>
        </w:r>
      </w:hyperlink>
      <w:r>
        <w:t xml:space="preserve"> </w:t>
      </w:r>
      <w:r>
        <w:t xml:space="preserve">specifies the multi-branch preprocessing strategy, ensemble configuration, and temperature-scaling procedure used for final calibration.</w:t>
      </w:r>
    </w:p>
    <w:p>
      <w:pPr>
        <w:pStyle w:val="FirstParagraph"/>
      </w:pPr>
      <w:r>
        <w:t xml:space="preserve">This separation keeps the Solution chapter focused on the high-level design of PANDA, while deferring technical derivations and algorithmic variants to the dedicated methodological sections.</w:t>
      </w:r>
    </w:p>
    <w:bookmarkStart w:id="68" w:name="fig:model_details"/>
    <w:p>
      <w:pPr>
        <w:pStyle w:val="CaptionedFigure"/>
      </w:pPr>
      <w:r>
        <w:drawing>
          <wp:inline>
            <wp:extent cx="5486400" cy="6908800"/>
            <wp:effectExtent b="0" l="0" r="0" t="0"/>
            <wp:docPr descr="Figure 1: PANDA framework architecture. (a) Compositional pipeline from original tabular data through ensemble training, prediction aggregation, class-imbalance adjustment, and final classification output. (b) Multi-branch ensemble with B=4 preprocessing strategies, each generating R=8 ensemble members via different random seeds." title="" id="66" name="Picture"/>
            <a:graphic>
              <a:graphicData uri="http://schemas.openxmlformats.org/drawingml/2006/picture">
                <pic:pic>
                  <pic:nvPicPr>
                    <pic:cNvPr descr="img/cross_hospital/Pre-trained Tabular Foundation Mode Pipeline_new.pdf" id="67" name="Picture"/>
                    <pic:cNvPicPr>
                      <a:picLocks noChangeArrowheads="1" noChangeAspect="1"/>
                    </pic:cNvPicPr>
                  </pic:nvPicPr>
                  <pic:blipFill>
                    <a:blip r:embed="rId65"/>
                    <a:stretch>
                      <a:fillRect/>
                    </a:stretch>
                  </pic:blipFill>
                  <pic:spPr bwMode="auto">
                    <a:xfrm>
                      <a:off x="0" y="0"/>
                      <a:ext cx="5486400" cy="6908800"/>
                    </a:xfrm>
                    <a:prstGeom prst="rect">
                      <a:avLst/>
                    </a:prstGeom>
                    <a:noFill/>
                    <a:ln w="9525">
                      <a:noFill/>
                      <a:headEnd/>
                      <a:tailEnd/>
                    </a:ln>
                  </pic:spPr>
                </pic:pic>
              </a:graphicData>
            </a:graphic>
          </wp:inline>
        </w:drawing>
      </w:r>
    </w:p>
    <w:p>
      <w:pPr>
        <w:pStyle w:val="ImageCaption"/>
      </w:pPr>
      <w:r>
        <w:t xml:space="preserve">Figure 1:</w:t>
      </w:r>
      <w:r>
        <w:t xml:space="preserve"> </w:t>
      </w:r>
      <w:r>
        <w:rPr>
          <w:b/>
          <w:bCs/>
        </w:rPr>
        <w:t xml:space="preserve">PANDA framework architecture.</w:t>
      </w:r>
      <w:r>
        <w:t xml:space="preserve"> </w:t>
      </w:r>
      <w:r>
        <w:t xml:space="preserve">(a) Compositional pipeline from original tabular data through ensemble training, prediction aggregation, class-imbalance adjustment, and final classification output.</w:t>
      </w:r>
      <w:r>
        <w:t xml:space="preserve"> </w:t>
      </w:r>
      <w:r>
        <w:t xml:space="preserve">(b) Multi-branch ensemble with</w:t>
      </w:r>
      <w:r>
        <w:t xml:space="preserve"> </w:t>
      </w:r>
      <m:oMath>
        <m:r>
          <m:t>B</m:t>
        </m:r>
        <m:r>
          <m:rPr>
            <m:sty m:val="p"/>
          </m:rPr>
          <m:t>=</m:t>
        </m:r>
        <m:r>
          <m:t>4</m:t>
        </m:r>
      </m:oMath>
      <w:r>
        <w:t xml:space="preserve"> </w:t>
      </w:r>
      <w:r>
        <w:t xml:space="preserve">preprocessing strategies, each generating</w:t>
      </w:r>
      <w:r>
        <w:t xml:space="preserve"> </w:t>
      </w:r>
      <m:oMath>
        <m:r>
          <m:t>R</m:t>
        </m:r>
        <m:r>
          <m:rPr>
            <m:sty m:val="p"/>
          </m:rPr>
          <m:t>=</m:t>
        </m:r>
        <m:r>
          <m:t>8</m:t>
        </m:r>
      </m:oMath>
      <w:r>
        <w:t xml:space="preserve"> </w:t>
      </w:r>
      <w:r>
        <w:t xml:space="preserve">ensemble members via different random seeds.</w:t>
      </w:r>
    </w:p>
    <w:bookmarkEnd w:id="68"/>
    <w:p>
      <w:pPr>
        <w:pStyle w:val="a0"/>
      </w:pPr>
      <w:bookmarkStart w:id="69" w:name="sec:sol-end"/>
      <w:bookmarkEnd w:id="69"/>
    </w:p>
    <w:bookmarkEnd w:id="70"/>
    <w:bookmarkEnd w:id="71"/>
    <w:bookmarkStart w:id="100" w:name="sec:methods"/>
    <w:p>
      <w:pPr>
        <w:pStyle w:val="1"/>
      </w:pPr>
      <w:r>
        <w:t xml:space="preserve">Methods</w:t>
      </w:r>
    </w:p>
    <w:p>
      <w:pPr>
        <w:pStyle w:val="FirstParagraph"/>
      </w:pPr>
      <w:bookmarkStart w:id="72" w:name="sec:meth-start"/>
      <w:bookmarkEnd w:id="72"/>
    </w:p>
    <w:bookmarkStart w:id="74" w:name="X197225bb686a900d1f40f12cd3f48c77ece8247"/>
    <w:p>
      <w:pPr>
        <w:pStyle w:val="2"/>
      </w:pPr>
      <w:r>
        <w:t xml:space="preserve">Motivating Challenges and Methodological Response</w:t>
      </w:r>
    </w:p>
    <w:p>
      <w:pPr>
        <w:pStyle w:val="FirstParagraph"/>
      </w:pPr>
      <w:r>
        <w:t xml:space="preserve">Cross-hospital malignancy prediction and public health surveillance pose intertwined constraints, including small labeled cohorts, label imbalance, feature mismatch, and multiple forms of distribution shift. PANDA is structured to address these constraints rather than to introduce architectural novelty. In this section, we explicitly link each methodological component to the specific failure mode it is designed to mitigate. Table </w:t>
      </w:r>
      <w:hyperlink w:anchor="tbl:challenge_mapping">
        <w:r>
          <w:rPr>
            <w:rStyle w:val="af"/>
          </w:rPr>
          <w:t xml:space="preserve">1</w:t>
        </w:r>
      </w:hyperlink>
      <w:r>
        <w:t xml:space="preserve"> </w:t>
      </w:r>
      <w:r>
        <w:t xml:space="preserve">summarizes the main obstacles and the mechanisms assigned to each of them.</w:t>
      </w:r>
    </w:p>
    <w:bookmarkStart w:id="73" w:name="tbl:challenge_mapping"/>
    <w:p>
      <w:pPr>
        <w:pStyle w:val="TableCaption"/>
      </w:pPr>
      <w:r>
        <w:t xml:space="preserve">Table 8: Challenge–mechanism mapping in PANDA. Each component targets a known failure mode, and the same design is applied to pulmonary nodules and the TableShift BRFSS race-shift task.</w:t>
      </w:r>
    </w:p>
    <w:tbl>
      <w:tblPr>
        <w:tblStyle w:val="Table"/>
        <w:tblW w:type="auto" w:w="0"/>
        <w:tblLook w:firstRow="1" w:lastRow="0" w:firstColumn="0" w:lastColumn="0" w:noHBand="0" w:noVBand="0" w:val="0020"/>
        <w:tblCaption w:val="Table 8: Challenge–mechanism mapping in PANDA. Each component targets a known failure mode, and the same design is applied to pulmonary nodules and the TableShift BRFSS race-shift task."/>
      </w:tblPr>
      <w:tblGrid>
        <w:gridCol w:w="2640"/>
        <w:gridCol w:w="2640"/>
        <w:gridCol w:w="2640"/>
      </w:tblGrid>
      <w:tr>
        <w:trPr>
          <w:tblHeader w:val="on"/>
        </w:trPr>
        <w:tc>
          <w:tcPr/>
          <w:p>
            <w:pPr>
              <w:pStyle w:val="Compact"/>
              <w:jc w:val="left"/>
            </w:pPr>
            <w:r>
              <w:t xml:space="preserve">Challenge</w:t>
            </w:r>
          </w:p>
        </w:tc>
        <w:tc>
          <w:tcPr/>
          <w:p>
            <w:pPr>
              <w:pStyle w:val="Compact"/>
              <w:jc w:val="left"/>
            </w:pPr>
            <w:r>
              <w:t xml:space="preserve">Mechanism</w:t>
            </w:r>
          </w:p>
        </w:tc>
        <w:tc>
          <w:tcPr/>
          <w:p>
            <w:pPr>
              <w:pStyle w:val="Compact"/>
              <w:jc w:val="left"/>
            </w:pPr>
            <w:r>
              <w:t xml:space="preserve">Expected benefit</w:t>
            </w:r>
          </w:p>
        </w:tc>
      </w:tr>
      <w:tr>
        <w:tc>
          <w:tcPr/>
          <w:p>
            <w:pPr>
              <w:pStyle w:val="Compact"/>
              <w:jc w:val="left"/>
            </w:pPr>
            <w:r>
              <w:t xml:space="preserve">Small</w:t>
            </w:r>
            <w:r>
              <w:t xml:space="preserve"> </w:t>
            </w:r>
            <m:oMath>
              <m:sSub>
                <m:e>
                  <m:r>
                    <m:t>n</m:t>
                  </m:r>
                </m:e>
                <m:sub>
                  <m:r>
                    <m:t>S</m:t>
                  </m:r>
                </m:sub>
              </m:sSub>
            </m:oMath>
            <w:r>
              <w:t xml:space="preserve"> </w:t>
            </w:r>
            <w:r>
              <w:t xml:space="preserve">with high-dimensional covariates</w:t>
            </w:r>
          </w:p>
        </w:tc>
        <w:tc>
          <w:tcPr/>
          <w:p>
            <w:pPr>
              <w:pStyle w:val="Compact"/>
              <w:jc w:val="left"/>
            </w:pPr>
            <w:r>
              <w:t xml:space="preserve">TabPFN prior-data-fitted network that performs in-context learning with frozen weights</w:t>
            </w:r>
          </w:p>
        </w:tc>
        <w:tc>
          <w:tcPr/>
          <w:p>
            <w:pPr>
              <w:pStyle w:val="Compact"/>
              <w:jc w:val="left"/>
            </w:pPr>
            <w:r>
              <w:t xml:space="preserve">Transfers structural priors from millions of synthetic tasks and reduces estimation variance without local fine-tuning</w:t>
            </w:r>
          </w:p>
        </w:tc>
      </w:tr>
      <w:tr>
        <w:tc>
          <w:tcPr/>
          <w:p>
            <w:pPr>
              <w:pStyle w:val="Compact"/>
              <w:jc w:val="left"/>
            </w:pPr>
            <w:r>
              <w:t xml:space="preserve">Feature heterogeneity across institutions/demographics</w:t>
            </w:r>
          </w:p>
        </w:tc>
        <w:tc>
          <w:tcPr/>
          <w:p>
            <w:pPr>
              <w:pStyle w:val="Compact"/>
              <w:jc w:val="left"/>
            </w:pPr>
            <w:r>
              <w:t xml:space="preserve">Cross-domain RFE identifies stable subsets (</w:t>
            </w:r>
            <w:r>
              <w:t xml:space="preserve">“best8”</w:t>
            </w:r>
            <w:r>
              <w:t xml:space="preserve">) that are definable at every site, together with schema-alignment utilities</w:t>
            </w:r>
          </w:p>
        </w:tc>
        <w:tc>
          <w:tcPr/>
          <w:p>
            <w:pPr>
              <w:pStyle w:val="Compact"/>
              <w:jc w:val="left"/>
            </w:pPr>
            <w:r>
              <w:t xml:space="preserve">Removes site-specific artifacts before adaptation and ensures that downstream models operate only on shared attributes</w:t>
            </w:r>
          </w:p>
        </w:tc>
      </w:tr>
      <w:tr>
        <w:tc>
          <w:tcPr/>
          <w:p>
            <w:pPr>
              <w:pStyle w:val="Compact"/>
              <w:jc w:val="left"/>
            </w:pPr>
            <w:r>
              <w:t xml:space="preserve">Covariate shift and mixed acquisition protocols</w:t>
            </w:r>
          </w:p>
        </w:tc>
        <w:tc>
          <w:tcPr/>
          <w:p>
            <w:pPr>
              <w:pStyle w:val="Compact"/>
              <w:jc w:val="left"/>
            </w:pPr>
            <w:r>
              <w:t xml:space="preserve">TCA applied to RFE-selected features realigns marginal distributions before the TabPFN classifier</w:t>
            </w:r>
          </w:p>
        </w:tc>
        <w:tc>
          <w:tcPr/>
          <w:p>
            <w:pPr>
              <w:pStyle w:val="Compact"/>
              <w:jc w:val="left"/>
            </w:pPr>
            <w:r>
              <w:t xml:space="preserve">Reduces the</w:t>
            </w:r>
            <w:r>
              <w:t xml:space="preserve"> </w:t>
            </w:r>
            <m:oMath>
              <m:sSub>
                <m:e>
                  <m:r>
                    <m:t>d</m:t>
                  </m:r>
                </m:e>
                <m:sub>
                  <m:r>
                    <m:rPr>
                      <m:scr m:val="script"/>
                      <m:sty m:val="p"/>
                    </m:rPr>
                    <m:t>H</m:t>
                  </m:r>
                  <m:r>
                    <m:rPr>
                      <m:sty m:val="p"/>
                    </m:rPr>
                    <m:t>Δ</m:t>
                  </m:r>
                  <m:r>
                    <m:rPr>
                      <m:scr m:val="script"/>
                      <m:sty m:val="p"/>
                    </m:rPr>
                    <m:t>H</m:t>
                  </m:r>
                </m:sub>
              </m:sSub>
            </m:oMath>
            <w:r>
              <w:t xml:space="preserve"> </w:t>
            </w:r>
            <w:r>
              <w:t xml:space="preserve">divergence so that context examples remain relevant to target queries</w:t>
            </w:r>
          </w:p>
        </w:tc>
      </w:tr>
      <w:tr>
        <w:tc>
          <w:tcPr/>
          <w:p>
            <w:pPr>
              <w:pStyle w:val="Compact"/>
              <w:jc w:val="left"/>
            </w:pPr>
            <w:r>
              <w:t xml:space="preserve">Label prevalence drift and class imbalance</w:t>
            </w:r>
          </w:p>
        </w:tc>
        <w:tc>
          <w:tcPr/>
          <w:p>
            <w:pPr>
              <w:pStyle w:val="Compact"/>
              <w:jc w:val="left"/>
            </w:pPr>
            <w:r>
              <w:t xml:space="preserve">Class-balanced sampling, calibrated decision thresholds, and ensemble temperature scaling</w:t>
            </w:r>
          </w:p>
        </w:tc>
        <w:tc>
          <w:tcPr/>
          <w:p>
            <w:pPr>
              <w:pStyle w:val="Compact"/>
              <w:jc w:val="left"/>
            </w:pPr>
            <w:r>
              <w:t xml:space="preserve">Maintains sensitivity for malignant/SPN-positive cohorts and accounts for higher diabetes rates in non-White BRFSS respondents</w:t>
            </w:r>
          </w:p>
        </w:tc>
      </w:tr>
      <w:tr>
        <w:tc>
          <w:tcPr/>
          <w:p>
            <w:pPr>
              <w:pStyle w:val="Compact"/>
              <w:jc w:val="left"/>
            </w:pPr>
            <w:r>
              <w:t xml:space="preserve">Variance from preprocessing choices</w:t>
            </w:r>
          </w:p>
        </w:tc>
        <w:tc>
          <w:tcPr/>
          <w:p>
            <w:pPr>
              <w:pStyle w:val="Compact"/>
              <w:jc w:val="left"/>
            </w:pPr>
            <w:r>
              <w:t xml:space="preserve">Multi-branch preprocessing (ordering, quantile transforms, ordinal encoding) with ensemble averaging</w:t>
            </w:r>
          </w:p>
        </w:tc>
        <w:tc>
          <w:tcPr/>
          <w:p>
            <w:pPr>
              <w:pStyle w:val="Compact"/>
              <w:jc w:val="left"/>
            </w:pPr>
            <w:r>
              <w:t xml:space="preserve">Introduces diversity without retraining new weights and stabilizes predictions under minor data perturbations</w:t>
            </w:r>
          </w:p>
        </w:tc>
      </w:tr>
    </w:tbl>
    <w:bookmarkEnd w:id="73"/>
    <w:p>
      <w:pPr>
        <w:pStyle w:val="a0"/>
      </w:pPr>
      <w:r>
        <w:t xml:space="preserve">This architecture is explicitly designed so that each component addresses a specific question: why do small-sample medical deployments fail, and which prior or alignment mechanism mitigates that failure? Specifically, the TabPFN backbone addresses the small-sample, high-dimensional regime; cross-domain RFE addresses feature mismatch and feature heterogeneity across institutions; the TCA module addresses covariate shift and mixed acquisition protocols; the calibration and sampling utilities address label prevalence drift and class imbalance; and the multi-branch preprocessing ensemble addresses instability arising from preprocessing choices.</w:t>
      </w:r>
    </w:p>
    <w:bookmarkEnd w:id="74"/>
    <w:bookmarkStart w:id="79" w:name="subsec:feature_engineering"/>
    <w:p>
      <w:pPr>
        <w:pStyle w:val="2"/>
      </w:pPr>
      <w:r>
        <w:t xml:space="preserve">Feature Engineering and Selection Implementation</w:t>
      </w:r>
    </w:p>
    <w:p>
      <w:pPr>
        <w:pStyle w:val="FirstParagraph"/>
      </w:pPr>
      <w:r>
        <w:t xml:space="preserve">The feature engineering pipeline in PANDA is designed to accommodate the heterogeneity of medical data sources while preserving domain-invariant signals. This component directly targets the feature mismatch and feature heterogeneity challenges by enforcing that downstream models operate only on features that are consistently available and stable across hospitals. It comprises two stages: global feature selection via Cross-Domain RFE and local feature transformation via TabPFN’s internal preprocessing branches.</w:t>
      </w:r>
    </w:p>
    <w:bookmarkStart w:id="77" w:name="sec:methods-rfe"/>
    <w:p>
      <w:pPr>
        <w:pStyle w:val="3"/>
      </w:pPr>
      <w:r>
        <w:t xml:space="preserve">Cross-Domain Recursive Feature Elimination (RFE)</w:t>
      </w:r>
    </w:p>
    <w:p>
      <w:pPr>
        <w:pStyle w:val="FirstParagraph"/>
      </w:pPr>
      <w:bookmarkStart w:id="75" w:name="subsubsec:rfe_implementation"/>
      <w:bookmarkEnd w:id="75"/>
      <w:r>
        <w:t xml:space="preserve"> </w:t>
      </w:r>
      <w:r>
        <w:t xml:space="preserve">To address the</w:t>
      </w:r>
      <w:r>
        <w:t xml:space="preserve"> </w:t>
      </w:r>
      <w:r>
        <w:rPr>
          <w:i/>
          <w:iCs/>
        </w:rPr>
        <w:t xml:space="preserve">feature mismatch</w:t>
      </w:r>
      <w:r>
        <w:t xml:space="preserve"> </w:t>
      </w:r>
      <w:r>
        <w:t xml:space="preserve">challenge, we implement a Cross-Domain Recursive Feature Elimination (RFE) strategy. Unlike standard RFE, which optimizes for a single dataset, this approach seeks a feature subset</w:t>
      </w:r>
      <w:r>
        <w:t xml:space="preserve"> </w:t>
      </w:r>
      <m:oMath>
        <m:sSup>
          <m:e>
            <m:r>
              <m:t>F</m:t>
            </m:r>
          </m:e>
          <m:sup>
            <m:r>
              <m:rPr>
                <m:sty m:val="p"/>
              </m:rPr>
              <m:t>*</m:t>
            </m:r>
          </m:sup>
        </m:sSup>
      </m:oMath>
      <w:r>
        <w:t xml:space="preserve"> </w:t>
      </w:r>
      <w:r>
        <w:t xml:space="preserve">that maximizes predictive performance on the source domain</w:t>
      </w:r>
      <w:r>
        <w:t xml:space="preserve"> </w:t>
      </w:r>
      <m:oMath>
        <m:sSub>
          <m:e>
            <m:r>
              <m:t>P</m:t>
            </m:r>
          </m:e>
          <m:sub>
            <m:r>
              <m:t>S</m:t>
            </m:r>
          </m:sub>
        </m:sSub>
      </m:oMath>
      <w:r>
        <w:t xml:space="preserve"> </w:t>
      </w:r>
      <w:r>
        <w:t xml:space="preserve">while satisfying availability constraints in the target domain</w:t>
      </w:r>
      <w:r>
        <w:t xml:space="preserve"> </w:t>
      </w:r>
      <m:oMath>
        <m:sSub>
          <m:e>
            <m:r>
              <m:t>P</m:t>
            </m:r>
          </m:e>
          <m:sub>
            <m:r>
              <m:t>T</m:t>
            </m:r>
          </m:sub>
        </m:sSub>
      </m:oMath>
      <w:r>
        <w:t xml:space="preserve">.</w:t>
      </w:r>
    </w:p>
    <w:p>
      <w:pPr>
        <w:pStyle w:val="a0"/>
      </w:pPr>
      <w:r>
        <w:t xml:space="preserve">The process uses a wrapper around the TabPFN classifier to compute permutation importance. We define the importance of feature</w:t>
      </w:r>
      <w:r>
        <w:t xml:space="preserve"> </w:t>
      </w:r>
      <m:oMath>
        <m:r>
          <m:t>j</m:t>
        </m:r>
      </m:oMath>
      <w:r>
        <w:t xml:space="preserve"> </w:t>
      </w:r>
      <w:r>
        <w:t xml:space="preserve">as the degradation in when its values are randomly shuffled:</w:t>
      </w:r>
    </w:p>
    <w:p>
      <w:pPr>
        <w:pStyle w:val="a0"/>
      </w:pPr>
      <m:oMathPara>
        <m:oMathParaPr>
          <m:jc m:val="center"/>
        </m:oMathParaPr>
        <m:oMath>
          <m:sSub>
            <m:e>
              <m:r>
                <m:t>I</m:t>
              </m:r>
            </m:e>
            <m:sub>
              <m:sSub>
                <m:e>
                  <m:r>
                    <m:rPr>
                      <m:nor/>
                      <m:sty m:val="p"/>
                    </m:rPr>
                    <m:t>RFE</m:t>
                  </m:r>
                </m:e>
                <m:sub>
                  <m:r>
                    <m:t>j</m:t>
                  </m:r>
                </m:sub>
              </m:sSub>
            </m:sub>
          </m:sSub>
          <m:r>
            <m:rPr>
              <m:sty m:val="p"/>
            </m:rPr>
            <m:t>=</m:t>
          </m:r>
          <m:sSub>
            <m:e>
              <m:r>
                <m:t>ℓ</m:t>
              </m:r>
            </m:e>
            <m:sub>
              <m:r>
                <m:t>A</m:t>
              </m:r>
              <m:r>
                <m:t>U</m:t>
              </m:r>
              <m:r>
                <m:t>C</m:t>
              </m:r>
            </m:sub>
          </m:sSub>
          <m:r>
            <m:rPr>
              <m:sty m:val="p"/>
            </m:rPr>
            <m:t>(</m:t>
          </m:r>
          <m:sSub>
            <m:e>
              <m:r>
                <m:rPr>
                  <m:scr m:val="script"/>
                  <m:sty m:val="p"/>
                </m:rPr>
                <m:t>D</m:t>
              </m:r>
            </m:e>
            <m:sub>
              <m:r>
                <m:rPr>
                  <m:nor/>
                  <m:sty m:val="p"/>
                </m:rPr>
                <m:t>val</m:t>
              </m:r>
            </m:sub>
          </m:sSub>
          <m:r>
            <m:rPr>
              <m:sty m:val="p"/>
            </m:rPr>
            <m:t>)</m:t>
          </m:r>
          <m:r>
            <m:rPr>
              <m:sty m:val="p"/>
            </m:rPr>
            <m:t>−</m:t>
          </m:r>
          <m:f>
            <m:fPr>
              <m:type m:val="bar"/>
            </m:fPr>
            <m:num>
              <m:r>
                <m:t>1</m:t>
              </m:r>
            </m:num>
            <m:den>
              <m:r>
                <m:t>K</m:t>
              </m:r>
            </m:den>
          </m:f>
          <m:nary>
            <m:naryPr>
              <m:chr m:val="∑"/>
              <m:limLoc m:val="undOvr"/>
              <m:subHide m:val="off"/>
              <m:supHide m:val="off"/>
            </m:naryPr>
            <m:sub>
              <m:r>
                <m:t>k</m:t>
              </m:r>
              <m:r>
                <m:rPr>
                  <m:sty m:val="p"/>
                </m:rPr>
                <m:t>=</m:t>
              </m:r>
              <m:r>
                <m:t>1</m:t>
              </m:r>
            </m:sub>
            <m:sup>
              <m:r>
                <m:t>K</m:t>
              </m:r>
            </m:sup>
            <m:e>
              <m:sSub>
                <m:e>
                  <m:r>
                    <m:t>ℓ</m:t>
                  </m:r>
                </m:e>
                <m:sub>
                  <m:r>
                    <m:t>A</m:t>
                  </m:r>
                  <m:r>
                    <m:t>U</m:t>
                  </m:r>
                  <m:r>
                    <m:t>C</m:t>
                  </m:r>
                </m:sub>
              </m:sSub>
            </m:e>
          </m:nary>
          <m:r>
            <m:rPr>
              <m:sty m:val="p"/>
            </m:rPr>
            <m:t>(</m:t>
          </m:r>
          <m:sSubSup>
            <m:e>
              <m:r>
                <m:rPr>
                  <m:scr m:val="script"/>
                  <m:sty m:val="p"/>
                </m:rPr>
                <m:t>D</m:t>
              </m:r>
            </m:e>
            <m:sub>
              <m:r>
                <m:rPr>
                  <m:nor/>
                  <m:sty m:val="p"/>
                </m:rPr>
                <m:t>val</m:t>
              </m:r>
            </m:sub>
            <m:sup>
              <m:r>
                <m:rPr>
                  <m:sty m:val="p"/>
                </m:rPr>
                <m:t>(</m:t>
              </m:r>
              <m:r>
                <m:t>j</m:t>
              </m:r>
              <m:r>
                <m:rPr>
                  <m:sty m:val="p"/>
                </m:rPr>
                <m:t>,</m:t>
              </m:r>
              <m:r>
                <m:rPr>
                  <m:nor/>
                  <m:sty m:val="p"/>
                </m:rPr>
                <m:t>shuffled</m:t>
              </m:r>
              <m:r>
                <m:rPr>
                  <m:sty m:val="p"/>
                </m:rPr>
                <m:t>)</m:t>
              </m:r>
            </m:sup>
          </m:sSubSup>
          <m:r>
            <m:rPr>
              <m:sty m:val="p"/>
            </m:rPr>
            <m:t>)</m:t>
          </m:r>
        </m:oMath>
      </m:oMathPara>
    </w:p>
    <w:p>
      <w:pPr>
        <w:pStyle w:val="FirstParagraph"/>
      </w:pPr>
      <w:r>
        <w:t xml:space="preserve">where</w:t>
      </w:r>
      <w:r>
        <w:t xml:space="preserve"> </w:t>
      </w:r>
      <m:oMath>
        <m:r>
          <m:t>K</m:t>
        </m:r>
        <m:r>
          <m:rPr>
            <m:sty m:val="p"/>
          </m:rPr>
          <m:t>=</m:t>
        </m:r>
        <m:r>
          <m:t>5</m:t>
        </m:r>
      </m:oMath>
      <w:r>
        <w:t xml:space="preserve"> </w:t>
      </w:r>
      <w:r>
        <w:t xml:space="preserve">repeats. Algorithm </w:t>
      </w:r>
      <w:hyperlink w:anchor="alg:cross_domain_rfe">
        <w:r>
          <w:rPr>
            <w:rStyle w:val="af"/>
          </w:rPr>
          <w:t xml:space="preserve">1.2.1.1</w:t>
        </w:r>
      </w:hyperlink>
      <w:r>
        <w:t xml:space="preserve"> </w:t>
      </w:r>
      <w:r>
        <w:t xml:space="preserve">details the iterative elimination process.</w:t>
      </w:r>
    </w:p>
    <w:bookmarkStart w:id="76" w:name="alg:cross_domain_rfe"/>
    <w:p>
      <w:pPr>
        <w:pStyle w:val="4"/>
      </w:pPr>
      <w:r>
        <w:t xml:space="preserve">Algorithm</w:t>
      </w:r>
      <w:r>
        <w:t xml:space="preserve"> </w:t>
      </w:r>
      <w:hyperlink w:anchor="alg:cross_domain_rfe">
        <w:r>
          <w:rPr>
            <w:rStyle w:val="af"/>
          </w:rPr>
          <w:t xml:space="preserve">1.2.1.1</w:t>
        </w:r>
      </w:hyperlink>
      <w:r>
        <w:t xml:space="preserve">: Cross-Domain Recursive Feature Elimination (RFE) with CEI Optimization</w:t>
      </w:r>
    </w:p>
    <w:p>
      <w:pPr>
        <w:numPr>
          <w:ilvl w:val="0"/>
          <w:numId w:val="1015"/>
        </w:numPr>
      </w:pPr>
      <w:r>
        <w:rPr>
          <w:b/>
          <w:bCs/>
        </w:rPr>
        <w:t xml:space="preserve">Input:</w:t>
      </w:r>
      <w:r>
        <w:t xml:space="preserve"> </w:t>
      </w:r>
      <w:r>
        <w:t xml:space="preserve">source data</w:t>
      </w:r>
      <w:r>
        <w:t xml:space="preserve"> </w:t>
      </w:r>
      <m:oMath>
        <m:r>
          <m:rPr>
            <m:sty m:val="p"/>
          </m:rPr>
          <m:t>(</m:t>
        </m:r>
        <m:r>
          <m:t>S</m:t>
        </m:r>
        <m:r>
          <m:t>f</m:t>
        </m:r>
        <m:r>
          <m:t>e</m:t>
        </m:r>
        <m:r>
          <m:t>a</m:t>
        </m:r>
        <m:r>
          <m:t>t</m:t>
        </m:r>
        <m:r>
          <m:t>u</m:t>
        </m:r>
        <m:r>
          <m:t>r</m:t>
        </m:r>
        <m:r>
          <m:t>e</m:t>
        </m:r>
        <m:r>
          <m:t>s</m:t>
        </m:r>
        <m:r>
          <m:rPr>
            <m:sty m:val="p"/>
          </m:rPr>
          <m:t>,</m:t>
        </m:r>
        <m:r>
          <m:t>S</m:t>
        </m:r>
        <m:r>
          <m:t>l</m:t>
        </m:r>
        <m:r>
          <m:t>a</m:t>
        </m:r>
        <m:r>
          <m:t>b</m:t>
        </m:r>
        <m:r>
          <m:t>e</m:t>
        </m:r>
        <m:r>
          <m:t>l</m:t>
        </m:r>
        <m:r>
          <m:t>s</m:t>
        </m:r>
        <m:r>
          <m:rPr>
            <m:sty m:val="p"/>
          </m:rPr>
          <m:t>)</m:t>
        </m:r>
      </m:oMath>
      <w:r>
        <w:t xml:space="preserve">; target feature count range</w:t>
      </w:r>
      <w:r>
        <w:t xml:space="preserve"> </w:t>
      </w:r>
      <m:oMath>
        <m:r>
          <m:rPr>
            <m:sty m:val="p"/>
          </m:rPr>
          <m:t>[</m:t>
        </m:r>
        <m:sSub>
          <m:e>
            <m:r>
              <m:t>k</m:t>
            </m:r>
          </m:e>
          <m:sub>
            <m:r>
              <m:rPr>
                <m:sty m:val="p"/>
              </m:rPr>
              <m:t>min</m:t>
            </m:r>
          </m:sub>
        </m:sSub>
        <m:r>
          <m:rPr>
            <m:sty m:val="p"/>
          </m:rPr>
          <m:t>,</m:t>
        </m:r>
        <m:sSub>
          <m:e>
            <m:r>
              <m:t>k</m:t>
            </m:r>
          </m:e>
          <m:sub>
            <m:r>
              <m:rPr>
                <m:sty m:val="p"/>
              </m:rPr>
              <m:t>max</m:t>
            </m:r>
          </m:sub>
        </m:sSub>
        <m:r>
          <m:rPr>
            <m:sty m:val="p"/>
          </m:rPr>
          <m:t>]</m:t>
        </m:r>
      </m:oMath>
      <w:r>
        <w:t xml:space="preserve">.</w:t>
      </w:r>
    </w:p>
    <w:p>
      <w:pPr>
        <w:numPr>
          <w:ilvl w:val="0"/>
          <w:numId w:val="1015"/>
        </w:numPr>
      </w:pPr>
      <w:r>
        <w:t xml:space="preserve">Initialize the TabPFN wrapper (permutation importance enabled) and records</w:t>
      </w:r>
      <w:r>
        <w:t xml:space="preserve"> </w:t>
      </w:r>
      <m:oMath>
        <m:r>
          <m:rPr>
            <m:scr m:val="script"/>
            <m:sty m:val="p"/>
          </m:rPr>
          <m:t>M</m:t>
        </m:r>
        <m:r>
          <m:rPr>
            <m:sty m:val="p"/>
          </m:rPr>
          <m:t>←</m:t>
        </m:r>
        <m:r>
          <m:rPr>
            <m:sty m:val="p"/>
          </m:rPr>
          <m:t>∅</m:t>
        </m:r>
      </m:oMath>
      <w:r>
        <w:t xml:space="preserve">.</w:t>
      </w:r>
    </w:p>
    <w:p>
      <w:pPr>
        <w:numPr>
          <w:ilvl w:val="0"/>
          <w:numId w:val="1015"/>
        </w:numPr>
      </w:pPr>
      <w:r>
        <w:t xml:space="preserve">For each</w:t>
      </w:r>
      <w:r>
        <w:t xml:space="preserve"> </w:t>
      </w:r>
      <m:oMath>
        <m:r>
          <m:t>k</m:t>
        </m:r>
      </m:oMath>
      <w:r>
        <w:t xml:space="preserve"> </w:t>
      </w:r>
      <w:r>
        <w:t xml:space="preserve">from</w:t>
      </w:r>
      <w:r>
        <w:t xml:space="preserve"> </w:t>
      </w:r>
      <m:oMath>
        <m:sSub>
          <m:e>
            <m:r>
              <m:t>k</m:t>
            </m:r>
          </m:e>
          <m:sub>
            <m:r>
              <m:rPr>
                <m:sty m:val="p"/>
              </m:rPr>
              <m:t>max</m:t>
            </m:r>
          </m:sub>
        </m:sSub>
      </m:oMath>
      <w:r>
        <w:t xml:space="preserve"> </w:t>
      </w:r>
      <w:r>
        <w:t xml:space="preserve">down to</w:t>
      </w:r>
      <w:r>
        <w:t xml:space="preserve"> </w:t>
      </w:r>
      <m:oMath>
        <m:sSub>
          <m:e>
            <m:r>
              <m:t>k</m:t>
            </m:r>
          </m:e>
          <m:sub>
            <m:r>
              <m:rPr>
                <m:sty m:val="p"/>
              </m:rPr>
              <m:t>min</m:t>
            </m:r>
          </m:sub>
        </m:sSub>
      </m:oMath>
      <w:r>
        <w:t xml:space="preserve">:</w:t>
      </w:r>
    </w:p>
    <w:p>
      <w:pPr>
        <w:numPr>
          <w:ilvl w:val="1"/>
          <w:numId w:val="1016"/>
        </w:numPr>
      </w:pPr>
      <w:r>
        <w:t xml:space="preserve">Configure sklearn RFE: estimator=TabPFNWrapper,</w:t>
      </w:r>
      <w:r>
        <w:t xml:space="preserve"> </w:t>
      </w:r>
      <m:oMath>
        <m:r>
          <m:t>n</m:t>
        </m:r>
        <m:r>
          <m:rPr>
            <m:sty m:val="p"/>
          </m:rPr>
          <m:t>_</m:t>
        </m:r>
        <m:r>
          <m:t>f</m:t>
        </m:r>
        <m:r>
          <m:t>e</m:t>
        </m:r>
        <m:r>
          <m:t>a</m:t>
        </m:r>
        <m:r>
          <m:t>t</m:t>
        </m:r>
        <m:r>
          <m:t>u</m:t>
        </m:r>
        <m:r>
          <m:t>r</m:t>
        </m:r>
        <m:r>
          <m:t>e</m:t>
        </m:r>
        <m:r>
          <m:t>s</m:t>
        </m:r>
        <m:r>
          <m:rPr>
            <m:sty m:val="p"/>
          </m:rPr>
          <m:t>_</m:t>
        </m:r>
        <m:r>
          <m:t>t</m:t>
        </m:r>
        <m:r>
          <m:t>o</m:t>
        </m:r>
        <m:r>
          <m:rPr>
            <m:sty m:val="p"/>
          </m:rPr>
          <m:t>_</m:t>
        </m:r>
        <m:r>
          <m:t>s</m:t>
        </m:r>
        <m:r>
          <m:t>e</m:t>
        </m:r>
        <m:r>
          <m:t>l</m:t>
        </m:r>
        <m:r>
          <m:t>e</m:t>
        </m:r>
        <m:r>
          <m:t>c</m:t>
        </m:r>
        <m:r>
          <m:t>t</m:t>
        </m:r>
        <m:r>
          <m:rPr>
            <m:sty m:val="p"/>
          </m:rPr>
          <m:t>=</m:t>
        </m:r>
        <m:r>
          <m:t>k</m:t>
        </m:r>
      </m:oMath>
      <w:r>
        <w:t xml:space="preserve">, step=1.</w:t>
      </w:r>
    </w:p>
    <w:p>
      <w:pPr>
        <w:numPr>
          <w:ilvl w:val="1"/>
          <w:numId w:val="1016"/>
        </w:numPr>
      </w:pPr>
      <w:r>
        <w:t xml:space="preserve">Fit RFE to obtain</w:t>
      </w:r>
      <w:r>
        <w:t xml:space="preserve"> </w:t>
      </w:r>
      <m:oMath>
        <m:r>
          <m:rPr>
            <m:sty m:val="p"/>
          </m:rPr>
          <m:t>(</m:t>
        </m:r>
        <m:sSub>
          <m:e>
            <m:r>
              <m:t>F</m:t>
            </m:r>
          </m:e>
          <m:sub>
            <m:r>
              <m:t>k</m:t>
            </m:r>
          </m:sub>
        </m:sSub>
        <m:r>
          <m:rPr>
            <m:sty m:val="p"/>
          </m:rPr>
          <m:t>,</m:t>
        </m:r>
        <m:sSub>
          <m:e>
            <m:r>
              <m:rPr>
                <m:nor/>
                <m:sty m:val="p"/>
              </m:rPr>
              <m:t>ranking</m:t>
            </m:r>
          </m:e>
          <m:sub>
            <m:r>
              <m:t>k</m:t>
            </m:r>
          </m:sub>
        </m:sSub>
        <m:r>
          <m:rPr>
            <m:sty m:val="p"/>
          </m:rPr>
          <m:t>)</m:t>
        </m:r>
      </m:oMath>
      <w:r>
        <w:t xml:space="preserve"> </w:t>
      </w:r>
      <w:r>
        <w:t xml:space="preserve">on</w:t>
      </w:r>
      <w:r>
        <w:t xml:space="preserve"> </w:t>
      </w:r>
      <m:oMath>
        <m:r>
          <m:rPr>
            <m:sty m:val="p"/>
          </m:rPr>
          <m:t>(</m:t>
        </m:r>
        <m:r>
          <m:t>S</m:t>
        </m:r>
        <m:r>
          <m:t>f</m:t>
        </m:r>
        <m:r>
          <m:t>e</m:t>
        </m:r>
        <m:r>
          <m:t>a</m:t>
        </m:r>
        <m:r>
          <m:t>t</m:t>
        </m:r>
        <m:r>
          <m:t>u</m:t>
        </m:r>
        <m:r>
          <m:t>r</m:t>
        </m:r>
        <m:r>
          <m:t>e</m:t>
        </m:r>
        <m:r>
          <m:t>s</m:t>
        </m:r>
        <m:r>
          <m:rPr>
            <m:sty m:val="p"/>
          </m:rPr>
          <m:t>,</m:t>
        </m:r>
        <m:r>
          <m:t>S</m:t>
        </m:r>
        <m:r>
          <m:t>l</m:t>
        </m:r>
        <m:r>
          <m:t>a</m:t>
        </m:r>
        <m:r>
          <m:t>b</m:t>
        </m:r>
        <m:r>
          <m:t>e</m:t>
        </m:r>
        <m:r>
          <m:t>l</m:t>
        </m:r>
        <m:r>
          <m:t>s</m:t>
        </m:r>
        <m:r>
          <m:rPr>
            <m:sty m:val="p"/>
          </m:rPr>
          <m:t>)</m:t>
        </m:r>
      </m:oMath>
      <w:r>
        <w:t xml:space="preserve">.</w:t>
      </w:r>
    </w:p>
    <w:p>
      <w:pPr>
        <w:numPr>
          <w:ilvl w:val="1"/>
          <w:numId w:val="1016"/>
        </w:numPr>
      </w:pPr>
      <w:r>
        <w:t xml:space="preserve">Evaluate</w:t>
      </w:r>
      <w:r>
        <w:t xml:space="preserve"> </w:t>
      </w:r>
      <m:oMath>
        <m:sSub>
          <m:e>
            <m:r>
              <m:t>m</m:t>
            </m:r>
          </m:e>
          <m:sub>
            <m:r>
              <m:t>k</m:t>
            </m:r>
          </m:sub>
        </m:sSub>
        <m:r>
          <m:rPr>
            <m:sty m:val="p"/>
          </m:rPr>
          <m:t>(</m:t>
        </m:r>
        <m:r>
          <m:t>k</m:t>
        </m:r>
        <m:r>
          <m:rPr>
            <m:sty m:val="p"/>
          </m:rPr>
          <m:t>)</m:t>
        </m:r>
        <m:r>
          <m:rPr>
            <m:sty m:val="p"/>
          </m:rPr>
          <m:t>=</m:t>
        </m:r>
        <m:r>
          <m:rPr>
            <m:nor/>
            <m:sty m:val="p"/>
          </m:rPr>
          <m:t>CV-AUC</m:t>
        </m:r>
        <m:r>
          <m:rPr>
            <m:sty m:val="p"/>
          </m:rPr>
          <m:t>(</m:t>
        </m:r>
        <m:sSub>
          <m:e>
            <m:r>
              <m:t>F</m:t>
            </m:r>
          </m:e>
          <m:sub>
            <m:r>
              <m:t>k</m:t>
            </m:r>
          </m:sub>
        </m:sSub>
        <m:r>
          <m:rPr>
            <m:sty m:val="p"/>
          </m:rPr>
          <m:t>)</m:t>
        </m:r>
      </m:oMath>
      <w:r>
        <w:t xml:space="preserve"> </w:t>
      </w:r>
      <w:r>
        <w:t xml:space="preserve">with</w:t>
      </w:r>
      <w:r>
        <w:t xml:space="preserve"> </w:t>
      </w:r>
      <m:oMath>
        <m:r>
          <m:t>K</m:t>
        </m:r>
      </m:oMath>
      <w:r>
        <w:t xml:space="preserve">-fold CV.</w:t>
      </w:r>
    </w:p>
    <w:p>
      <w:pPr>
        <w:numPr>
          <w:ilvl w:val="1"/>
          <w:numId w:val="1016"/>
        </w:numPr>
      </w:pPr>
      <w:r>
        <w:t xml:space="preserve">Compute CEI components</w:t>
      </w:r>
      <w:r>
        <w:t xml:space="preserve"> </w:t>
      </w:r>
      <m:oMath>
        <m:sSub>
          <m:e>
            <m:r>
              <m:t>S</m:t>
            </m:r>
          </m:e>
          <m:sub>
            <m:r>
              <m:rPr>
                <m:nor/>
                <m:sty m:val="p"/>
              </m:rPr>
              <m:t>perf</m:t>
            </m:r>
          </m:sub>
        </m:sSub>
        <m:r>
          <m:rPr>
            <m:sty m:val="p"/>
          </m:rPr>
          <m:t>(</m:t>
        </m:r>
        <m:r>
          <m:t>k</m:t>
        </m:r>
        <m:r>
          <m:rPr>
            <m:sty m:val="p"/>
          </m:rPr>
          <m:t>)</m:t>
        </m:r>
      </m:oMath>
      <w:r>
        <w:t xml:space="preserve">,</w:t>
      </w:r>
      <w:r>
        <w:t xml:space="preserve"> </w:t>
      </w:r>
      <m:oMath>
        <m:sSub>
          <m:e>
            <m:r>
              <m:t>S</m:t>
            </m:r>
          </m:e>
          <m:sub>
            <m:r>
              <m:rPr>
                <m:nor/>
                <m:sty m:val="p"/>
              </m:rPr>
              <m:t>eff</m:t>
            </m:r>
          </m:sub>
        </m:sSub>
        <m:r>
          <m:rPr>
            <m:sty m:val="p"/>
          </m:rPr>
          <m:t>(</m:t>
        </m:r>
        <m:r>
          <m:t>k</m:t>
        </m:r>
        <m:r>
          <m:rPr>
            <m:sty m:val="p"/>
          </m:rPr>
          <m:t>)</m:t>
        </m:r>
      </m:oMath>
      <w:r>
        <w:t xml:space="preserve">,</w:t>
      </w:r>
      <w:r>
        <w:t xml:space="preserve"> </w:t>
      </w:r>
      <m:oMath>
        <m:sSub>
          <m:e>
            <m:r>
              <m:t>S</m:t>
            </m:r>
          </m:e>
          <m:sub>
            <m:r>
              <m:rPr>
                <m:nor/>
                <m:sty m:val="p"/>
              </m:rPr>
              <m:t>stab</m:t>
            </m:r>
          </m:sub>
        </m:sSub>
        <m:r>
          <m:rPr>
            <m:sty m:val="p"/>
          </m:rPr>
          <m:t>(</m:t>
        </m:r>
        <m:r>
          <m:t>k</m:t>
        </m:r>
        <m:r>
          <m:rPr>
            <m:sty m:val="p"/>
          </m:rPr>
          <m:t>)</m:t>
        </m:r>
      </m:oMath>
      <w:r>
        <w:t xml:space="preserve">,</w:t>
      </w:r>
      <w:r>
        <w:t xml:space="preserve"> </w:t>
      </w:r>
      <m:oMath>
        <m:sSub>
          <m:e>
            <m:r>
              <m:t>S</m:t>
            </m:r>
          </m:e>
          <m:sub>
            <m:r>
              <m:rPr>
                <m:nor/>
                <m:sty m:val="p"/>
              </m:rPr>
              <m:t>simp</m:t>
            </m:r>
          </m:sub>
        </m:sSub>
        <m:r>
          <m:rPr>
            <m:sty m:val="p"/>
          </m:rPr>
          <m:t>(</m:t>
        </m:r>
        <m:r>
          <m:t>k</m:t>
        </m:r>
        <m:r>
          <m:rPr>
            <m:sty m:val="p"/>
          </m:rPr>
          <m:t>)</m:t>
        </m:r>
      </m:oMath>
      <w:r>
        <w:t xml:space="preserve">.</w:t>
      </w:r>
    </w:p>
    <w:p>
      <w:pPr>
        <w:numPr>
          <w:ilvl w:val="1"/>
          <w:numId w:val="1016"/>
        </w:numPr>
      </w:pPr>
      <w:r>
        <w:t xml:space="preserve">Compute</w:t>
      </w:r>
      <w:r>
        <w:t xml:space="preserve"> </w:t>
      </w:r>
      <m:oMath>
        <m:r>
          <m:rPr>
            <m:nor/>
            <m:sty m:val="p"/>
          </m:rPr>
          <m:t>CEI</m:t>
        </m:r>
        <m:r>
          <m:rPr>
            <m:sty m:val="p"/>
          </m:rPr>
          <m:t>(</m:t>
        </m:r>
        <m:r>
          <m:t>k</m:t>
        </m:r>
        <m:r>
          <m:rPr>
            <m:sty m:val="p"/>
          </m:rPr>
          <m:t>)</m:t>
        </m:r>
      </m:oMath>
      <w:r>
        <w:t xml:space="preserve"> </w:t>
      </w:r>
      <w:r>
        <w:t xml:space="preserve">from the weighted sum of the four components.</w:t>
      </w:r>
    </w:p>
    <w:p>
      <w:pPr>
        <w:numPr>
          <w:ilvl w:val="1"/>
          <w:numId w:val="1016"/>
        </w:numPr>
      </w:pPr>
      <w:r>
        <w:t xml:space="preserve">Append</w:t>
      </w:r>
      <w:r>
        <w:t xml:space="preserve"> </w:t>
      </w:r>
      <m:oMath>
        <m:r>
          <m:rPr>
            <m:sty m:val="p"/>
          </m:rPr>
          <m:t>(</m:t>
        </m:r>
        <m:r>
          <m:t>k</m:t>
        </m:r>
        <m:r>
          <m:rPr>
            <m:sty m:val="p"/>
          </m:rPr>
          <m:t>,</m:t>
        </m:r>
        <m:sSub>
          <m:e>
            <m:r>
              <m:t>F</m:t>
            </m:r>
          </m:e>
          <m:sub>
            <m:r>
              <m:t>k</m:t>
            </m:r>
          </m:sub>
        </m:sSub>
        <m:r>
          <m:rPr>
            <m:sty m:val="p"/>
          </m:rPr>
          <m:t>,</m:t>
        </m:r>
        <m:r>
          <m:rPr>
            <m:nor/>
            <m:sty m:val="p"/>
          </m:rPr>
          <m:t>CEI</m:t>
        </m:r>
        <m:r>
          <m:rPr>
            <m:sty m:val="p"/>
          </m:rPr>
          <m:t>(</m:t>
        </m:r>
        <m:r>
          <m:t>k</m:t>
        </m:r>
        <m:r>
          <m:rPr>
            <m:sty m:val="p"/>
          </m:rPr>
          <m:t>)</m:t>
        </m:r>
        <m:r>
          <m:rPr>
            <m:sty m:val="p"/>
          </m:rPr>
          <m:t>)</m:t>
        </m:r>
      </m:oMath>
      <w:r>
        <w:t xml:space="preserve"> </w:t>
      </w:r>
      <w:r>
        <w:t xml:space="preserve">to</w:t>
      </w:r>
      <w:r>
        <w:t xml:space="preserve"> </w:t>
      </w:r>
      <m:oMath>
        <m:r>
          <m:rPr>
            <m:scr m:val="script"/>
            <m:sty m:val="p"/>
          </m:rPr>
          <m:t>M</m:t>
        </m:r>
      </m:oMath>
      <w:r>
        <w:t xml:space="preserve">.</w:t>
      </w:r>
    </w:p>
    <w:p>
      <w:pPr>
        <w:numPr>
          <w:ilvl w:val="0"/>
          <w:numId w:val="1015"/>
        </w:numPr>
      </w:pPr>
      <w:r>
        <w:t xml:space="preserve">Select</w:t>
      </w:r>
      <w:r>
        <w:t xml:space="preserve"> </w:t>
      </w:r>
      <m:oMath>
        <m:sSubSup>
          <m:e>
            <m:r>
              <m:t>d</m:t>
            </m:r>
          </m:e>
          <m:sub>
            <m:r>
              <m:rPr>
                <m:nor/>
                <m:sty m:val="p"/>
              </m:rPr>
              <m:t>RFE</m:t>
            </m:r>
          </m:sub>
          <m:sup>
            <m:r>
              <m:rPr>
                <m:sty m:val="p"/>
              </m:rPr>
              <m:t>*</m:t>
            </m:r>
          </m:sup>
        </m:sSubSup>
        <m:r>
          <m:rPr>
            <m:sty m:val="p"/>
          </m:rPr>
          <m:t>=</m:t>
        </m:r>
        <m:sSub>
          <m:e>
            <m:r>
              <m:rPr>
                <m:sty m:val="p"/>
              </m:rPr>
              <m:t>argmax</m:t>
            </m:r>
          </m:e>
          <m:sub>
            <m:r>
              <m:t>k</m:t>
            </m:r>
          </m:sub>
        </m:sSub>
        <m:r>
          <m:rPr>
            <m:nor/>
            <m:sty m:val="p"/>
          </m:rPr>
          <m:t>CEI</m:t>
        </m:r>
        <m:r>
          <m:rPr>
            <m:sty m:val="p"/>
          </m:rPr>
          <m:t>(</m:t>
        </m:r>
        <m:r>
          <m:t>k</m:t>
        </m:r>
        <m:r>
          <m:rPr>
            <m:sty m:val="p"/>
          </m:rPr>
          <m:t>)</m:t>
        </m:r>
      </m:oMath>
      <w:r>
        <w:t xml:space="preserve"> </w:t>
      </w:r>
      <w:r>
        <w:t xml:space="preserve">and set</w:t>
      </w:r>
      <w:r>
        <w:t xml:space="preserve"> </w:t>
      </w:r>
      <m:oMath>
        <m:sSup>
          <m:e>
            <m:r>
              <m:t>F</m:t>
            </m:r>
          </m:e>
          <m:sup>
            <m:r>
              <m:rPr>
                <m:sty m:val="p"/>
              </m:rPr>
              <m:t>*</m:t>
            </m:r>
          </m:sup>
        </m:sSup>
        <m:r>
          <m:rPr>
            <m:sty m:val="p"/>
          </m:rPr>
          <m:t>←</m:t>
        </m:r>
        <m:sSub>
          <m:e>
            <m:r>
              <m:t>F</m:t>
            </m:r>
          </m:e>
          <m:sub>
            <m:sSubSup>
              <m:e>
                <m:r>
                  <m:t>d</m:t>
                </m:r>
              </m:e>
              <m:sub>
                <m:r>
                  <m:rPr>
                    <m:nor/>
                    <m:sty m:val="p"/>
                  </m:rPr>
                  <m:t>RFE</m:t>
                </m:r>
              </m:sub>
              <m:sup>
                <m:r>
                  <m:rPr>
                    <m:sty m:val="p"/>
                  </m:rPr>
                  <m:t>*</m:t>
                </m:r>
              </m:sup>
            </m:sSubSup>
          </m:sub>
        </m:sSub>
      </m:oMath>
      <w:r>
        <w:t xml:space="preserve">.</w:t>
      </w:r>
    </w:p>
    <w:p>
      <w:pPr>
        <w:numPr>
          <w:ilvl w:val="0"/>
          <w:numId w:val="1015"/>
        </w:numPr>
      </w:pPr>
      <w:r>
        <w:rPr>
          <w:b/>
          <w:bCs/>
        </w:rPr>
        <w:t xml:space="preserve">Output:</w:t>
      </w:r>
      <w:r>
        <w:t xml:space="preserve"> </w:t>
      </w:r>
      <w:r>
        <w:t xml:space="preserve">optimal feature subset</w:t>
      </w:r>
      <w:r>
        <w:t xml:space="preserve"> </w:t>
      </w:r>
      <m:oMath>
        <m:sSup>
          <m:e>
            <m:r>
              <m:t>F</m:t>
            </m:r>
          </m:e>
          <m:sup>
            <m:r>
              <m:rPr>
                <m:sty m:val="p"/>
              </m:rPr>
              <m:t>*</m:t>
            </m:r>
          </m:sup>
        </m:sSup>
      </m:oMath>
      <w:r>
        <w:t xml:space="preserve">.</w:t>
      </w:r>
    </w:p>
    <w:p>
      <w:pPr>
        <w:pStyle w:val="FirstParagraph"/>
      </w:pPr>
      <w:r>
        <w:t xml:space="preserve">This algorithm yields the standard feature subsets referenced throughout the study (for example,</w:t>
      </w:r>
      <w:r>
        <w:t xml:space="preserve"> </w:t>
      </w:r>
      <w:r>
        <w:t xml:space="preserve">“best8”</w:t>
      </w:r>
      <w:r>
        <w:t xml:space="preserve">).</w:t>
      </w:r>
    </w:p>
    <w:bookmarkEnd w:id="76"/>
    <w:bookmarkEnd w:id="77"/>
    <w:bookmarkStart w:id="78" w:name="multi-branch-preprocessing-strategy"/>
    <w:p>
      <w:pPr>
        <w:pStyle w:val="3"/>
      </w:pPr>
      <w:r>
        <w:t xml:space="preserve">Multi-Branch Preprocessing Strategy</w:t>
      </w:r>
    </w:p>
    <w:p>
      <w:pPr>
        <w:pStyle w:val="FirstParagraph"/>
      </w:pPr>
      <w:r>
        <w:t xml:space="preserve">Once the feature set is fixed, PANDA leverages TabPFN’s internal ensemble mechanism to handle distribution shifts in feature scaling and encoding. This step primarily addresses the variance introduced by different preprocessing choices and minor covariate shifts in the marginal feature distributions. This mechanism can be viewed as a form of test-time augmentation for tabular data. The ensemble generation mechanism produces 32 distinct views of the data through four preprocessing pipelines:</w:t>
      </w:r>
    </w:p>
    <w:p>
      <w:pPr>
        <w:numPr>
          <w:ilvl w:val="0"/>
          <w:numId w:val="1017"/>
        </w:numPr>
      </w:pPr>
      <w:r>
        <w:rPr>
          <w:b/>
          <w:bCs/>
        </w:rPr>
        <w:t xml:space="preserve">No-Op Branch:</w:t>
      </w:r>
      <w:r>
        <w:t xml:space="preserve"> </w:t>
      </w:r>
      <w:r>
        <w:t xml:space="preserve">Raw features are passed directly, preserving their original distributions, which is useful for tree-like decision logic.</w:t>
      </w:r>
    </w:p>
    <w:p>
      <w:pPr>
        <w:numPr>
          <w:ilvl w:val="0"/>
          <w:numId w:val="1017"/>
        </w:numPr>
      </w:pPr>
      <w:r>
        <w:rPr>
          <w:b/>
          <w:bCs/>
        </w:rPr>
        <w:t xml:space="preserve">Quantile Branch:</w:t>
      </w:r>
      <w:r>
        <w:t xml:space="preserve"> </w:t>
      </w:r>
      <w:r>
        <w:t xml:space="preserve">Features are transformed via</w:t>
      </w:r>
      <w:r>
        <w:t xml:space="preserve"> </w:t>
      </w:r>
      <m:oMath>
        <m:sSup>
          <m:e>
            <m:r>
              <m:t>F</m:t>
            </m:r>
          </m:e>
          <m:sup>
            <m:r>
              <m:rPr>
                <m:sty m:val="p"/>
              </m:rPr>
              <m:t>−</m:t>
            </m:r>
            <m:r>
              <m:t>1</m:t>
            </m:r>
          </m:sup>
        </m:sSup>
        <m:r>
          <m:rPr>
            <m:sty m:val="p"/>
          </m:rPr>
          <m:t>(</m:t>
        </m:r>
        <m:r>
          <m:rPr>
            <m:sty m:val="p"/>
          </m:rPr>
          <m:t>Φ</m:t>
        </m:r>
        <m:r>
          <m:rPr>
            <m:sty m:val="p"/>
          </m:rPr>
          <m:t>(</m:t>
        </m:r>
        <m:r>
          <m:t>x</m:t>
        </m:r>
        <m:r>
          <m:rPr>
            <m:sty m:val="p"/>
          </m:rPr>
          <m:t>)</m:t>
        </m:r>
        <m:r>
          <m:rPr>
            <m:sty m:val="p"/>
          </m:rPr>
          <m:t>)</m:t>
        </m:r>
      </m:oMath>
      <w:r>
        <w:t xml:space="preserve">, mapping the empirical CDF to a standard Normal</w:t>
      </w:r>
      <w:r>
        <w:t xml:space="preserve"> </w:t>
      </w:r>
      <m:oMath>
        <m:r>
          <m:rPr>
            <m:scr m:val="script"/>
            <m:sty m:val="p"/>
          </m:rPr>
          <m:t>N</m:t>
        </m:r>
        <m:r>
          <m:rPr>
            <m:sty m:val="p"/>
          </m:rPr>
          <m:t>(</m:t>
        </m:r>
        <m:r>
          <m:t>0</m:t>
        </m:r>
        <m:r>
          <m:rPr>
            <m:sty m:val="p"/>
          </m:rPr>
          <m:t>,</m:t>
        </m:r>
        <m:r>
          <m:t>1</m:t>
        </m:r>
        <m:r>
          <m:rPr>
            <m:sty m:val="p"/>
          </m:rPr>
          <m:t>)</m:t>
        </m:r>
      </m:oMath>
      <w:r>
        <w:t xml:space="preserve">. This transformation mitigates extreme outliers and skewed distributions common in medical markers (for example, CEA levels).</w:t>
      </w:r>
    </w:p>
    <w:p>
      <w:pPr>
        <w:numPr>
          <w:ilvl w:val="0"/>
          <w:numId w:val="1017"/>
        </w:numPr>
      </w:pPr>
      <w:r>
        <w:rPr>
          <w:b/>
          <w:bCs/>
        </w:rPr>
        <w:t xml:space="preserve">Ordinal Branch:</w:t>
      </w:r>
      <w:r>
        <w:t xml:space="preserve"> </w:t>
      </w:r>
      <w:r>
        <w:t xml:space="preserve">All unique values are ranked and replaced by their integer rank. This transformation removes magnitude information but preserves order, making the model robust to unit changes (for example, centimetres vs millimetres).</w:t>
      </w:r>
    </w:p>
    <w:p>
      <w:pPr>
        <w:numPr>
          <w:ilvl w:val="0"/>
          <w:numId w:val="1017"/>
        </w:numPr>
      </w:pPr>
      <w:r>
        <w:rPr>
          <w:b/>
          <w:bCs/>
        </w:rPr>
        <w:t xml:space="preserve">Power Transform Branch:</w:t>
      </w:r>
      <w:r>
        <w:t xml:space="preserve"> </w:t>
      </w:r>
      <w:r>
        <w:t xml:space="preserve">Applies</w:t>
      </w:r>
      <w:r>
        <w:t xml:space="preserve"> </w:t>
      </w:r>
      <m:oMath>
        <m:r>
          <m:t>x</m:t>
        </m:r>
        <m:r>
          <m:rPr>
            <m:sty m:val="p"/>
          </m:rPr>
          <m:t>↦</m:t>
        </m:r>
        <m:sSup>
          <m:e>
            <m:r>
              <m:t>x</m:t>
            </m:r>
          </m:e>
          <m:sup>
            <m:r>
              <m:t>λ</m:t>
            </m:r>
          </m:sup>
        </m:sSup>
      </m:oMath>
      <w:r>
        <w:t xml:space="preserve"> </w:t>
      </w:r>
      <w:r>
        <w:t xml:space="preserve">(for example, square root or logarithm) to stabilize variance.</w:t>
      </w:r>
    </w:p>
    <w:p>
      <w:pPr>
        <w:pStyle w:val="FirstParagraph"/>
      </w:pPr>
      <w:r>
        <w:t xml:space="preserve">Each branch is applied to both support (train) and query (test) sets simultaneously, ensuring a consistent mapping.</w:t>
      </w:r>
    </w:p>
    <w:bookmarkEnd w:id="78"/>
    <w:bookmarkEnd w:id="79"/>
    <w:bookmarkStart w:id="92" w:name="sec:methods-tabpfn"/>
    <w:p>
      <w:pPr>
        <w:pStyle w:val="2"/>
      </w:pPr>
      <w:r>
        <w:t xml:space="preserve">Foundation Model Integration Mechanism</w:t>
      </w:r>
    </w:p>
    <w:p>
      <w:pPr>
        <w:pStyle w:val="FirstParagraph"/>
      </w:pPr>
      <w:bookmarkStart w:id="80" w:name="subsec:foundation_model_integration"/>
      <w:bookmarkEnd w:id="80"/>
    </w:p>
    <w:p>
      <w:pPr>
        <w:pStyle w:val="a0"/>
      </w:pPr>
      <w:r>
        <w:t xml:space="preserve">PANDA employs TabPFN as a probabilistic classifier within an integrated framework. This module directly addresses the challenge of training in small, high-dimensional clinical cohorts by reusing structural priors learned from synthetic tasks and producing calibrated probability estimates that can subsequently be adjusted for label imbalance. While TabPFN internally processes features, its role in PANDA is to produce calibrated predictions on adapted tabular data. The integration involves specific in-context serialization and ensemble construction steps.</w:t>
      </w:r>
    </w:p>
    <w:bookmarkStart w:id="81" w:name="X4ef944d3fc1758902d8de2ca994a1a4af57d5dd"/>
    <w:p>
      <w:pPr>
        <w:pStyle w:val="3"/>
      </w:pPr>
      <w:r>
        <w:t xml:space="preserve">In-Context Serialization and Tokenization</w:t>
      </w:r>
    </w:p>
    <w:p>
      <w:pPr>
        <w:pStyle w:val="FirstParagraph"/>
      </w:pPr>
      <w:r>
        <w:t xml:space="preserve">Unlike BERT-style models, which require textual input, TabPFN operates directly on raw numerical and categorical values through a sophisticated per-feature processing architecture. The serialization mechanism maps a heterogeneous row</w:t>
      </w:r>
      <w:r>
        <w:t xml:space="preserve"> </w:t>
      </w:r>
      <m:oMath>
        <m:r>
          <m:t>x</m:t>
        </m:r>
        <m:r>
          <m:rPr>
            <m:sty m:val="p"/>
          </m:rPr>
          <m:t>∈</m:t>
        </m:r>
        <m:sSup>
          <m:e>
            <m:r>
              <m:rPr>
                <m:scr m:val="double-struck"/>
                <m:sty m:val="p"/>
              </m:rPr>
              <m:t>R</m:t>
            </m:r>
          </m:e>
          <m:sup>
            <m:sSub>
              <m:e>
                <m:r>
                  <m:t>d</m:t>
                </m:r>
              </m:e>
              <m:sub>
                <m:r>
                  <m:rPr>
                    <m:nor/>
                    <m:sty m:val="p"/>
                  </m:rPr>
                  <m:t>num</m:t>
                </m:r>
              </m:sub>
            </m:sSub>
          </m:sup>
        </m:sSup>
        <m:r>
          <m:rPr>
            <m:sty m:val="p"/>
          </m:rPr>
          <m:t>×</m:t>
        </m:r>
        <m:sSup>
          <m:e>
            <m:r>
              <m:rPr>
                <m:scr m:val="double-struck"/>
                <m:sty m:val="p"/>
              </m:rPr>
              <m:t>Z</m:t>
            </m:r>
          </m:e>
          <m:sup>
            <m:sSub>
              <m:e>
                <m:r>
                  <m:t>d</m:t>
                </m:r>
              </m:e>
              <m:sub>
                <m:r>
                  <m:rPr>
                    <m:nor/>
                    <m:sty m:val="p"/>
                  </m:rPr>
                  <m:t>cat</m:t>
                </m:r>
              </m:sub>
            </m:sSub>
          </m:sup>
        </m:sSup>
      </m:oMath>
      <w:r>
        <w:t xml:space="preserve"> </w:t>
      </w:r>
      <w:r>
        <w:t xml:space="preserve">into a sequence of continuous embeddings.</w:t>
      </w:r>
    </w:p>
    <w:p>
      <w:pPr>
        <w:pStyle w:val="a0"/>
      </w:pPr>
      <w:r>
        <w:t xml:space="preserve">The feature processing pipeline involves several key steps:</w:t>
      </w:r>
    </w:p>
    <w:p>
      <w:pPr>
        <w:numPr>
          <w:ilvl w:val="0"/>
          <w:numId w:val="1018"/>
        </w:numPr>
      </w:pPr>
      <w:r>
        <w:rPr>
          <w:b/>
          <w:bCs/>
        </w:rPr>
        <w:t xml:space="preserve">Preprocessing and Encoding:</w:t>
      </w:r>
      <w:r>
        <w:t xml:space="preserve"> </w:t>
      </w:r>
      <w:r>
        <w:t xml:space="preserve">Features undergo preprocessing such as quantile and power transformations. Categorical variables are primarily handled via ordinal encoding, converting categories to integers, or processed as mixed types, rather than relying solely on traditional embedding lookup tables.</w:t>
      </w:r>
    </w:p>
    <w:p>
      <w:pPr>
        <w:numPr>
          <w:ilvl w:val="0"/>
          <w:numId w:val="1018"/>
        </w:numPr>
      </w:pPr>
      <w:r>
        <w:rPr>
          <w:b/>
          <w:bCs/>
        </w:rPr>
        <w:t xml:space="preserve">Missing Value Handling:</w:t>
      </w:r>
      <w:r>
        <w:t xml:space="preserve"> </w:t>
      </w:r>
      <w:r>
        <w:t xml:space="preserve">Instead of a single learnable token, missing values are handled by a robust mechanism where they are replaced by the feature mean (learned during training). Simultaneously, separate indicator channels are generated to explicitly flag missing values or infinite entries, preserving the structural information of data unavailability.</w:t>
      </w:r>
    </w:p>
    <w:p>
      <w:pPr>
        <w:numPr>
          <w:ilvl w:val="0"/>
          <w:numId w:val="1018"/>
        </w:numPr>
      </w:pPr>
      <w:r>
        <w:rPr>
          <w:b/>
          <w:bCs/>
        </w:rPr>
        <w:t xml:space="preserve">Linear Projection:</w:t>
      </w:r>
      <w:r>
        <w:t xml:space="preserve"> </w:t>
      </w:r>
      <w:r>
        <w:t xml:space="preserve">Each preprocessed feature is linearly projected into the embedding space.</w:t>
      </w:r>
    </w:p>
    <w:p>
      <w:pPr>
        <w:pStyle w:val="a0"/>
      </w:pPr>
      <m:oMathPara>
        <m:oMathParaPr>
          <m:jc m:val="center"/>
        </m:oMathParaPr>
        <m:oMath>
          <m:sSup>
            <m:e>
              <m:r>
                <m:rPr>
                  <m:sty m:val="b"/>
                </m:rPr>
                <m:t>e</m:t>
              </m:r>
            </m:e>
            <m:sup>
              <m:r>
                <m:rPr>
                  <m:sty m:val="p"/>
                </m:rPr>
                <m:t>(</m:t>
              </m:r>
              <m:r>
                <m:t>j</m:t>
              </m:r>
              <m:r>
                <m:rPr>
                  <m:sty m:val="p"/>
                </m:rPr>
                <m:t>)</m:t>
              </m:r>
            </m:sup>
          </m:sSup>
          <m:r>
            <m:rPr>
              <m:sty m:val="p"/>
            </m:rPr>
            <m:t>=</m:t>
          </m:r>
          <m:r>
            <m:rPr>
              <m:nor/>
              <m:sty m:val="p"/>
            </m:rPr>
            <m:t>Linear</m:t>
          </m:r>
          <m:r>
            <m:rPr>
              <m:sty m:val="p"/>
            </m:rPr>
            <m:t>(</m:t>
          </m:r>
          <m:r>
            <m:rPr>
              <m:nor/>
              <m:sty m:val="p"/>
            </m:rPr>
            <m:t>Preprocess</m:t>
          </m:r>
          <m:r>
            <m:rPr>
              <m:sty m:val="p"/>
            </m:rPr>
            <m:t>(</m:t>
          </m:r>
          <m:sSup>
            <m:e>
              <m:r>
                <m:t>x</m:t>
              </m:r>
            </m:e>
            <m:sup>
              <m:r>
                <m:rPr>
                  <m:sty m:val="p"/>
                </m:rPr>
                <m:t>(</m:t>
              </m:r>
              <m:r>
                <m:t>j</m:t>
              </m:r>
              <m:r>
                <m:rPr>
                  <m:sty m:val="p"/>
                </m:rPr>
                <m:t>)</m:t>
              </m:r>
            </m:sup>
          </m:sSup>
          <m:r>
            <m:rPr>
              <m:sty m:val="p"/>
            </m:rPr>
            <m:t>)</m:t>
          </m:r>
          <m:r>
            <m:rPr>
              <m:sty m:val="p"/>
            </m:rPr>
            <m:t>)</m:t>
          </m:r>
        </m:oMath>
      </m:oMathPara>
    </w:p>
    <w:p>
      <w:pPr>
        <w:pStyle w:val="FirstParagraph"/>
      </w:pPr>
      <w:r>
        <w:t xml:space="preserve">Distinct from architectures that concatenate all features into a single vector (</w:t>
      </w:r>
      <m:oMath>
        <m:r>
          <m:t>Z</m:t>
        </m:r>
        <m:r>
          <m:rPr>
            <m:sty m:val="p"/>
          </m:rPr>
          <m:t>=</m:t>
        </m:r>
        <m:r>
          <m:rPr>
            <m:nor/>
            <m:sty m:val="p"/>
          </m:rPr>
          <m:t>MLP</m:t>
        </m:r>
        <m:r>
          <m:rPr>
            <m:sty m:val="p"/>
          </m:rPr>
          <m:t>(</m:t>
        </m:r>
        <m:r>
          <m:rPr>
            <m:nor/>
            <m:sty m:val="p"/>
          </m:rPr>
          <m:t>Concat</m:t>
        </m:r>
        <m:r>
          <m:rPr>
            <m:sty m:val="p"/>
          </m:rPr>
          <m:t>(</m:t>
        </m:r>
        <m:r>
          <m:rPr>
            <m:sty m:val="p"/>
          </m:rPr>
          <m:t>…</m:t>
        </m:r>
        <m:r>
          <m:rPr>
            <m:sty m:val="p"/>
          </m:rPr>
          <m:t>)</m:t>
        </m:r>
        <m:r>
          <m:rPr>
            <m:sty m:val="p"/>
          </m:rPr>
          <m:t>)</m:t>
        </m:r>
      </m:oMath>
      <w:r>
        <w:t xml:space="preserve">), TabPFN maintains a per-feature representation. The Transformer architecture utilizes attention mechanisms that operate across both features and samples, allowing the model to learn complex interactions between specific covariates while attending to relevant patients within the context window.</w:t>
      </w:r>
    </w:p>
    <w:bookmarkEnd w:id="81"/>
    <w:bookmarkStart w:id="83" w:name="sec:methods-ensemble"/>
    <w:p>
      <w:pPr>
        <w:pStyle w:val="3"/>
      </w:pPr>
      <w:r>
        <w:t xml:space="preserve">Ensemble Construction and Inference</w:t>
      </w:r>
    </w:p>
    <w:p>
      <w:pPr>
        <w:pStyle w:val="FirstParagraph"/>
      </w:pPr>
      <w:r>
        <w:t xml:space="preserve">The final prediction is obtained by averaging over 32 diverse forward passes. Let</w:t>
      </w:r>
      <w:r>
        <w:t xml:space="preserve"> </w:t>
      </w:r>
      <m:oMath>
        <m:r>
          <m:rPr>
            <m:scr m:val="script"/>
            <m:sty m:val="p"/>
          </m:rPr>
          <m:t>P</m:t>
        </m:r>
        <m:r>
          <m:rPr>
            <m:sty m:val="p"/>
          </m:rPr>
          <m:t>=</m:t>
        </m:r>
        <m:r>
          <m:rPr>
            <m:sty m:val="p"/>
          </m:rPr>
          <m:t>{</m:t>
        </m:r>
        <m:sSub>
          <m:e>
            <m:r>
              <m:t>P</m:t>
            </m:r>
          </m:e>
          <m:sub>
            <m:r>
              <m:t>1</m:t>
            </m:r>
          </m:sub>
        </m:sSub>
        <m:r>
          <m:rPr>
            <m:sty m:val="p"/>
          </m:rPr>
          <m:t>,</m:t>
        </m:r>
        <m:r>
          <m:rPr>
            <m:sty m:val="p"/>
          </m:rPr>
          <m:t>…</m:t>
        </m:r>
        <m:r>
          <m:rPr>
            <m:sty m:val="p"/>
          </m:rPr>
          <m:t>,</m:t>
        </m:r>
        <m:sSub>
          <m:e>
            <m:r>
              <m:t>P</m:t>
            </m:r>
          </m:e>
          <m:sub>
            <m:r>
              <m:t>4</m:t>
            </m:r>
          </m:sub>
        </m:sSub>
        <m:r>
          <m:rPr>
            <m:sty m:val="p"/>
          </m:rPr>
          <m:t>}</m:t>
        </m:r>
      </m:oMath>
      <w:r>
        <w:t xml:space="preserve"> </w:t>
      </w:r>
      <w:r>
        <w:t xml:space="preserve">denote the set of preprocessing functions and</w:t>
      </w:r>
      <w:r>
        <w:t xml:space="preserve"> </w:t>
      </w:r>
      <m:oMath>
        <m:r>
          <m:rPr>
            <m:scr m:val="script"/>
            <m:sty m:val="p"/>
          </m:rPr>
          <m:t>S</m:t>
        </m:r>
        <m:r>
          <m:rPr>
            <m:sty m:val="p"/>
          </m:rPr>
          <m:t>=</m:t>
        </m:r>
        <m:r>
          <m:rPr>
            <m:sty m:val="p"/>
          </m:rPr>
          <m:t>{</m:t>
        </m:r>
        <m:sSub>
          <m:e>
            <m:r>
              <m:t>s</m:t>
            </m:r>
          </m:e>
          <m:sub>
            <m:r>
              <m:t>1</m:t>
            </m:r>
          </m:sub>
        </m:sSub>
        <m:r>
          <m:rPr>
            <m:sty m:val="p"/>
          </m:rPr>
          <m:t>,</m:t>
        </m:r>
        <m:r>
          <m:rPr>
            <m:sty m:val="p"/>
          </m:rPr>
          <m:t>…</m:t>
        </m:r>
        <m:r>
          <m:rPr>
            <m:sty m:val="p"/>
          </m:rPr>
          <m:t>,</m:t>
        </m:r>
        <m:sSub>
          <m:e>
            <m:r>
              <m:t>s</m:t>
            </m:r>
          </m:e>
          <m:sub>
            <m:r>
              <m:t>8</m:t>
            </m:r>
          </m:sub>
        </m:sSub>
        <m:r>
          <m:rPr>
            <m:sty m:val="p"/>
          </m:rPr>
          <m:t>}</m:t>
        </m:r>
      </m:oMath>
      <w:r>
        <w:t xml:space="preserve"> </w:t>
      </w:r>
      <w:r>
        <w:t xml:space="preserve">a set of random seeds that control the subsampling of the context set (the</w:t>
      </w:r>
      <w:r>
        <w:t xml:space="preserve"> </w:t>
      </w:r>
      <w:r>
        <w:rPr>
          <w:i/>
          <w:iCs/>
        </w:rPr>
        <w:t xml:space="preserve">support set</w:t>
      </w:r>
      <w:r>
        <w:t xml:space="preserve"> </w:t>
      </w:r>
      <w:r>
        <w:t xml:space="preserve">of labeled examples). The ensemble probability estimate is</w:t>
      </w:r>
    </w:p>
    <w:p>
      <w:pPr>
        <w:pStyle w:val="a0"/>
      </w:pPr>
      <m:oMathPara>
        <m:oMathParaPr>
          <m:jc m:val="center"/>
        </m:oMathParaPr>
        <m:oMath>
          <m:acc>
            <m:accPr>
              <m:chr m:val="̂"/>
            </m:accPr>
            <m:e>
              <m:r>
                <m:t>p</m:t>
              </m:r>
            </m:e>
          </m:acc>
          <m:r>
            <m:rPr>
              <m:sty m:val="p"/>
            </m:rPr>
            <m:t>=</m:t>
          </m:r>
          <m:f>
            <m:fPr>
              <m:type m:val="bar"/>
            </m:fPr>
            <m:num>
              <m:r>
                <m:t>1</m:t>
              </m:r>
            </m:num>
            <m:den>
              <m:r>
                <m:t>32</m:t>
              </m:r>
            </m:den>
          </m:f>
          <m:nary>
            <m:naryPr>
              <m:chr m:val="∑"/>
              <m:limLoc m:val="undOvr"/>
              <m:subHide m:val="off"/>
              <m:supHide m:val="on"/>
            </m:naryPr>
            <m:sub>
              <m:r>
                <m:t>P</m:t>
              </m:r>
              <m:r>
                <m:rPr>
                  <m:sty m:val="p"/>
                </m:rPr>
                <m:t>∈</m:t>
              </m:r>
              <m:r>
                <m:rPr>
                  <m:scr m:val="script"/>
                  <m:sty m:val="p"/>
                </m:rPr>
                <m:t>P</m:t>
              </m:r>
            </m:sub>
            <m:sup>
              <m:r>
                <m:t>​</m:t>
              </m:r>
            </m:sup>
            <m:e>
              <m:nary>
                <m:naryPr>
                  <m:chr m:val="∑"/>
                  <m:limLoc m:val="undOvr"/>
                  <m:subHide m:val="off"/>
                  <m:supHide m:val="on"/>
                </m:naryPr>
                <m:sub>
                  <m:r>
                    <m:t>s</m:t>
                  </m:r>
                  <m:r>
                    <m:rPr>
                      <m:sty m:val="p"/>
                    </m:rPr>
                    <m:t>∈</m:t>
                  </m:r>
                  <m:r>
                    <m:rPr>
                      <m:scr m:val="script"/>
                      <m:sty m:val="p"/>
                    </m:rPr>
                    <m:t>S</m:t>
                  </m:r>
                </m:sub>
                <m:sup>
                  <m:r>
                    <m:t>​</m:t>
                  </m:r>
                </m:sup>
                <m:e>
                  <m:r>
                    <m:t>σ</m:t>
                  </m:r>
                </m:e>
              </m:nary>
            </m:e>
          </m:nary>
          <m:d>
            <m:dPr>
              <m:begChr m:val="("/>
              <m:sepChr m:val=""/>
              <m:endChr m:val=")"/>
              <m:grow/>
            </m:dPr>
            <m:e>
              <m:f>
                <m:fPr>
                  <m:type m:val="bar"/>
                </m:fPr>
                <m:num>
                  <m:r>
                    <m:rPr>
                      <m:sty m:val="p"/>
                    </m:rPr>
                    <m:t>T</m:t>
                  </m:r>
                  <m:r>
                    <m:rPr>
                      <m:sty m:val="p"/>
                    </m:rPr>
                    <m:t>r</m:t>
                  </m:r>
                  <m:r>
                    <m:rPr>
                      <m:sty m:val="p"/>
                    </m:rPr>
                    <m:t>a</m:t>
                  </m:r>
                  <m:r>
                    <m:rPr>
                      <m:sty m:val="p"/>
                    </m:rPr>
                    <m:t>n</m:t>
                  </m:r>
                  <m:r>
                    <m:rPr>
                      <m:sty m:val="p"/>
                    </m:rPr>
                    <m:t>s</m:t>
                  </m:r>
                  <m:r>
                    <m:rPr>
                      <m:sty m:val="p"/>
                    </m:rPr>
                    <m:t>f</m:t>
                  </m:r>
                  <m:r>
                    <m:rPr>
                      <m:sty m:val="p"/>
                    </m:rPr>
                    <m:t>o</m:t>
                  </m:r>
                  <m:r>
                    <m:rPr>
                      <m:sty m:val="p"/>
                    </m:rPr>
                    <m:t>r</m:t>
                  </m:r>
                  <m:r>
                    <m:rPr>
                      <m:sty m:val="p"/>
                    </m:rPr>
                    <m:t>m</m:t>
                  </m:r>
                  <m:r>
                    <m:rPr>
                      <m:sty m:val="p"/>
                    </m:rPr>
                    <m:t>e</m:t>
                  </m:r>
                  <m:r>
                    <m:rPr>
                      <m:sty m:val="p"/>
                    </m:rPr>
                    <m:t>r</m:t>
                  </m:r>
                  <m:r>
                    <m:rPr>
                      <m:sty m:val="p"/>
                    </m:rPr>
                    <m:t>(</m:t>
                  </m:r>
                  <m:r>
                    <m:t>P</m:t>
                  </m:r>
                  <m:r>
                    <m:rPr>
                      <m:sty m:val="p"/>
                    </m:rPr>
                    <m:t>(</m:t>
                  </m:r>
                  <m:sSub>
                    <m:e>
                      <m:r>
                        <m:t>x</m:t>
                      </m:r>
                    </m:e>
                    <m:sub>
                      <m:r>
                        <m:t>q</m:t>
                      </m:r>
                    </m:sub>
                  </m:sSub>
                  <m:r>
                    <m:rPr>
                      <m:sty m:val="p"/>
                    </m:rPr>
                    <m:t>)</m:t>
                  </m:r>
                  <m:r>
                    <m:rPr>
                      <m:sty m:val="p"/>
                    </m:rPr>
                    <m:t>∣</m:t>
                  </m:r>
                  <m:r>
                    <m:t>P</m:t>
                  </m:r>
                  <m:r>
                    <m:rPr>
                      <m:sty m:val="p"/>
                    </m:rPr>
                    <m:t>(</m:t>
                  </m:r>
                  <m:r>
                    <m:rPr>
                      <m:scr m:val="script"/>
                      <m:sty m:val="p"/>
                    </m:rPr>
                    <m:t>D</m:t>
                  </m:r>
                  <m:r>
                    <m:rPr>
                      <m:sty m:val="p"/>
                    </m:rPr>
                    <m:t>)</m:t>
                  </m:r>
                  <m:r>
                    <m:rPr>
                      <m:sty m:val="p"/>
                    </m:rPr>
                    <m:t>)</m:t>
                  </m:r>
                </m:num>
                <m:den>
                  <m:r>
                    <m:t>T</m:t>
                  </m:r>
                </m:den>
              </m:f>
            </m:e>
          </m:d>
        </m:oMath>
      </m:oMathPara>
    </w:p>
    <w:p>
      <w:pPr>
        <w:pStyle w:val="FirstParagraph"/>
      </w:pPr>
      <w:r>
        <w:t xml:space="preserve">where</w:t>
      </w:r>
    </w:p>
    <w:p>
      <w:pPr>
        <w:numPr>
          <w:ilvl w:val="0"/>
          <w:numId w:val="1019"/>
        </w:numPr>
      </w:pPr>
      <m:oMath>
        <m:sSub>
          <m:e>
            <m:r>
              <m:t>x</m:t>
            </m:r>
          </m:e>
          <m:sub>
            <m:r>
              <m:t>q</m:t>
            </m:r>
          </m:sub>
        </m:sSub>
      </m:oMath>
      <w:r>
        <w:t xml:space="preserve"> </w:t>
      </w:r>
      <w:r>
        <w:t xml:space="preserve">is the target query (patient),</w:t>
      </w:r>
    </w:p>
    <w:p>
      <w:pPr>
        <w:numPr>
          <w:ilvl w:val="0"/>
          <w:numId w:val="1019"/>
        </w:numPr>
      </w:pPr>
      <m:oMath>
        <m:r>
          <m:rPr>
            <m:scr m:val="script"/>
            <m:sty m:val="p"/>
          </m:rPr>
          <m:t>D</m:t>
        </m:r>
      </m:oMath>
      <w:r>
        <w:t xml:space="preserve"> </w:t>
      </w:r>
      <w:r>
        <w:t xml:space="preserve">is the subset of training data selected by seed</w:t>
      </w:r>
      <w:r>
        <w:t xml:space="preserve"> </w:t>
      </w:r>
      <m:oMath>
        <m:r>
          <m:t>s</m:t>
        </m:r>
      </m:oMath>
      <w:r>
        <w:t xml:space="preserve">,</w:t>
      </w:r>
    </w:p>
    <w:p>
      <w:pPr>
        <w:numPr>
          <w:ilvl w:val="0"/>
          <w:numId w:val="1019"/>
        </w:numPr>
      </w:pPr>
      <m:oMath>
        <m:r>
          <m:rPr>
            <m:sty m:val="p"/>
          </m:rPr>
          <m:t>T</m:t>
        </m:r>
        <m:r>
          <m:rPr>
            <m:sty m:val="p"/>
          </m:rPr>
          <m:t>r</m:t>
        </m:r>
        <m:r>
          <m:rPr>
            <m:sty m:val="p"/>
          </m:rPr>
          <m:t>a</m:t>
        </m:r>
        <m:r>
          <m:rPr>
            <m:sty m:val="p"/>
          </m:rPr>
          <m:t>n</m:t>
        </m:r>
        <m:r>
          <m:rPr>
            <m:sty m:val="p"/>
          </m:rPr>
          <m:t>s</m:t>
        </m:r>
        <m:r>
          <m:rPr>
            <m:sty m:val="p"/>
          </m:rPr>
          <m:t>f</m:t>
        </m:r>
        <m:r>
          <m:rPr>
            <m:sty m:val="p"/>
          </m:rPr>
          <m:t>o</m:t>
        </m:r>
        <m:r>
          <m:rPr>
            <m:sty m:val="p"/>
          </m:rPr>
          <m:t>r</m:t>
        </m:r>
        <m:r>
          <m:rPr>
            <m:sty m:val="p"/>
          </m:rPr>
          <m:t>m</m:t>
        </m:r>
        <m:r>
          <m:rPr>
            <m:sty m:val="p"/>
          </m:rPr>
          <m:t>e</m:t>
        </m:r>
        <m:r>
          <m:rPr>
            <m:sty m:val="p"/>
          </m:rPr>
          <m:t>r</m:t>
        </m:r>
      </m:oMath>
      <w:r>
        <w:t xml:space="preserve"> </w:t>
      </w:r>
      <w:r>
        <w:t xml:space="preserve">is the frozen TabPFN Transformer backbone, and</w:t>
      </w:r>
    </w:p>
    <w:p>
      <w:pPr>
        <w:numPr>
          <w:ilvl w:val="0"/>
          <w:numId w:val="1019"/>
        </w:numPr>
      </w:pPr>
      <m:oMath>
        <m:r>
          <m:t>T</m:t>
        </m:r>
        <m:r>
          <m:rPr>
            <m:sty m:val="p"/>
          </m:rPr>
          <m:t>=</m:t>
        </m:r>
        <m:r>
          <m:t>0.9</m:t>
        </m:r>
      </m:oMath>
      <w:r>
        <w:t xml:space="preserve"> </w:t>
      </w:r>
      <w:r>
        <w:t xml:space="preserve">is the temperature scaling parameter calibrated for small-sample confidence.</w:t>
      </w:r>
    </w:p>
    <w:p>
      <w:pPr>
        <w:pStyle w:val="FirstParagraph"/>
      </w:pPr>
      <w:r>
        <w:t xml:space="preserve">Algorithm </w:t>
      </w:r>
      <w:hyperlink w:anchor="alg:tabpfn_inference">
        <w:r>
          <w:rPr>
            <w:rStyle w:val="af"/>
          </w:rPr>
          <w:t xml:space="preserve">1.3.2.1</w:t>
        </w:r>
      </w:hyperlink>
      <w:r>
        <w:t xml:space="preserve"> </w:t>
      </w:r>
      <w:r>
        <w:t xml:space="preserve">summarizes the inference procedure.</w:t>
      </w:r>
    </w:p>
    <w:bookmarkStart w:id="82" w:name="alg:tabpfn_inference"/>
    <w:p>
      <w:pPr>
        <w:pStyle w:val="4"/>
      </w:pPr>
      <w:r>
        <w:t xml:space="preserve">Algorithm</w:t>
      </w:r>
      <w:r>
        <w:t xml:space="preserve"> </w:t>
      </w:r>
      <w:hyperlink w:anchor="alg:tabpfn_inference">
        <w:r>
          <w:rPr>
            <w:rStyle w:val="af"/>
          </w:rPr>
          <w:t xml:space="preserve">1.3.2.1</w:t>
        </w:r>
      </w:hyperlink>
      <w:r>
        <w:t xml:space="preserve">: PANDA Inference with TabPFN Backbone</w:t>
      </w:r>
    </w:p>
    <w:p>
      <w:pPr>
        <w:numPr>
          <w:ilvl w:val="0"/>
          <w:numId w:val="1020"/>
        </w:numPr>
      </w:pPr>
      <w:r>
        <w:rPr>
          <w:b/>
          <w:bCs/>
        </w:rPr>
        <w:t xml:space="preserve">Input:</w:t>
      </w:r>
      <w:r>
        <w:t xml:space="preserve"> </w:t>
      </w:r>
      <w:r>
        <w:t xml:space="preserve">query</w:t>
      </w:r>
      <w:r>
        <w:t xml:space="preserve"> </w:t>
      </w:r>
      <m:oMath>
        <m:sSub>
          <m:e>
            <m:r>
              <m:t>x</m:t>
            </m:r>
          </m:e>
          <m:sub>
            <m:r>
              <m:t>q</m:t>
            </m:r>
          </m:sub>
        </m:sSub>
      </m:oMath>
      <w:r>
        <w:t xml:space="preserve">, context</w:t>
      </w:r>
      <w:r>
        <w:t xml:space="preserve"> </w:t>
      </w:r>
      <m:oMath>
        <m:sSub>
          <m:e>
            <m:r>
              <m:rPr>
                <m:scr m:val="script"/>
                <m:sty m:val="p"/>
              </m:rPr>
              <m:t>D</m:t>
            </m:r>
          </m:e>
          <m:sub>
            <m:r>
              <m:rPr>
                <m:nor/>
                <m:sty m:val="p"/>
              </m:rPr>
              <m:t>train</m:t>
            </m:r>
          </m:sub>
        </m:sSub>
      </m:oMath>
      <w:r>
        <w:t xml:space="preserve">, ensemble size</w:t>
      </w:r>
      <w:r>
        <w:t xml:space="preserve"> </w:t>
      </w:r>
      <m:oMath>
        <m:r>
          <m:t>N</m:t>
        </m:r>
        <m:r>
          <m:rPr>
            <m:sty m:val="p"/>
          </m:rPr>
          <m:t>=</m:t>
        </m:r>
        <m:r>
          <m:t>32</m:t>
        </m:r>
      </m:oMath>
      <w:r>
        <w:t xml:space="preserve">.</w:t>
      </w:r>
    </w:p>
    <w:p>
      <w:pPr>
        <w:numPr>
          <w:ilvl w:val="0"/>
          <w:numId w:val="1020"/>
        </w:numPr>
      </w:pPr>
      <w:r>
        <w:t xml:space="preserve">Initialize an empty list of logits.</w:t>
      </w:r>
    </w:p>
    <w:p>
      <w:pPr>
        <w:numPr>
          <w:ilvl w:val="0"/>
          <w:numId w:val="1020"/>
        </w:numPr>
      </w:pPr>
      <w:r>
        <w:t xml:space="preserve">For</w:t>
      </w:r>
      <w:r>
        <w:t xml:space="preserve"> </w:t>
      </w:r>
      <m:oMath>
        <m:r>
          <m:t>i</m:t>
        </m:r>
        <m:r>
          <m:rPr>
            <m:sty m:val="p"/>
          </m:rPr>
          <m:t>=</m:t>
        </m:r>
        <m:r>
          <m:t>1</m:t>
        </m:r>
      </m:oMath>
      <w:r>
        <w:t xml:space="preserve"> </w:t>
      </w:r>
      <w:r>
        <w:t xml:space="preserve">to</w:t>
      </w:r>
      <w:r>
        <w:t xml:space="preserve"> </w:t>
      </w:r>
      <m:oMath>
        <m:r>
          <m:t>N</m:t>
        </m:r>
      </m:oMath>
      <w:r>
        <w:t xml:space="preserve">:</w:t>
      </w:r>
    </w:p>
    <w:p>
      <w:pPr>
        <w:numPr>
          <w:ilvl w:val="1"/>
          <w:numId w:val="1021"/>
        </w:numPr>
      </w:pPr>
      <w:r>
        <w:t xml:space="preserve">Sample preprocessing</w:t>
      </w:r>
      <w:r>
        <w:t xml:space="preserve"> </w:t>
      </w:r>
      <m:oMath>
        <m:r>
          <m:t>P</m:t>
        </m:r>
        <m:r>
          <m:rPr>
            <m:sty m:val="p"/>
          </m:rPr>
          <m:t>∼</m:t>
        </m:r>
        <m:r>
          <m:rPr>
            <m:scr m:val="script"/>
            <m:sty m:val="p"/>
          </m:rPr>
          <m:t>P</m:t>
        </m:r>
      </m:oMath>
      <w:r>
        <w:t xml:space="preserve"> </w:t>
      </w:r>
      <w:r>
        <w:t xml:space="preserve">and a context subset</w:t>
      </w:r>
      <w:r>
        <w:t xml:space="preserve"> </w:t>
      </w:r>
      <m:oMath>
        <m:sSub>
          <m:e>
            <m:r>
              <m:rPr>
                <m:scr m:val="script"/>
                <m:sty m:val="p"/>
              </m:rPr>
              <m:t>D</m:t>
            </m:r>
          </m:e>
          <m:sub>
            <m:r>
              <m:t>i</m:t>
            </m:r>
          </m:sub>
        </m:sSub>
        <m:r>
          <m:rPr>
            <m:sty m:val="p"/>
          </m:rPr>
          <m:t>⊂</m:t>
        </m:r>
        <m:sSub>
          <m:e>
            <m:r>
              <m:rPr>
                <m:scr m:val="script"/>
                <m:sty m:val="p"/>
              </m:rPr>
              <m:t>D</m:t>
            </m:r>
          </m:e>
          <m:sub>
            <m:r>
              <m:rPr>
                <m:nor/>
                <m:sty m:val="p"/>
              </m:rPr>
              <m:t>train</m:t>
            </m:r>
          </m:sub>
        </m:sSub>
      </m:oMath>
      <w:r>
        <w:t xml:space="preserve">.</w:t>
      </w:r>
    </w:p>
    <w:p>
      <w:pPr>
        <w:numPr>
          <w:ilvl w:val="1"/>
          <w:numId w:val="1021"/>
        </w:numPr>
      </w:pPr>
      <w:r>
        <w:t xml:space="preserve">Apply the branch:</w:t>
      </w:r>
      <w:r>
        <w:t xml:space="preserve"> </w:t>
      </w:r>
      <m:oMath>
        <m:r>
          <m:rPr>
            <m:sty m:val="p"/>
          </m:rPr>
          <m:t>(</m:t>
        </m:r>
        <m:sSubSup>
          <m:e>
            <m:r>
              <m:rPr>
                <m:sty m:val="b"/>
              </m:rPr>
              <m:t>x</m:t>
            </m:r>
          </m:e>
          <m:sub>
            <m:r>
              <m:t>q</m:t>
            </m:r>
          </m:sub>
          <m:sup>
            <m:r>
              <m:rPr>
                <m:sty m:val="p"/>
              </m:rPr>
              <m:t>′</m:t>
            </m:r>
          </m:sup>
        </m:sSubSup>
        <m:r>
          <m:rPr>
            <m:sty m:val="p"/>
          </m:rPr>
          <m:t>,</m:t>
        </m:r>
        <m:sSubSup>
          <m:e>
            <m:r>
              <m:rPr>
                <m:scr m:val="script"/>
                <m:sty m:val="p"/>
              </m:rPr>
              <m:t>D</m:t>
            </m:r>
          </m:e>
          <m:sub>
            <m:r>
              <m:t>i</m:t>
            </m:r>
          </m:sub>
          <m:sup>
            <m:r>
              <m:rPr>
                <m:sty m:val="p"/>
              </m:rPr>
              <m:t>′</m:t>
            </m:r>
          </m:sup>
        </m:sSubSup>
        <m:r>
          <m:rPr>
            <m:sty m:val="p"/>
          </m:rPr>
          <m:t>)</m:t>
        </m:r>
        <m:r>
          <m:rPr>
            <m:sty m:val="p"/>
          </m:rPr>
          <m:t>←</m:t>
        </m:r>
        <m:r>
          <m:t>P</m:t>
        </m:r>
        <m:r>
          <m:rPr>
            <m:sty m:val="p"/>
          </m:rPr>
          <m:t>(</m:t>
        </m:r>
        <m:sSub>
          <m:e>
            <m:r>
              <m:t>x</m:t>
            </m:r>
          </m:e>
          <m:sub>
            <m:r>
              <m:t>q</m:t>
            </m:r>
          </m:sub>
        </m:sSub>
        <m:r>
          <m:rPr>
            <m:sty m:val="p"/>
          </m:rPr>
          <m:t>)</m:t>
        </m:r>
        <m:r>
          <m:rPr>
            <m:sty m:val="p"/>
          </m:rPr>
          <m:t>,</m:t>
        </m:r>
        <m:r>
          <m:t>P</m:t>
        </m:r>
        <m:r>
          <m:rPr>
            <m:sty m:val="p"/>
          </m:rPr>
          <m:t>(</m:t>
        </m:r>
        <m:sSub>
          <m:e>
            <m:r>
              <m:rPr>
                <m:scr m:val="script"/>
                <m:sty m:val="p"/>
              </m:rPr>
              <m:t>D</m:t>
            </m:r>
          </m:e>
          <m:sub>
            <m:r>
              <m:t>i</m:t>
            </m:r>
          </m:sub>
        </m:sSub>
        <m:r>
          <m:rPr>
            <m:sty m:val="p"/>
          </m:rPr>
          <m:t>)</m:t>
        </m:r>
      </m:oMath>
      <w:r>
        <w:t xml:space="preserve">.</w:t>
      </w:r>
    </w:p>
    <w:p>
      <w:pPr>
        <w:numPr>
          <w:ilvl w:val="1"/>
          <w:numId w:val="1021"/>
        </w:numPr>
      </w:pPr>
      <w:r>
        <w:t xml:space="preserve">Serialize tokens</w:t>
      </w:r>
      <w:r>
        <w:t xml:space="preserve"> </w:t>
      </w:r>
      <m:oMath>
        <m:r>
          <m:rPr>
            <m:sty m:val="b"/>
          </m:rPr>
          <m:t>E</m:t>
        </m:r>
        <m:r>
          <m:rPr>
            <m:sty m:val="p"/>
          </m:rPr>
          <m:t>←</m:t>
        </m:r>
        <m:r>
          <m:rPr>
            <m:nor/>
            <m:sty m:val="p"/>
          </m:rPr>
          <m:t>Serialize</m:t>
        </m:r>
        <m:r>
          <m:rPr>
            <m:sty m:val="p"/>
          </m:rPr>
          <m:t>(</m:t>
        </m:r>
        <m:sSubSup>
          <m:e>
            <m:r>
              <m:rPr>
                <m:sty m:val="b"/>
              </m:rPr>
              <m:t>x</m:t>
            </m:r>
          </m:e>
          <m:sub>
            <m:r>
              <m:t>q</m:t>
            </m:r>
          </m:sub>
          <m:sup>
            <m:r>
              <m:rPr>
                <m:sty m:val="p"/>
              </m:rPr>
              <m:t>′</m:t>
            </m:r>
          </m:sup>
        </m:sSubSup>
        <m:r>
          <m:rPr>
            <m:sty m:val="p"/>
          </m:rPr>
          <m:t>,</m:t>
        </m:r>
        <m:sSubSup>
          <m:e>
            <m:r>
              <m:rPr>
                <m:scr m:val="script"/>
                <m:sty m:val="p"/>
              </m:rPr>
              <m:t>D</m:t>
            </m:r>
          </m:e>
          <m:sub>
            <m:r>
              <m:t>i</m:t>
            </m:r>
          </m:sub>
          <m:sup>
            <m:r>
              <m:rPr>
                <m:sty m:val="p"/>
              </m:rPr>
              <m:t>′</m:t>
            </m:r>
          </m:sup>
        </m:sSubSup>
        <m:r>
          <m:rPr>
            <m:sty m:val="p"/>
          </m:rPr>
          <m:t>)</m:t>
        </m:r>
      </m:oMath>
      <w:r>
        <w:t xml:space="preserve">.</w:t>
      </w:r>
    </w:p>
    <w:p>
      <w:pPr>
        <w:numPr>
          <w:ilvl w:val="1"/>
          <w:numId w:val="1021"/>
        </w:numPr>
      </w:pPr>
      <w:r>
        <w:t xml:space="preserve">Forward through the Transformer to get</w:t>
      </w:r>
      <w:r>
        <w:t xml:space="preserve"> </w:t>
      </w:r>
      <m:oMath>
        <m:r>
          <m:rPr>
            <m:sty m:val="b"/>
          </m:rPr>
          <m:t>z</m:t>
        </m:r>
      </m:oMath>
      <w:r>
        <w:t xml:space="preserve">; compute</w:t>
      </w:r>
      <w:r>
        <w:t xml:space="preserve"> </w:t>
      </w:r>
      <m:oMath>
        <m:r>
          <m:t>z</m:t>
        </m:r>
        <m:r>
          <m:rPr>
            <m:sty m:val="p"/>
          </m:rPr>
          <m:t>=</m:t>
        </m:r>
        <m:r>
          <m:rPr>
            <m:nor/>
            <m:sty m:val="p"/>
          </m:rPr>
          <m:t>ClassifierHead</m:t>
        </m:r>
        <m:r>
          <m:rPr>
            <m:sty m:val="p"/>
          </m:rPr>
          <m:t>(</m:t>
        </m:r>
        <m:r>
          <m:rPr>
            <m:sty m:val="b"/>
          </m:rPr>
          <m:t>z</m:t>
        </m:r>
        <m:r>
          <m:rPr>
            <m:sty m:val="p"/>
          </m:rPr>
          <m:t>)</m:t>
        </m:r>
      </m:oMath>
      <w:r>
        <w:t xml:space="preserve">.</w:t>
      </w:r>
    </w:p>
    <w:p>
      <w:pPr>
        <w:numPr>
          <w:ilvl w:val="1"/>
          <w:numId w:val="1021"/>
        </w:numPr>
      </w:pPr>
      <w:r>
        <w:t xml:space="preserve">Append</w:t>
      </w:r>
      <w:r>
        <w:t xml:space="preserve"> </w:t>
      </w:r>
      <m:oMath>
        <m:r>
          <m:t>z</m:t>
        </m:r>
      </m:oMath>
      <w:r>
        <w:t xml:space="preserve"> </w:t>
      </w:r>
      <w:r>
        <w:t xml:space="preserve">to the logits list.</w:t>
      </w:r>
    </w:p>
    <w:p>
      <w:pPr>
        <w:numPr>
          <w:ilvl w:val="0"/>
          <w:numId w:val="1020"/>
        </w:numPr>
      </w:pPr>
      <w:r>
        <w:t xml:space="preserve">Compute</w:t>
      </w:r>
      <w:r>
        <w:t xml:space="preserve"> </w:t>
      </w:r>
      <m:oMath>
        <m:acc>
          <m:accPr>
            <m:chr m:val="̂"/>
          </m:accPr>
          <m:e>
            <m:r>
              <m:t>y</m:t>
            </m:r>
          </m:e>
        </m:acc>
        <m:r>
          <m:rPr>
            <m:sty m:val="p"/>
          </m:rPr>
          <m:t>=</m:t>
        </m:r>
        <m:r>
          <m:rPr>
            <m:nor/>
            <m:sty m:val="p"/>
          </m:rPr>
          <m:t>Softmax</m:t>
        </m:r>
        <m:r>
          <m:rPr>
            <m:sty m:val="p"/>
          </m:rPr>
          <m:t>(</m:t>
        </m:r>
        <m:r>
          <m:rPr>
            <m:nor/>
            <m:sty m:val="p"/>
          </m:rPr>
          <m:t>Mean</m:t>
        </m:r>
        <m:r>
          <m:rPr>
            <m:sty m:val="p"/>
          </m:rPr>
          <m:t>(</m:t>
        </m:r>
        <m:r>
          <m:rPr>
            <m:nor/>
            <m:sty m:val="p"/>
          </m:rPr>
          <m:t>Logits</m:t>
        </m:r>
        <m:r>
          <m:rPr>
            <m:sty m:val="p"/>
          </m:rPr>
          <m:t>)</m:t>
        </m:r>
        <m:r>
          <m:rPr>
            <m:sty m:val="p"/>
          </m:rPr>
          <m:t>/</m:t>
        </m:r>
        <m:r>
          <m:t>T</m:t>
        </m:r>
        <m:r>
          <m:rPr>
            <m:sty m:val="p"/>
          </m:rPr>
          <m:t>)</m:t>
        </m:r>
      </m:oMath>
      <w:r>
        <w:t xml:space="preserve">.</w:t>
      </w:r>
    </w:p>
    <w:p>
      <w:pPr>
        <w:numPr>
          <w:ilvl w:val="0"/>
          <w:numId w:val="1020"/>
        </w:numPr>
      </w:pPr>
      <w:r>
        <w:rPr>
          <w:b/>
          <w:bCs/>
        </w:rPr>
        <w:t xml:space="preserve">Output:</w:t>
      </w:r>
      <w:r>
        <w:t xml:space="preserve"> </w:t>
      </w:r>
      <w:r>
        <w:t xml:space="preserve">malignancy probability</w:t>
      </w:r>
      <w:r>
        <w:t xml:space="preserve"> </w:t>
      </w:r>
      <m:oMath>
        <m:acc>
          <m:accPr>
            <m:chr m:val="̂"/>
          </m:accPr>
          <m:e>
            <m:r>
              <m:t>y</m:t>
            </m:r>
          </m:e>
        </m:acc>
      </m:oMath>
      <w:r>
        <w:t xml:space="preserve">.</w:t>
      </w:r>
    </w:p>
    <w:bookmarkEnd w:id="82"/>
    <w:bookmarkEnd w:id="83"/>
    <w:bookmarkStart w:id="90" w:name="sec:methods-tca"/>
    <w:p>
      <w:pPr>
        <w:pStyle w:val="3"/>
      </w:pPr>
      <w:r>
        <w:t xml:space="preserve">Transfer Component Analysis (TCA)</w:t>
      </w:r>
    </w:p>
    <w:p>
      <w:pPr>
        <w:pStyle w:val="FirstParagraph"/>
      </w:pPr>
      <w:bookmarkStart w:id="84" w:name="subsubsec:tca_implementation"/>
      <w:bookmarkEnd w:id="84"/>
    </w:p>
    <w:p>
      <w:pPr>
        <w:pStyle w:val="a0"/>
      </w:pPr>
      <w:r>
        <w:t xml:space="preserve">TCA is applied to the RFE-selected feature space to align the marginal distributions of the source and target domains. This module directly targets the covariate shift and mixed acquisition-protocol challenges highlighted in Table </w:t>
      </w:r>
      <w:hyperlink w:anchor="tbl:challenge_mapping">
        <w:r>
          <w:rPr>
            <w:rStyle w:val="af"/>
          </w:rPr>
          <w:t xml:space="preserve">1</w:t>
        </w:r>
      </w:hyperlink>
      <w:r>
        <w:t xml:space="preserve"> </w:t>
      </w:r>
      <w:r>
        <w:t xml:space="preserve">by enforcing a shared latent representation across hospitals. We implement this alignment via Transfer Component Analysis (TCA), which solves the optimization problem through a generalized eigenvalue decomposition</w:t>
      </w:r>
      <w:r>
        <w:t xml:space="preserve"> </w:t>
      </w:r>
      <w:r>
        <w:t xml:space="preserve">[</w:t>
      </w:r>
      <w:hyperlink w:anchor="ref-de2021adapt">
        <w:r>
          <w:rPr>
            <w:rStyle w:val="af"/>
          </w:rPr>
          <w:t xml:space="preserve">95</w:t>
        </w:r>
      </w:hyperlink>
      <w:r>
        <w:t xml:space="preserve">,</w:t>
      </w:r>
      <w:hyperlink w:anchor="ref-noauthor_welcome_nodate">
        <w:r>
          <w:rPr>
            <w:rStyle w:val="af"/>
          </w:rPr>
          <w:t xml:space="preserve">96</w:t>
        </w:r>
      </w:hyperlink>
      <w:r>
        <w:t xml:space="preserve">]</w:t>
      </w:r>
      <w:r>
        <w:t xml:space="preserve">. Algorithm</w:t>
      </w:r>
      <w:r>
        <w:t xml:space="preserve"> </w:t>
      </w:r>
      <w:hyperlink w:anchor="alg:tca_optimization">
        <w:r>
          <w:rPr>
            <w:rStyle w:val="af"/>
          </w:rPr>
          <w:t xml:space="preserve">1.3.3.1</w:t>
        </w:r>
      </w:hyperlink>
      <w:r>
        <w:t xml:space="preserve"> </w:t>
      </w:r>
      <w:r>
        <w:t xml:space="preserve">outlines the computational procedure.</w:t>
      </w:r>
    </w:p>
    <w:bookmarkStart w:id="85" w:name="alg:tca_optimization"/>
    <w:p>
      <w:pPr>
        <w:pStyle w:val="4"/>
      </w:pPr>
      <w:r>
        <w:t xml:space="preserve">Algorithm</w:t>
      </w:r>
      <w:r>
        <w:t xml:space="preserve"> </w:t>
      </w:r>
      <w:hyperlink w:anchor="alg:tca_optimization">
        <w:r>
          <w:rPr>
            <w:rStyle w:val="af"/>
          </w:rPr>
          <w:t xml:space="preserve">1.3.3.1</w:t>
        </w:r>
      </w:hyperlink>
      <w:r>
        <w:t xml:space="preserve">: Transfer Component Analysis (TCA) Optimization</w:t>
      </w:r>
    </w:p>
    <w:p>
      <w:pPr>
        <w:numPr>
          <w:ilvl w:val="0"/>
          <w:numId w:val="1022"/>
        </w:numPr>
      </w:pPr>
      <w:r>
        <w:rPr>
          <w:b/>
          <w:bCs/>
        </w:rPr>
        <w:t xml:space="preserve">Input:</w:t>
      </w:r>
      <w:r>
        <w:t xml:space="preserve"> </w:t>
      </w:r>
      <w:r>
        <w:t xml:space="preserve">source features</w:t>
      </w:r>
      <w:r>
        <w:t xml:space="preserve"> </w:t>
      </w:r>
      <m:oMath>
        <m:r>
          <m:t>S</m:t>
        </m:r>
        <m:r>
          <m:t>f</m:t>
        </m:r>
        <m:r>
          <m:t>e</m:t>
        </m:r>
        <m:r>
          <m:t>a</m:t>
        </m:r>
        <m:r>
          <m:t>t</m:t>
        </m:r>
        <m:r>
          <m:t>u</m:t>
        </m:r>
        <m:r>
          <m:t>r</m:t>
        </m:r>
        <m:r>
          <m:t>e</m:t>
        </m:r>
        <m:r>
          <m:t>s</m:t>
        </m:r>
      </m:oMath>
      <w:r>
        <w:t xml:space="preserve">, target features</w:t>
      </w:r>
      <w:r>
        <w:t xml:space="preserve"> </w:t>
      </w:r>
      <m:oMath>
        <m:sSub>
          <m:e>
            <m:r>
              <m:t>F</m:t>
            </m:r>
          </m:e>
          <m:sub>
            <m:r>
              <m:t>T</m:t>
            </m:r>
          </m:sub>
        </m:sSub>
      </m:oMath>
      <w:r>
        <w:t xml:space="preserve">, kernel</w:t>
      </w:r>
      <w:r>
        <w:t xml:space="preserve"> </w:t>
      </w:r>
      <m:oMath>
        <m:r>
          <m:t>k</m:t>
        </m:r>
        <m:r>
          <m:rPr>
            <m:sty m:val="p"/>
          </m:rPr>
          <m:t>(</m:t>
        </m:r>
        <m:r>
          <m:rPr>
            <m:sty m:val="p"/>
          </m:rPr>
          <m:t>⋅</m:t>
        </m:r>
        <m:r>
          <m:rPr>
            <m:sty m:val="p"/>
          </m:rPr>
          <m:t>,</m:t>
        </m:r>
        <m:r>
          <m:rPr>
            <m:sty m:val="p"/>
          </m:rPr>
          <m:t>⋅</m:t>
        </m:r>
        <m:r>
          <m:rPr>
            <m:sty m:val="p"/>
          </m:rPr>
          <m:t>)</m:t>
        </m:r>
      </m:oMath>
      <w:r>
        <w:t xml:space="preserve">, target dimension</w:t>
      </w:r>
      <w:r>
        <w:t xml:space="preserve"> </w:t>
      </w:r>
      <m:oMath>
        <m:r>
          <m:t>m</m:t>
        </m:r>
      </m:oMath>
      <w:r>
        <w:t xml:space="preserve">, regularization</w:t>
      </w:r>
      <w:r>
        <w:t xml:space="preserve"> </w:t>
      </w:r>
      <m:oMath>
        <m:r>
          <m:t>μ</m:t>
        </m:r>
      </m:oMath>
      <w:r>
        <w:t xml:space="preserve">.</w:t>
      </w:r>
    </w:p>
    <w:p>
      <w:pPr>
        <w:numPr>
          <w:ilvl w:val="0"/>
          <w:numId w:val="1022"/>
        </w:numPr>
      </w:pPr>
      <w:r>
        <w:t xml:space="preserve">Build kernel blocks</w:t>
      </w:r>
      <w:r>
        <w:t xml:space="preserve"> </w:t>
      </w:r>
      <m:oMath>
        <m:sSub>
          <m:e>
            <m:r>
              <m:t>K</m:t>
            </m:r>
          </m:e>
          <m:sub>
            <m:r>
              <m:t>S</m:t>
            </m:r>
            <m:r>
              <m:t>S</m:t>
            </m:r>
          </m:sub>
        </m:sSub>
        <m:r>
          <m:rPr>
            <m:sty m:val="p"/>
          </m:rPr>
          <m:t>,</m:t>
        </m:r>
        <m:sSub>
          <m:e>
            <m:r>
              <m:t>K</m:t>
            </m:r>
          </m:e>
          <m:sub>
            <m:r>
              <m:t>S</m:t>
            </m:r>
            <m:r>
              <m:t>T</m:t>
            </m:r>
          </m:sub>
        </m:sSub>
        <m:r>
          <m:rPr>
            <m:sty m:val="p"/>
          </m:rPr>
          <m:t>,</m:t>
        </m:r>
        <m:sSub>
          <m:e>
            <m:r>
              <m:t>K</m:t>
            </m:r>
          </m:e>
          <m:sub>
            <m:r>
              <m:t>T</m:t>
            </m:r>
            <m:r>
              <m:t>T</m:t>
            </m:r>
          </m:sub>
        </m:sSub>
      </m:oMath>
      <w:r>
        <w:t xml:space="preserve"> </w:t>
      </w:r>
      <w:r>
        <w:t xml:space="preserve">and assemble</w:t>
      </w:r>
      <w:r>
        <w:t xml:space="preserve"> </w:t>
      </w:r>
      <m:oMath>
        <m:r>
          <m:t>K</m:t>
        </m:r>
        <m:r>
          <m:rPr>
            <m:sty m:val="p"/>
          </m:rPr>
          <m:t>=</m:t>
        </m:r>
        <m:d>
          <m:dPr>
            <m:begChr m:val="["/>
            <m:sepChr m:val=""/>
            <m:endChr m:val="]"/>
            <m:grow/>
          </m:dPr>
          <m:e>
            <m:m>
              <m:mPr>
                <m:baseJc m:val="center"/>
                <m:plcHide m:val="on"/>
                <m:mcs>
                  <m:mc>
                    <m:mcPr>
                      <m:mcJc m:val="center"/>
                      <m:count m:val="1"/>
                    </m:mcPr>
                  </m:mc>
                  <m:mc>
                    <m:mcPr>
                      <m:mcJc m:val="center"/>
                      <m:count m:val="1"/>
                    </m:mcPr>
                  </m:mc>
                </m:mcs>
              </m:mPr>
              <m:mr>
                <m:e>
                  <m:sSub>
                    <m:e>
                      <m:r>
                        <m:t>K</m:t>
                      </m:r>
                    </m:e>
                    <m:sub>
                      <m:r>
                        <m:t>S</m:t>
                      </m:r>
                      <m:r>
                        <m:t>S</m:t>
                      </m:r>
                    </m:sub>
                  </m:sSub>
                </m:e>
                <m:e>
                  <m:sSub>
                    <m:e>
                      <m:r>
                        <m:t>K</m:t>
                      </m:r>
                    </m:e>
                    <m:sub>
                      <m:r>
                        <m:t>S</m:t>
                      </m:r>
                      <m:r>
                        <m:t>T</m:t>
                      </m:r>
                    </m:sub>
                  </m:sSub>
                </m:e>
              </m:mr>
              <m:mr>
                <m:e>
                  <m:sSubSup>
                    <m:e>
                      <m:r>
                        <m:t>K</m:t>
                      </m:r>
                    </m:e>
                    <m:sub>
                      <m:r>
                        <m:t>S</m:t>
                      </m:r>
                      <m:r>
                        <m:t>T</m:t>
                      </m:r>
                    </m:sub>
                    <m:sup>
                      <m:r>
                        <m:rPr>
                          <m:sty m:val="p"/>
                        </m:rPr>
                        <m:t>⊤</m:t>
                      </m:r>
                    </m:sup>
                  </m:sSubSup>
                </m:e>
                <m:e>
                  <m:sSub>
                    <m:e>
                      <m:r>
                        <m:t>K</m:t>
                      </m:r>
                    </m:e>
                    <m:sub>
                      <m:r>
                        <m:t>T</m:t>
                      </m:r>
                      <m:r>
                        <m:t>T</m:t>
                      </m:r>
                    </m:sub>
                  </m:sSub>
                </m:e>
              </m:mr>
            </m:m>
          </m:e>
        </m:d>
      </m:oMath>
      <w:r>
        <w:t xml:space="preserve">.</w:t>
      </w:r>
    </w:p>
    <w:p>
      <w:pPr>
        <w:numPr>
          <w:ilvl w:val="0"/>
          <w:numId w:val="1022"/>
        </w:numPr>
      </w:pPr>
      <w:r>
        <w:t xml:space="preserve">Construct the MMD matrix</w:t>
      </w:r>
      <w:r>
        <w:t xml:space="preserve"> </w:t>
      </w:r>
      <m:oMath>
        <m:r>
          <m:t>M</m:t>
        </m:r>
      </m:oMath>
      <w:r>
        <w:t xml:space="preserve"> </w:t>
      </w:r>
      <w:r>
        <w:t xml:space="preserve">with entries</w:t>
      </w:r>
      <w:r>
        <w:t xml:space="preserve"> </w:t>
      </w:r>
      <m:oMath>
        <m:f>
          <m:fPr>
            <m:type m:val="bar"/>
          </m:fPr>
          <m:num>
            <m:r>
              <m:t>1</m:t>
            </m:r>
          </m:num>
          <m:den>
            <m:sSubSup>
              <m:e>
                <m:r>
                  <m:t>n</m:t>
                </m:r>
              </m:e>
              <m:sub>
                <m:r>
                  <m:t>S</m:t>
                </m:r>
              </m:sub>
              <m:sup>
                <m:r>
                  <m:t>2</m:t>
                </m:r>
              </m:sup>
            </m:sSubSup>
          </m:den>
        </m:f>
      </m:oMath>
      <w:r>
        <w:t xml:space="preserve"> </w:t>
      </w:r>
      <w:r>
        <w:t xml:space="preserve">(source-source),</w:t>
      </w:r>
      <w:r>
        <w:t xml:space="preserve"> </w:t>
      </w:r>
      <m:oMath>
        <m:f>
          <m:fPr>
            <m:type m:val="bar"/>
          </m:fPr>
          <m:num>
            <m:r>
              <m:t>1</m:t>
            </m:r>
          </m:num>
          <m:den>
            <m:r>
              <m:t>T</m:t>
            </m:r>
            <m:r>
              <m:t>s</m:t>
            </m:r>
            <m:r>
              <m:t>i</m:t>
            </m:r>
            <m:r>
              <m:t>z</m:t>
            </m:r>
            <m:sSup>
              <m:e>
                <m:r>
                  <m:t>e</m:t>
                </m:r>
              </m:e>
              <m:sup>
                <m:r>
                  <m:t>2</m:t>
                </m:r>
              </m:sup>
            </m:sSup>
          </m:den>
        </m:f>
      </m:oMath>
      <w:r>
        <w:t xml:space="preserve"> </w:t>
      </w:r>
      <w:r>
        <w:t xml:space="preserve">(target-target), and</w:t>
      </w:r>
      <w:r>
        <w:t xml:space="preserve"> </w:t>
      </w:r>
      <m:oMath>
        <m:r>
          <m:rPr>
            <m:sty m:val="p"/>
          </m:rPr>
          <m:t>−</m:t>
        </m:r>
        <m:f>
          <m:fPr>
            <m:type m:val="bar"/>
          </m:fPr>
          <m:num>
            <m:r>
              <m:t>1</m:t>
            </m:r>
          </m:num>
          <m:den>
            <m:sSub>
              <m:e>
                <m:r>
                  <m:t>n</m:t>
                </m:r>
              </m:e>
              <m:sub>
                <m:r>
                  <m:t>S</m:t>
                </m:r>
              </m:sub>
            </m:sSub>
            <m:r>
              <m:t>T</m:t>
            </m:r>
            <m:r>
              <m:t>s</m:t>
            </m:r>
            <m:r>
              <m:t>i</m:t>
            </m:r>
            <m:r>
              <m:t>z</m:t>
            </m:r>
            <m:r>
              <m:t>e</m:t>
            </m:r>
          </m:den>
        </m:f>
      </m:oMath>
      <w:r>
        <w:t xml:space="preserve"> </w:t>
      </w:r>
      <w:r>
        <w:t xml:space="preserve">(cross-domain).</w:t>
      </w:r>
    </w:p>
    <w:p>
      <w:pPr>
        <w:numPr>
          <w:ilvl w:val="0"/>
          <w:numId w:val="1022"/>
        </w:numPr>
      </w:pPr>
      <w:r>
        <w:t xml:space="preserve">Construct the centering matrix</w:t>
      </w:r>
      <w:r>
        <w:t xml:space="preserve"> </w:t>
      </w:r>
      <m:oMath>
        <m:r>
          <m:t>H</m:t>
        </m:r>
        <m:r>
          <m:rPr>
            <m:sty m:val="p"/>
          </m:rPr>
          <m:t>=</m:t>
        </m:r>
        <m:r>
          <m:t>I</m:t>
        </m:r>
        <m:r>
          <m:rPr>
            <m:sty m:val="p"/>
          </m:rPr>
          <m:t>−</m:t>
        </m:r>
        <m:f>
          <m:fPr>
            <m:type m:val="bar"/>
          </m:fPr>
          <m:num>
            <m:r>
              <m:t>1</m:t>
            </m:r>
          </m:num>
          <m:den>
            <m:sSub>
              <m:e>
                <m:r>
                  <m:t>n</m:t>
                </m:r>
              </m:e>
              <m:sub>
                <m:r>
                  <m:t>S</m:t>
                </m:r>
              </m:sub>
            </m:sSub>
            <m:r>
              <m:rPr>
                <m:sty m:val="p"/>
              </m:rPr>
              <m:t>+</m:t>
            </m:r>
            <m:r>
              <m:t>T</m:t>
            </m:r>
            <m:r>
              <m:t>s</m:t>
            </m:r>
            <m:r>
              <m:t>i</m:t>
            </m:r>
            <m:r>
              <m:t>z</m:t>
            </m:r>
            <m:r>
              <m:t>e</m:t>
            </m:r>
          </m:den>
        </m:f>
        <m:r>
          <m:rPr>
            <m:sty m:val="b"/>
          </m:rPr>
          <m:t>1</m:t>
        </m:r>
        <m:sSup>
          <m:e>
            <m:r>
              <m:rPr>
                <m:sty m:val="b"/>
              </m:rPr>
              <m:t>1</m:t>
            </m:r>
          </m:e>
          <m:sup>
            <m:r>
              <m:rPr>
                <m:sty m:val="p"/>
              </m:rPr>
              <m:t>⊤</m:t>
            </m:r>
          </m:sup>
        </m:sSup>
      </m:oMath>
      <w:r>
        <w:t xml:space="preserve">.</w:t>
      </w:r>
    </w:p>
    <w:p>
      <w:pPr>
        <w:numPr>
          <w:ilvl w:val="0"/>
          <w:numId w:val="1022"/>
        </w:numPr>
      </w:pPr>
      <w:r>
        <w:t xml:space="preserve">Form</w:t>
      </w:r>
      <w:r>
        <w:t xml:space="preserve"> </w:t>
      </w:r>
      <m:oMath>
        <m:r>
          <m:rPr>
            <m:sty m:val="b"/>
          </m:rPr>
          <m:t>A</m:t>
        </m:r>
        <m:r>
          <m:rPr>
            <m:sty m:val="p"/>
          </m:rPr>
          <m:t>=</m:t>
        </m:r>
        <m:r>
          <m:t>I</m:t>
        </m:r>
        <m:r>
          <m:rPr>
            <m:sty m:val="p"/>
          </m:rPr>
          <m:t>+</m:t>
        </m:r>
        <m:r>
          <m:t>μ</m:t>
        </m:r>
        <m:r>
          <m:t>K</m:t>
        </m:r>
        <m:r>
          <m:t>M</m:t>
        </m:r>
        <m:r>
          <m:t>K</m:t>
        </m:r>
      </m:oMath>
      <w:r>
        <w:t xml:space="preserve"> </w:t>
      </w:r>
      <w:r>
        <w:t xml:space="preserve">and</w:t>
      </w:r>
      <w:r>
        <w:t xml:space="preserve"> </w:t>
      </w:r>
      <m:oMath>
        <m:r>
          <m:rPr>
            <m:sty m:val="b"/>
          </m:rPr>
          <m:t>B</m:t>
        </m:r>
        <m:r>
          <m:rPr>
            <m:sty m:val="p"/>
          </m:rPr>
          <m:t>=</m:t>
        </m:r>
        <m:r>
          <m:t>K</m:t>
        </m:r>
        <m:r>
          <m:t>H</m:t>
        </m:r>
        <m:r>
          <m:t>K</m:t>
        </m:r>
      </m:oMath>
      <w:r>
        <w:t xml:space="preserve">.</w:t>
      </w:r>
    </w:p>
    <w:p>
      <w:pPr>
        <w:numPr>
          <w:ilvl w:val="0"/>
          <w:numId w:val="1022"/>
        </w:numPr>
      </w:pPr>
      <w:r>
        <w:t xml:space="preserve">Solve the generalized eigenproblem for</w:t>
      </w:r>
      <w:r>
        <w:t xml:space="preserve"> </w:t>
      </w:r>
      <m:oMath>
        <m:sSup>
          <m:e>
            <m:r>
              <m:rPr>
                <m:sty m:val="b"/>
              </m:rPr>
              <m:t>A</m:t>
            </m:r>
          </m:e>
          <m:sup>
            <m:r>
              <m:rPr>
                <m:sty m:val="p"/>
              </m:rPr>
              <m:t>−</m:t>
            </m:r>
            <m:r>
              <m:t>1</m:t>
            </m:r>
          </m:sup>
        </m:sSup>
        <m:r>
          <m:rPr>
            <m:sty m:val="b"/>
          </m:rPr>
          <m:t>B</m:t>
        </m:r>
      </m:oMath>
      <w:r>
        <w:t xml:space="preserve">; take the top</w:t>
      </w:r>
      <w:r>
        <w:t xml:space="preserve"> </w:t>
      </w:r>
      <m:oMath>
        <m:r>
          <m:t>m</m:t>
        </m:r>
      </m:oMath>
      <w:r>
        <w:t xml:space="preserve"> </w:t>
      </w:r>
      <w:r>
        <w:t xml:space="preserve">eigenvectors as</w:t>
      </w:r>
      <w:r>
        <w:t xml:space="preserve"> </w:t>
      </w:r>
      <m:oMath>
        <m:r>
          <m:t>A</m:t>
        </m:r>
      </m:oMath>
      <w:r>
        <w:t xml:space="preserve">.</w:t>
      </w:r>
    </w:p>
    <w:p>
      <w:pPr>
        <w:numPr>
          <w:ilvl w:val="0"/>
          <w:numId w:val="1022"/>
        </w:numPr>
      </w:pPr>
      <w:r>
        <w:rPr>
          <w:b/>
          <w:bCs/>
        </w:rPr>
        <w:t xml:space="preserve">Output:</w:t>
      </w:r>
      <w:r>
        <w:t xml:space="preserve"> </w:t>
      </w:r>
      <w:r>
        <w:t xml:space="preserve">projection matrix</w:t>
      </w:r>
      <w:r>
        <w:t xml:space="preserve"> </w:t>
      </w:r>
      <m:oMath>
        <m:r>
          <m:t>A</m:t>
        </m:r>
      </m:oMath>
      <w:r>
        <w:t xml:space="preserve">.</w:t>
      </w:r>
    </w:p>
    <w:bookmarkEnd w:id="85"/>
    <w:bookmarkStart w:id="86" w:name="mathematical-formulation"/>
    <w:p>
      <w:pPr>
        <w:pStyle w:val="4"/>
      </w:pPr>
      <w:r>
        <w:t xml:space="preserve">Mathematical Formulation</w:t>
      </w:r>
    </w:p>
    <w:p>
      <w:pPr>
        <w:pStyle w:val="FirstParagraph"/>
      </w:pPr>
      <w:r>
        <w:t xml:space="preserve">The core optimization problem seeks a projection matrix</w:t>
      </w:r>
      <w:r>
        <w:t xml:space="preserve"> </w:t>
      </w:r>
      <m:oMath>
        <m:r>
          <m:t>A</m:t>
        </m:r>
        <m:r>
          <m:rPr>
            <m:sty m:val="p"/>
          </m:rPr>
          <m:t>∈</m:t>
        </m:r>
        <m:sSup>
          <m:e>
            <m:r>
              <m:rPr>
                <m:scr m:val="double-struck"/>
                <m:sty m:val="p"/>
              </m:rPr>
              <m:t>R</m:t>
            </m:r>
          </m:e>
          <m:sup>
            <m:r>
              <m:rPr>
                <m:sty m:val="p"/>
              </m:rPr>
              <m:t>(</m:t>
            </m:r>
            <m:sSub>
              <m:e>
                <m:r>
                  <m:t>n</m:t>
                </m:r>
              </m:e>
              <m:sub>
                <m:r>
                  <m:t>S</m:t>
                </m:r>
              </m:sub>
            </m:sSub>
            <m:r>
              <m:rPr>
                <m:sty m:val="p"/>
              </m:rPr>
              <m:t>+</m:t>
            </m:r>
            <m:r>
              <m:t>T</m:t>
            </m:r>
            <m:r>
              <m:t>s</m:t>
            </m:r>
            <m:r>
              <m:t>i</m:t>
            </m:r>
            <m:r>
              <m:t>z</m:t>
            </m:r>
            <m:r>
              <m:t>e</m:t>
            </m:r>
            <m:r>
              <m:rPr>
                <m:sty m:val="p"/>
              </m:rPr>
              <m:t>)</m:t>
            </m:r>
            <m:r>
              <m:rPr>
                <m:sty m:val="p"/>
              </m:rPr>
              <m:t>×</m:t>
            </m:r>
            <m:r>
              <m:t>m</m:t>
            </m:r>
          </m:sup>
        </m:sSup>
      </m:oMath>
      <w:r>
        <w:t xml:space="preserve"> </w:t>
      </w:r>
      <w:r>
        <w:t xml:space="preserve">that maps the kernel matrix</w:t>
      </w:r>
      <w:r>
        <w:t xml:space="preserve"> </w:t>
      </w:r>
      <m:oMath>
        <m:r>
          <m:t>K</m:t>
        </m:r>
      </m:oMath>
      <w:r>
        <w:t xml:space="preserve"> </w:t>
      </w:r>
      <w:r>
        <w:t xml:space="preserve">to a low-dimensional latent space. The objective is to minimize the Maximum Mean Discrepancy (MMD) between domains while preserving data variance.</w:t>
      </w:r>
    </w:p>
    <w:p>
      <w:pPr>
        <w:pStyle w:val="a0"/>
      </w:pPr>
      <w:r>
        <w:t xml:space="preserve">The kernel matrix</w:t>
      </w:r>
      <w:r>
        <w:t xml:space="preserve"> </w:t>
      </w:r>
      <m:oMath>
        <m:r>
          <m:t>K</m:t>
        </m:r>
        <m:r>
          <m:rPr>
            <m:sty m:val="p"/>
          </m:rPr>
          <m:t>∈</m:t>
        </m:r>
        <m:sSup>
          <m:e>
            <m:r>
              <m:rPr>
                <m:scr m:val="double-struck"/>
                <m:sty m:val="p"/>
              </m:rPr>
              <m:t>R</m:t>
            </m:r>
          </m:e>
          <m:sup>
            <m:r>
              <m:rPr>
                <m:sty m:val="p"/>
              </m:rPr>
              <m:t>(</m:t>
            </m:r>
            <m:sSub>
              <m:e>
                <m:r>
                  <m:t>n</m:t>
                </m:r>
              </m:e>
              <m:sub>
                <m:r>
                  <m:t>S</m:t>
                </m:r>
              </m:sub>
            </m:sSub>
            <m:r>
              <m:rPr>
                <m:sty m:val="p"/>
              </m:rPr>
              <m:t>+</m:t>
            </m:r>
            <m:r>
              <m:t>T</m:t>
            </m:r>
            <m:r>
              <m:t>s</m:t>
            </m:r>
            <m:r>
              <m:t>i</m:t>
            </m:r>
            <m:r>
              <m:t>z</m:t>
            </m:r>
            <m:r>
              <m:t>e</m:t>
            </m:r>
            <m:r>
              <m:rPr>
                <m:sty m:val="p"/>
              </m:rPr>
              <m:t>)</m:t>
            </m:r>
            <m:r>
              <m:rPr>
                <m:sty m:val="p"/>
              </m:rPr>
              <m:t>×</m:t>
            </m:r>
            <m:r>
              <m:rPr>
                <m:sty m:val="p"/>
              </m:rPr>
              <m:t>(</m:t>
            </m:r>
            <m:sSub>
              <m:e>
                <m:r>
                  <m:t>n</m:t>
                </m:r>
              </m:e>
              <m:sub>
                <m:r>
                  <m:t>S</m:t>
                </m:r>
              </m:sub>
            </m:sSub>
            <m:r>
              <m:rPr>
                <m:sty m:val="p"/>
              </m:rPr>
              <m:t>+</m:t>
            </m:r>
            <m:r>
              <m:t>T</m:t>
            </m:r>
            <m:r>
              <m:t>s</m:t>
            </m:r>
            <m:r>
              <m:t>i</m:t>
            </m:r>
            <m:r>
              <m:t>z</m:t>
            </m:r>
            <m:r>
              <m:t>e</m:t>
            </m:r>
            <m:r>
              <m:rPr>
                <m:sty m:val="p"/>
              </m:rPr>
              <m:t>)</m:t>
            </m:r>
          </m:sup>
        </m:sSup>
      </m:oMath>
      <w:r>
        <w:t xml:space="preserve"> </w:t>
      </w:r>
      <w:r>
        <w:t xml:space="preserve">is constructed as a block matrix:</w:t>
      </w:r>
    </w:p>
    <w:p>
      <w:pPr>
        <w:pStyle w:val="a0"/>
      </w:pPr>
      <m:oMathPara>
        <m:oMathParaPr>
          <m:jc m:val="center"/>
        </m:oMathParaPr>
        <m:oMath>
          <m:r>
            <m:t>K</m:t>
          </m:r>
          <m:r>
            <m:rPr>
              <m:sty m:val="p"/>
            </m:rPr>
            <m:t>=</m:t>
          </m:r>
          <m:d>
            <m:dPr>
              <m:begChr m:val="["/>
              <m:sepChr m:val=""/>
              <m:endChr m:val="]"/>
              <m:grow/>
            </m:dPr>
            <m:e>
              <m:m>
                <m:mPr>
                  <m:baseJc m:val="center"/>
                  <m:plcHide m:val="on"/>
                  <m:mcs>
                    <m:mc>
                      <m:mcPr>
                        <m:mcJc m:val="center"/>
                        <m:count m:val="1"/>
                      </m:mcPr>
                    </m:mc>
                    <m:mc>
                      <m:mcPr>
                        <m:mcJc m:val="center"/>
                        <m:count m:val="1"/>
                      </m:mcPr>
                    </m:mc>
                  </m:mcs>
                </m:mPr>
                <m:mr>
                  <m:e>
                    <m:sSub>
                      <m:e>
                        <m:r>
                          <m:t>K</m:t>
                        </m:r>
                      </m:e>
                      <m:sub>
                        <m:r>
                          <m:t>S</m:t>
                        </m:r>
                        <m:r>
                          <m:t>S</m:t>
                        </m:r>
                      </m:sub>
                    </m:sSub>
                  </m:e>
                  <m:e>
                    <m:sSub>
                      <m:e>
                        <m:r>
                          <m:t>K</m:t>
                        </m:r>
                      </m:e>
                      <m:sub>
                        <m:r>
                          <m:t>S</m:t>
                        </m:r>
                        <m:r>
                          <m:t>T</m:t>
                        </m:r>
                      </m:sub>
                    </m:sSub>
                  </m:e>
                </m:mr>
                <m:mr>
                  <m:e>
                    <m:sSub>
                      <m:e>
                        <m:r>
                          <m:t>K</m:t>
                        </m:r>
                      </m:e>
                      <m:sub>
                        <m:r>
                          <m:t>T</m:t>
                        </m:r>
                        <m:r>
                          <m:t>S</m:t>
                        </m:r>
                      </m:sub>
                    </m:sSub>
                  </m:e>
                  <m:e>
                    <m:sSub>
                      <m:e>
                        <m:r>
                          <m:t>K</m:t>
                        </m:r>
                      </m:e>
                      <m:sub>
                        <m:r>
                          <m:t>T</m:t>
                        </m:r>
                        <m:r>
                          <m:t>T</m:t>
                        </m:r>
                      </m:sub>
                    </m:sSub>
                  </m:e>
                </m:mr>
              </m:m>
            </m:e>
          </m:d>
        </m:oMath>
      </m:oMathPara>
    </w:p>
    <w:p>
      <w:pPr>
        <w:pStyle w:val="FirstParagraph"/>
      </w:pPr>
      <w:r>
        <w:t xml:space="preserve">where</w:t>
      </w:r>
      <w:r>
        <w:t xml:space="preserve"> </w:t>
      </w:r>
      <m:oMath>
        <m:sSub>
          <m:e>
            <m:r>
              <m:t>K</m:t>
            </m:r>
          </m:e>
          <m:sub>
            <m:r>
              <m:t>S</m:t>
            </m:r>
            <m:r>
              <m:t>S</m:t>
            </m:r>
          </m:sub>
        </m:sSub>
        <m:r>
          <m:rPr>
            <m:sty m:val="p"/>
          </m:rPr>
          <m:t>,</m:t>
        </m:r>
        <m:sSub>
          <m:e>
            <m:r>
              <m:t>K</m:t>
            </m:r>
          </m:e>
          <m:sub>
            <m:r>
              <m:t>T</m:t>
            </m:r>
            <m:r>
              <m:t>T</m:t>
            </m:r>
          </m:sub>
        </m:sSub>
        <m:r>
          <m:rPr>
            <m:sty m:val="p"/>
          </m:rPr>
          <m:t>,</m:t>
        </m:r>
        <m:sSub>
          <m:e>
            <m:r>
              <m:t>K</m:t>
            </m:r>
          </m:e>
          <m:sub>
            <m:r>
              <m:t>S</m:t>
            </m:r>
            <m:r>
              <m:t>T</m:t>
            </m:r>
          </m:sub>
        </m:sSub>
      </m:oMath>
      <w:r>
        <w:t xml:space="preserve"> </w:t>
      </w:r>
      <w:r>
        <w:t xml:space="preserve">represent the kernel evaluations within the source domain, within the target domain, and between source and target samples, respectively.</w:t>
      </w:r>
    </w:p>
    <w:p>
      <w:pPr>
        <w:pStyle w:val="a0"/>
      </w:pPr>
      <w:r>
        <w:t xml:space="preserve">The MMD matrix</w:t>
      </w:r>
      <w:r>
        <w:t xml:space="preserve"> </w:t>
      </w:r>
      <m:oMath>
        <m:r>
          <m:t>M</m:t>
        </m:r>
      </m:oMath>
      <w:r>
        <w:t xml:space="preserve"> </w:t>
      </w:r>
      <w:r>
        <w:t xml:space="preserve">and centering matrix</w:t>
      </w:r>
      <w:r>
        <w:t xml:space="preserve"> </w:t>
      </w:r>
      <m:oMath>
        <m:r>
          <m:t>H</m:t>
        </m:r>
      </m:oMath>
      <w:r>
        <w:t xml:space="preserve"> </w:t>
      </w:r>
      <w:r>
        <w:t xml:space="preserve">are defined as</w:t>
      </w:r>
    </w:p>
    <w:p>
      <w:pPr>
        <w:pStyle w:val="a0"/>
      </w:pPr>
      <m:oMathPara>
        <m:oMathParaPr>
          <m:jc m:val="center"/>
        </m:oMathParaPr>
        <m:oMath>
          <m:sSub>
            <m:e>
              <m:r>
                <m:t>M</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1</m:t>
                        </m:r>
                      </m:num>
                      <m:den>
                        <m:sSubSup>
                          <m:e>
                            <m:r>
                              <m:t>n</m:t>
                            </m:r>
                          </m:e>
                          <m:sub>
                            <m:r>
                              <m:t>S</m:t>
                            </m:r>
                          </m:sub>
                          <m:sup>
                            <m:r>
                              <m:t>2</m:t>
                            </m:r>
                          </m:sup>
                        </m:sSubSup>
                      </m:den>
                    </m:f>
                  </m:e>
                  <m:e>
                    <m:sSub>
                      <m:e>
                        <m:r>
                          <m:t>x</m:t>
                        </m:r>
                      </m:e>
                      <m:sub>
                        <m:r>
                          <m:t>i</m:t>
                        </m:r>
                      </m:sub>
                    </m:sSub>
                    <m:r>
                      <m:rPr>
                        <m:sty m:val="p"/>
                      </m:rPr>
                      <m:t>,</m:t>
                    </m:r>
                    <m:sSub>
                      <m:e>
                        <m:r>
                          <m:t>x</m:t>
                        </m:r>
                      </m:e>
                      <m:sub>
                        <m:r>
                          <m:t>j</m:t>
                        </m:r>
                      </m:sub>
                    </m:sSub>
                    <m:r>
                      <m:rPr>
                        <m:sty m:val="p"/>
                      </m:rPr>
                      <m:t>∈</m:t>
                    </m:r>
                    <m:r>
                      <m:t>S</m:t>
                    </m:r>
                  </m:e>
                </m:mr>
                <m:mr>
                  <m:e>
                    <m:f>
                      <m:fPr>
                        <m:type m:val="bar"/>
                      </m:fPr>
                      <m:num>
                        <m:r>
                          <m:t>1</m:t>
                        </m:r>
                      </m:num>
                      <m:den>
                        <m:r>
                          <m:t>T</m:t>
                        </m:r>
                        <m:r>
                          <m:t>s</m:t>
                        </m:r>
                        <m:r>
                          <m:t>i</m:t>
                        </m:r>
                        <m:r>
                          <m:t>z</m:t>
                        </m:r>
                        <m:sSup>
                          <m:e>
                            <m:r>
                              <m:t>e</m:t>
                            </m:r>
                          </m:e>
                          <m:sup>
                            <m:r>
                              <m:t>2</m:t>
                            </m:r>
                          </m:sup>
                        </m:sSup>
                      </m:den>
                    </m:f>
                  </m:e>
                  <m:e>
                    <m:sSub>
                      <m:e>
                        <m:r>
                          <m:t>x</m:t>
                        </m:r>
                      </m:e>
                      <m:sub>
                        <m:r>
                          <m:t>i</m:t>
                        </m:r>
                      </m:sub>
                    </m:sSub>
                    <m:r>
                      <m:rPr>
                        <m:sty m:val="p"/>
                      </m:rPr>
                      <m:t>,</m:t>
                    </m:r>
                    <m:sSub>
                      <m:e>
                        <m:r>
                          <m:t>x</m:t>
                        </m:r>
                      </m:e>
                      <m:sub>
                        <m:r>
                          <m:t>j</m:t>
                        </m:r>
                      </m:sub>
                    </m:sSub>
                    <m:r>
                      <m:rPr>
                        <m:sty m:val="p"/>
                      </m:rPr>
                      <m:t>∈</m:t>
                    </m:r>
                    <m:r>
                      <m:t>T</m:t>
                    </m:r>
                  </m:e>
                </m:mr>
                <m:mr>
                  <m:e>
                    <m:r>
                      <m:rPr>
                        <m:sty m:val="p"/>
                      </m:rPr>
                      <m:t>−</m:t>
                    </m:r>
                    <m:f>
                      <m:fPr>
                        <m:type m:val="bar"/>
                      </m:fPr>
                      <m:num>
                        <m:r>
                          <m:t>1</m:t>
                        </m:r>
                      </m:num>
                      <m:den>
                        <m:sSub>
                          <m:e>
                            <m:r>
                              <m:t>n</m:t>
                            </m:r>
                          </m:e>
                          <m:sub>
                            <m:r>
                              <m:t>S</m:t>
                            </m:r>
                          </m:sub>
                        </m:sSub>
                        <m:r>
                          <m:t>T</m:t>
                        </m:r>
                        <m:r>
                          <m:t>s</m:t>
                        </m:r>
                        <m:r>
                          <m:t>i</m:t>
                        </m:r>
                        <m:r>
                          <m:t>z</m:t>
                        </m:r>
                        <m:r>
                          <m:t>e</m:t>
                        </m:r>
                      </m:den>
                    </m:f>
                  </m:e>
                  <m:e>
                    <m:r>
                      <m:rPr>
                        <m:nor/>
                        <m:sty m:val="p"/>
                      </m:rPr>
                      <m:t>otherwise</m:t>
                    </m:r>
                  </m:e>
                </m:mr>
              </m:m>
            </m:e>
          </m:d>
          <m:r>
            <m:rPr>
              <m:sty m:val="p"/>
            </m:rPr>
            <m:t>,</m:t>
          </m:r>
          <m:r>
            <m:t> </m:t>
          </m:r>
          <m:r>
            <m:t>H</m:t>
          </m:r>
          <m:r>
            <m:rPr>
              <m:sty m:val="p"/>
            </m:rPr>
            <m:t>=</m:t>
          </m:r>
          <m:r>
            <m:t>I</m:t>
          </m:r>
          <m:r>
            <m:rPr>
              <m:sty m:val="p"/>
            </m:rPr>
            <m:t>−</m:t>
          </m:r>
          <m:f>
            <m:fPr>
              <m:type m:val="bar"/>
            </m:fPr>
            <m:num>
              <m:r>
                <m:t>1</m:t>
              </m:r>
            </m:num>
            <m:den>
              <m:sSub>
                <m:e>
                  <m:r>
                    <m:t>n</m:t>
                  </m:r>
                </m:e>
                <m:sub>
                  <m:r>
                    <m:t>S</m:t>
                  </m:r>
                </m:sub>
              </m:sSub>
              <m:r>
                <m:rPr>
                  <m:sty m:val="p"/>
                </m:rPr>
                <m:t>+</m:t>
              </m:r>
              <m:r>
                <m:t>T</m:t>
              </m:r>
              <m:r>
                <m:t>s</m:t>
              </m:r>
              <m:r>
                <m:t>i</m:t>
              </m:r>
              <m:r>
                <m:t>z</m:t>
              </m:r>
              <m:r>
                <m:t>e</m:t>
              </m:r>
            </m:den>
          </m:f>
          <m:r>
            <m:rPr>
              <m:sty m:val="b"/>
            </m:rPr>
            <m:t>1</m:t>
          </m:r>
          <m:sSup>
            <m:e>
              <m:r>
                <m:rPr>
                  <m:sty m:val="b"/>
                </m:rPr>
                <m:t>1</m:t>
              </m:r>
            </m:e>
            <m:sup>
              <m:r>
                <m:rPr>
                  <m:sty m:val="p"/>
                </m:rPr>
                <m:t>⊤</m:t>
              </m:r>
            </m:sup>
          </m:sSup>
        </m:oMath>
      </m:oMathPara>
    </w:p>
    <w:p>
      <w:pPr>
        <w:pStyle w:val="FirstParagraph"/>
      </w:pPr>
      <w:r>
        <w:t xml:space="preserve">The ADAPT implementation solves for the projection</w:t>
      </w:r>
      <w:r>
        <w:t xml:space="preserve"> </w:t>
      </w:r>
      <m:oMath>
        <m:r>
          <m:t>A</m:t>
        </m:r>
      </m:oMath>
      <w:r>
        <w:t xml:space="preserve"> </w:t>
      </w:r>
      <w:r>
        <w:t xml:space="preserve">by addressing a generalized eigenvalue problem. Specifically, it computes</w:t>
      </w:r>
    </w:p>
    <w:p>
      <w:pPr>
        <w:pStyle w:val="a0"/>
      </w:pPr>
      <m:oMathPara>
        <m:oMathParaPr>
          <m:jc m:val="center"/>
        </m:oMathParaPr>
        <m:oMath>
          <m:r>
            <m:rPr>
              <m:sty m:val="b"/>
            </m:rPr>
            <m:t>A</m:t>
          </m:r>
          <m:r>
            <m:rPr>
              <m:sty m:val="p"/>
            </m:rPr>
            <m:t>=</m:t>
          </m:r>
          <m:r>
            <m:t>I</m:t>
          </m:r>
          <m:r>
            <m:rPr>
              <m:sty m:val="p"/>
            </m:rPr>
            <m:t>+</m:t>
          </m:r>
          <m:r>
            <m:t>μ</m:t>
          </m:r>
          <m:r>
            <m:t>K</m:t>
          </m:r>
          <m:r>
            <m:t>M</m:t>
          </m:r>
          <m:r>
            <m:t>K</m:t>
          </m:r>
          <m:r>
            <m:rPr>
              <m:sty m:val="p"/>
            </m:rPr>
            <m:t>,</m:t>
          </m:r>
          <m:r>
            <m:t> </m:t>
          </m:r>
          <m:r>
            <m:rPr>
              <m:sty m:val="b"/>
            </m:rPr>
            <m:t>B</m:t>
          </m:r>
          <m:r>
            <m:rPr>
              <m:sty m:val="p"/>
            </m:rPr>
            <m:t>=</m:t>
          </m:r>
          <m:r>
            <m:t>K</m:t>
          </m:r>
          <m:r>
            <m:t>H</m:t>
          </m:r>
          <m:r>
            <m:t>K</m:t>
          </m:r>
        </m:oMath>
      </m:oMathPara>
    </w:p>
    <w:p>
      <w:pPr>
        <w:pStyle w:val="FirstParagraph"/>
      </w:pPr>
      <w:r>
        <w:t xml:space="preserve">and solves for the eigenvectors of</w:t>
      </w:r>
      <w:r>
        <w:t xml:space="preserve"> </w:t>
      </w:r>
      <m:oMath>
        <m:sSup>
          <m:e>
            <m:r>
              <m:rPr>
                <m:sty m:val="b"/>
              </m:rPr>
              <m:t>A</m:t>
            </m:r>
          </m:e>
          <m:sup>
            <m:r>
              <m:rPr>
                <m:sty m:val="p"/>
              </m:rPr>
              <m:t>−</m:t>
            </m:r>
            <m:r>
              <m:t>1</m:t>
            </m:r>
          </m:sup>
        </m:sSup>
        <m:r>
          <m:rPr>
            <m:sty m:val="b"/>
          </m:rPr>
          <m:t>B</m:t>
        </m:r>
      </m:oMath>
      <w:r>
        <w:t xml:space="preserve">. The optimal projection matrix</w:t>
      </w:r>
      <w:r>
        <w:t xml:space="preserve"> </w:t>
      </w:r>
      <m:oMath>
        <m:r>
          <m:t>A</m:t>
        </m:r>
      </m:oMath>
      <w:r>
        <w:t xml:space="preserve"> </w:t>
      </w:r>
      <w:r>
        <w:t xml:space="preserve">consists of the</w:t>
      </w:r>
      <w:r>
        <w:t xml:space="preserve"> </w:t>
      </w:r>
      <m:oMath>
        <m:r>
          <m:t>m</m:t>
        </m:r>
      </m:oMath>
      <w:r>
        <w:t xml:space="preserve"> </w:t>
      </w:r>
      <w:r>
        <w:t xml:space="preserve">eigenvectors corresponding to the largest eigenvalues of</w:t>
      </w:r>
      <w:r>
        <w:t xml:space="preserve"> </w:t>
      </w:r>
      <m:oMath>
        <m:sSup>
          <m:e>
            <m:r>
              <m:rPr>
                <m:sty m:val="b"/>
              </m:rPr>
              <m:t>A</m:t>
            </m:r>
          </m:e>
          <m:sup>
            <m:r>
              <m:rPr>
                <m:sty m:val="p"/>
              </m:rPr>
              <m:t>−</m:t>
            </m:r>
            <m:r>
              <m:t>1</m:t>
            </m:r>
          </m:sup>
        </m:sSup>
        <m:r>
          <m:rPr>
            <m:sty m:val="b"/>
          </m:rPr>
          <m:t>B</m:t>
        </m:r>
      </m:oMath>
      <w:r>
        <w:t xml:space="preserve">, which we denote as</w:t>
      </w:r>
      <w:r>
        <w:t xml:space="preserve"> </w:t>
      </w:r>
      <m:oMath>
        <m:r>
          <m:t>A</m:t>
        </m:r>
        <m:r>
          <m:rPr>
            <m:sty m:val="p"/>
          </m:rPr>
          <m:t>=</m:t>
        </m:r>
        <m:r>
          <m:rPr>
            <m:nor/>
            <m:scr m:val="monospace"/>
            <m:sty m:val="p"/>
          </m:rPr>
          <m:t>vectors_</m:t>
        </m:r>
        <m:r>
          <m:rPr>
            <m:sty m:val="p"/>
          </m:rPr>
          <m:t>[</m:t>
        </m:r>
        <m:r>
          <m:rPr>
            <m:sty m:val="p"/>
          </m:rPr>
          <m:t>:</m:t>
        </m:r>
        <m:r>
          <m:t>m</m:t>
        </m:r>
        <m:r>
          <m:rPr>
            <m:sty m:val="p"/>
          </m:rPr>
          <m:t>]</m:t>
        </m:r>
      </m:oMath>
      <w:r>
        <w:t xml:space="preserve">. This formulation maximizes the ratio of data variance (</w:t>
      </w:r>
      <m:oMath>
        <m:r>
          <m:rPr>
            <m:sty m:val="p"/>
          </m:rPr>
          <m:t>tr</m:t>
        </m:r>
        <m:r>
          <m:rPr>
            <m:sty m:val="p"/>
          </m:rPr>
          <m:t>(</m:t>
        </m:r>
        <m:sSup>
          <m:e>
            <m:r>
              <m:t>A</m:t>
            </m:r>
          </m:e>
          <m:sup>
            <m:r>
              <m:rPr>
                <m:sty m:val="p"/>
              </m:rPr>
              <m:t>⊤</m:t>
            </m:r>
          </m:sup>
        </m:sSup>
        <m:r>
          <m:rPr>
            <m:sty m:val="b"/>
          </m:rPr>
          <m:t>B</m:t>
        </m:r>
        <m:r>
          <m:t>A</m:t>
        </m:r>
        <m:r>
          <m:rPr>
            <m:sty m:val="p"/>
          </m:rPr>
          <m:t>)</m:t>
        </m:r>
      </m:oMath>
      <w:r>
        <w:t xml:space="preserve">) to the regularized domain divergence (</w:t>
      </w:r>
      <m:oMath>
        <m:r>
          <m:rPr>
            <m:sty m:val="p"/>
          </m:rPr>
          <m:t>tr</m:t>
        </m:r>
        <m:r>
          <m:rPr>
            <m:sty m:val="p"/>
          </m:rPr>
          <m:t>(</m:t>
        </m:r>
        <m:sSup>
          <m:e>
            <m:r>
              <m:t>A</m:t>
            </m:r>
          </m:e>
          <m:sup>
            <m:r>
              <m:rPr>
                <m:sty m:val="p"/>
              </m:rPr>
              <m:t>⊤</m:t>
            </m:r>
          </m:sup>
        </m:sSup>
        <m:r>
          <m:rPr>
            <m:sty m:val="b"/>
          </m:rPr>
          <m:t>A</m:t>
        </m:r>
        <m:r>
          <m:t>A</m:t>
        </m:r>
        <m:r>
          <m:rPr>
            <m:sty m:val="p"/>
          </m:rPr>
          <m:t>)</m:t>
        </m:r>
      </m:oMath>
      <w:r>
        <w:t xml:space="preserve">). The top</w:t>
      </w:r>
      <w:r>
        <w:t xml:space="preserve"> </w:t>
      </w:r>
      <m:oMath>
        <m:r>
          <m:t>m</m:t>
        </m:r>
      </m:oMath>
      <w:r>
        <w:t xml:space="preserve"> </w:t>
      </w:r>
      <w:r>
        <w:t xml:space="preserve">eigenvectors form the projection matrix</w:t>
      </w:r>
      <w:r>
        <w:t xml:space="preserve"> </w:t>
      </w:r>
      <m:oMath>
        <m:r>
          <m:t>A</m:t>
        </m:r>
      </m:oMath>
      <w:r>
        <w:t xml:space="preserve">.</w:t>
      </w:r>
    </w:p>
    <w:bookmarkEnd w:id="86"/>
    <w:bookmarkStart w:id="87" w:name="data-flow-and-transformation"/>
    <w:p>
      <w:pPr>
        <w:pStyle w:val="4"/>
      </w:pPr>
      <w:r>
        <w:t xml:space="preserve">Data Flow and Transformation</w:t>
      </w:r>
    </w:p>
    <w:p>
      <w:pPr>
        <w:pStyle w:val="FirstParagraph"/>
      </w:pPr>
      <w:r>
        <w:t xml:space="preserve">In the</w:t>
      </w:r>
      <w:r>
        <w:t xml:space="preserve"> </w:t>
      </w:r>
      <w:r>
        <w:rPr>
          <w:rStyle w:val="VerbatimChar"/>
        </w:rPr>
        <w:t xml:space="preserve">fit_transform</w:t>
      </w:r>
      <w:r>
        <w:t xml:space="preserve"> </w:t>
      </w:r>
      <w:r>
        <w:t xml:space="preserve">phase, we utilize the</w:t>
      </w:r>
      <w:r>
        <w:t xml:space="preserve"> </w:t>
      </w:r>
      <w:r>
        <w:rPr>
          <w:b/>
          <w:bCs/>
        </w:rPr>
        <w:t xml:space="preserve">RFE-selected feature vectors</w:t>
      </w:r>
      <w:r>
        <w:t xml:space="preserve"> </w:t>
      </w:r>
      <w:r>
        <w:t xml:space="preserve">as the input representations for both the source (</w:t>
      </w:r>
      <m:oMath>
        <m:r>
          <m:t>S</m:t>
        </m:r>
        <m:r>
          <m:t>f</m:t>
        </m:r>
        <m:r>
          <m:t>e</m:t>
        </m:r>
        <m:r>
          <m:t>a</m:t>
        </m:r>
        <m:r>
          <m:t>t</m:t>
        </m:r>
        <m:r>
          <m:t>u</m:t>
        </m:r>
        <m:r>
          <m:t>r</m:t>
        </m:r>
        <m:r>
          <m:t>e</m:t>
        </m:r>
        <m:r>
          <m:t>s</m:t>
        </m:r>
      </m:oMath>
      <w:r>
        <w:t xml:space="preserve">) and target (</w:t>
      </w:r>
      <m:oMath>
        <m:sSub>
          <m:e>
            <m:r>
              <m:t>F</m:t>
            </m:r>
          </m:e>
          <m:sub>
            <m:r>
              <m:t>T</m:t>
            </m:r>
          </m:sub>
        </m:sSub>
      </m:oMath>
      <w:r>
        <w:t xml:space="preserve">) domains. These feature matrices are concatenated to compute the kernel matrix. The solver then computes</w:t>
      </w:r>
      <w:r>
        <w:t xml:space="preserve"> </w:t>
      </w:r>
      <m:oMath>
        <m:r>
          <m:t>A</m:t>
        </m:r>
      </m:oMath>
      <w:r>
        <w:t xml:space="preserve"> </w:t>
      </w:r>
      <w:r>
        <w:t xml:space="preserve">using the top</w:t>
      </w:r>
      <w:r>
        <w:t xml:space="preserve"> </w:t>
      </w:r>
      <m:oMath>
        <m:r>
          <m:t>m</m:t>
        </m:r>
      </m:oMath>
      <w:r>
        <w:t xml:space="preserve"> </w:t>
      </w:r>
      <w:r>
        <w:t xml:space="preserve">eigenvectors (‘vectors_‘) of the matrix product. For a new query sample</w:t>
      </w:r>
      <w:r>
        <w:t xml:space="preserve"> </w:t>
      </w:r>
      <m:oMath>
        <m:sSub>
          <m:e>
            <m:r>
              <m:t>x</m:t>
            </m:r>
          </m:e>
          <m:sub>
            <m:r>
              <m:t>q</m:t>
            </m:r>
          </m:sub>
        </m:sSub>
      </m:oMath>
      <w:r>
        <w:t xml:space="preserve">, the transformation projects it into the shared subspace by computing the inner product of the query’s kernel vector with these eigenvectors:</w:t>
      </w:r>
    </w:p>
    <w:p>
      <w:pPr>
        <w:pStyle w:val="a0"/>
      </w:pPr>
      <m:oMathPara>
        <m:oMathParaPr>
          <m:jc m:val="center"/>
        </m:oMathParaPr>
        <m:oMath>
          <m:sSub>
            <m:e>
              <m:r>
                <m:rPr>
                  <m:sty m:val="b"/>
                </m:rPr>
                <m:t>z</m:t>
              </m:r>
            </m:e>
            <m:sub>
              <m:r>
                <m:rPr>
                  <m:nor/>
                  <m:sty m:val="p"/>
                </m:rPr>
                <m:t>new</m:t>
              </m:r>
            </m:sub>
          </m:sSub>
          <m:r>
            <m:rPr>
              <m:sty m:val="p"/>
            </m:rPr>
            <m:t>=</m:t>
          </m:r>
          <m:sSubSup>
            <m:e>
              <m:r>
                <m:rPr>
                  <m:sty m:val="b"/>
                </m:rPr>
                <m:t>k</m:t>
              </m:r>
            </m:e>
            <m:sub>
              <m:r>
                <m:rPr>
                  <m:nor/>
                  <m:sty m:val="p"/>
                </m:rPr>
                <m:t>new</m:t>
              </m:r>
            </m:sub>
            <m:sup>
              <m:r>
                <m:rPr>
                  <m:sty m:val="p"/>
                </m:rPr>
                <m:t>⊤</m:t>
              </m:r>
            </m:sup>
          </m:sSubSup>
          <m:r>
            <m:t>A</m:t>
          </m:r>
        </m:oMath>
      </m:oMathPara>
    </w:p>
    <w:p>
      <w:pPr>
        <w:pStyle w:val="FirstParagraph"/>
      </w:pPr>
      <w:r>
        <w:t xml:space="preserve">where</w:t>
      </w:r>
      <w:r>
        <w:t xml:space="preserve"> </w:t>
      </w:r>
      <m:oMath>
        <m:sSub>
          <m:e>
            <m:r>
              <m:rPr>
                <m:sty m:val="b"/>
              </m:rPr>
              <m:t>k</m:t>
            </m:r>
          </m:e>
          <m:sub>
            <m:r>
              <m:rPr>
                <m:nor/>
                <m:sty m:val="p"/>
              </m:rPr>
              <m:t>new</m:t>
            </m:r>
          </m:sub>
        </m:sSub>
        <m:r>
          <m:rPr>
            <m:sty m:val="p"/>
          </m:rPr>
          <m:t>=</m:t>
        </m:r>
        <m:r>
          <m:rPr>
            <m:sty m:val="p"/>
          </m:rPr>
          <m:t>[</m:t>
        </m:r>
        <m:r>
          <m:t>k</m:t>
        </m:r>
        <m:r>
          <m:rPr>
            <m:sty m:val="p"/>
          </m:rPr>
          <m:t>(</m:t>
        </m:r>
        <m:sSub>
          <m:e>
            <m:r>
              <m:t>x</m:t>
            </m:r>
          </m:e>
          <m:sub>
            <m:r>
              <m:t>q</m:t>
            </m:r>
          </m:sub>
        </m:sSub>
        <m:r>
          <m:rPr>
            <m:sty m:val="p"/>
          </m:rPr>
          <m:t>,</m:t>
        </m:r>
        <m:sSub>
          <m:e>
            <m:r>
              <m:t>x</m:t>
            </m:r>
          </m:e>
          <m:sub>
            <m:r>
              <m:t>1</m:t>
            </m:r>
          </m:sub>
        </m:sSub>
        <m:r>
          <m:rPr>
            <m:sty m:val="p"/>
          </m:rPr>
          <m:t>)</m:t>
        </m:r>
        <m:r>
          <m:rPr>
            <m:sty m:val="p"/>
          </m:rPr>
          <m:t>,</m:t>
        </m:r>
        <m:r>
          <m:rPr>
            <m:sty m:val="p"/>
          </m:rPr>
          <m:t>…</m:t>
        </m:r>
        <m:r>
          <m:rPr>
            <m:sty m:val="p"/>
          </m:rPr>
          <m:t>,</m:t>
        </m:r>
        <m:r>
          <m:t>k</m:t>
        </m:r>
        <m:r>
          <m:rPr>
            <m:sty m:val="p"/>
          </m:rPr>
          <m:t>(</m:t>
        </m:r>
        <m:sSub>
          <m:e>
            <m:r>
              <m:t>x</m:t>
            </m:r>
          </m:e>
          <m:sub>
            <m:r>
              <m:t>q</m:t>
            </m:r>
          </m:sub>
        </m:sSub>
        <m:r>
          <m:rPr>
            <m:sty m:val="p"/>
          </m:rPr>
          <m:t>,</m:t>
        </m:r>
        <m:sSub>
          <m:e>
            <m:r>
              <m:t>x</m:t>
            </m:r>
          </m:e>
          <m:sub>
            <m:r>
              <m:t>n</m:t>
            </m:r>
            <m:r>
              <m:rPr>
                <m:sty m:val="p"/>
              </m:rPr>
              <m:t>+</m:t>
            </m:r>
            <m:r>
              <m:t>m</m:t>
            </m:r>
          </m:sub>
        </m:sSub>
        <m:r>
          <m:rPr>
            <m:sty m:val="p"/>
          </m:rPr>
          <m:t>)</m:t>
        </m:r>
        <m:sSup>
          <m:e>
            <m:r>
              <m:rPr>
                <m:sty m:val="p"/>
              </m:rPr>
              <m:t>]</m:t>
            </m:r>
          </m:e>
          <m:sup>
            <m:r>
              <m:rPr>
                <m:sty m:val="p"/>
              </m:rPr>
              <m:t>⊤</m:t>
            </m:r>
          </m:sup>
        </m:sSup>
      </m:oMath>
      <w:r>
        <w:t xml:space="preserve"> </w:t>
      </w:r>
      <w:r>
        <w:t xml:space="preserve">is the kernel vector between the query and all training samples, and</w:t>
      </w:r>
      <w:r>
        <w:t xml:space="preserve"> </w:t>
      </w:r>
      <m:oMath>
        <m:r>
          <m:t>A</m:t>
        </m:r>
      </m:oMath>
      <w:r>
        <w:t xml:space="preserve"> </w:t>
      </w:r>
      <w:r>
        <w:t xml:space="preserve">contains the learned alignment directions. This mapping allows the model to embed unseen target samples into the aligned space using the learned support vectors.</w:t>
      </w:r>
    </w:p>
    <w:bookmarkEnd w:id="87"/>
    <w:bookmarkStart w:id="89" w:name="X2e89ff13f17f55b8a158bc8e71e53bee1f1c47a"/>
    <w:p>
      <w:pPr>
        <w:pStyle w:val="4"/>
      </w:pPr>
      <w:r>
        <w:t xml:space="preserve">Hyperparameter Configuration and Kernel Choice</w:t>
      </w:r>
    </w:p>
    <w:p>
      <w:pPr>
        <w:pStyle w:val="FirstParagraph"/>
      </w:pPr>
      <w:r>
        <w:t xml:space="preserve">The behaviour of TCA is governed by the hyperparameters listed in Table </w:t>
      </w:r>
      <w:hyperlink w:anchor="tbl:tca_hyperparams">
        <w:r>
          <w:rPr>
            <w:rStyle w:val="af"/>
          </w:rPr>
          <w:t xml:space="preserve">2</w:t>
        </w:r>
      </w:hyperlink>
      <w:r>
        <w:t xml:space="preserve">.</w:t>
      </w:r>
    </w:p>
    <w:bookmarkStart w:id="88" w:name="tbl:tca_hyperparams"/>
    <w:p>
      <w:pPr>
        <w:pStyle w:val="TableCaption"/>
      </w:pPr>
      <w:r>
        <w:t xml:space="preserve">Table 9: TCA hyperparameter configuration in PANDA</w:t>
      </w:r>
    </w:p>
    <w:tbl>
      <w:tblPr>
        <w:tblStyle w:val="Table"/>
        <w:tblW w:type="auto" w:w="0"/>
        <w:tblLook w:firstRow="1" w:lastRow="0" w:firstColumn="0" w:lastColumn="0" w:noHBand="0" w:noVBand="0" w:val="0020"/>
        <w:tblCaption w:val="Table 9: TCA hyperparameter configuration in PANDA"/>
      </w:tblPr>
      <w:tblGrid>
        <w:gridCol w:w="2640"/>
        <w:gridCol w:w="2640"/>
        <w:gridCol w:w="2640"/>
      </w:tblGrid>
      <w:tr>
        <w:trPr>
          <w:tblHeader w:val="on"/>
        </w:trPr>
        <w:tc>
          <w:tcPr/>
          <w:p>
            <w:pPr>
              <w:pStyle w:val="Compact"/>
              <w:jc w:val="left"/>
            </w:pPr>
            <w:r>
              <w:rPr>
                <w:b/>
                <w:bCs/>
              </w:rPr>
              <w:t xml:space="preserve">Parameter</w:t>
            </w:r>
          </w:p>
        </w:tc>
        <w:tc>
          <w:tcPr/>
          <w:p>
            <w:pPr>
              <w:pStyle w:val="Compact"/>
              <w:jc w:val="left"/>
            </w:pPr>
            <w:r>
              <w:rPr>
                <w:b/>
                <w:bCs/>
              </w:rPr>
              <w:t xml:space="preserve">Description and role</w:t>
            </w:r>
          </w:p>
        </w:tc>
        <w:tc>
          <w:tcPr/>
          <w:p>
            <w:pPr>
              <w:pStyle w:val="Compact"/>
              <w:jc w:val="left"/>
            </w:pPr>
            <w:r>
              <w:rPr>
                <w:b/>
                <w:bCs/>
              </w:rPr>
              <w:t xml:space="preserve">Value</w:t>
            </w:r>
          </w:p>
        </w:tc>
      </w:tr>
      <w:tr>
        <w:tc>
          <w:tcPr/>
          <w:p>
            <w:pPr>
              <w:pStyle w:val="Compact"/>
              <w:jc w:val="left"/>
            </w:pPr>
            <w:r>
              <w:rPr>
                <w:rStyle w:val="VerbatimChar"/>
              </w:rPr>
              <w:t xml:space="preserve">kernel</w:t>
            </w:r>
          </w:p>
        </w:tc>
        <w:tc>
          <w:tcPr/>
          <w:p>
            <w:pPr>
              <w:pStyle w:val="Compact"/>
              <w:jc w:val="left"/>
            </w:pPr>
            <w:r>
              <w:t xml:space="preserve">Kernel function type. Controls the implicit feature map</w:t>
            </w:r>
            <w:r>
              <w:t xml:space="preserve"> </w:t>
            </w:r>
            <m:oMath>
              <m:r>
                <m:t>ϕ</m:t>
              </m:r>
              <m:r>
                <m:rPr>
                  <m:sty m:val="p"/>
                </m:rPr>
                <m:t>(</m:t>
              </m:r>
              <m:r>
                <m:t>x</m:t>
              </m:r>
              <m:r>
                <m:rPr>
                  <m:sty m:val="p"/>
                </m:rPr>
                <m:t>)</m:t>
              </m:r>
            </m:oMath>
            <w:r>
              <w:t xml:space="preserve">.</w:t>
            </w:r>
          </w:p>
        </w:tc>
        <w:tc>
          <w:tcPr/>
          <w:p>
            <w:pPr>
              <w:pStyle w:val="Compact"/>
              <w:jc w:val="left"/>
            </w:pPr>
            <w:r>
              <w:t xml:space="preserve">’linear’</w:t>
            </w:r>
          </w:p>
        </w:tc>
      </w:tr>
      <w:tr>
        <w:tc>
          <w:tcPr/>
          <w:p>
            <w:pPr>
              <w:pStyle w:val="Compact"/>
              <w:jc w:val="left"/>
            </w:pPr>
            <w:r>
              <w:rPr>
                <w:rStyle w:val="VerbatimChar"/>
              </w:rPr>
              <w:t xml:space="preserve">n_components</w:t>
            </w:r>
            <w:r>
              <w:t xml:space="preserve"> </w:t>
            </w:r>
            <w:r>
              <w:t xml:space="preserve">(</w:t>
            </w:r>
            <m:oMath>
              <m:r>
                <m:t>m</m:t>
              </m:r>
            </m:oMath>
            <w:r>
              <w:t xml:space="preserve">)</w:t>
            </w:r>
          </w:p>
        </w:tc>
        <w:tc>
          <w:tcPr/>
          <w:p>
            <w:pPr>
              <w:pStyle w:val="Compact"/>
              <w:jc w:val="left"/>
            </w:pPr>
            <w:r>
              <w:t xml:space="preserve">Dimensionality of the projected subspace.</w:t>
            </w:r>
          </w:p>
        </w:tc>
        <w:tc>
          <w:tcPr/>
          <w:p>
            <w:pPr>
              <w:pStyle w:val="Compact"/>
              <w:jc w:val="left"/>
            </w:pPr>
            <w:r>
              <w:t xml:space="preserve">10</w:t>
            </w:r>
          </w:p>
        </w:tc>
      </w:tr>
      <w:tr>
        <w:tc>
          <w:tcPr/>
          <w:p>
            <w:pPr>
              <w:pStyle w:val="Compact"/>
              <w:jc w:val="left"/>
            </w:pPr>
            <w:r>
              <w:rPr>
                <w:rStyle w:val="VerbatimChar"/>
              </w:rPr>
              <w:t xml:space="preserve">mu</w:t>
            </w:r>
            <w:r>
              <w:t xml:space="preserve"> </w:t>
            </w:r>
            <w:r>
              <w:t xml:space="preserve">(</w:t>
            </w:r>
            <m:oMath>
              <m:r>
                <m:t>μ</m:t>
              </m:r>
            </m:oMath>
            <w:r>
              <w:t xml:space="preserve">)</w:t>
            </w:r>
          </w:p>
        </w:tc>
        <w:tc>
          <w:tcPr/>
          <w:p>
            <w:pPr>
              <w:pStyle w:val="Compact"/>
              <w:jc w:val="left"/>
            </w:pPr>
            <w:r>
              <w:t xml:space="preserve">Regularization parameter. Balances alignment (MMD) against variance preservation. Higher</w:t>
            </w:r>
            <w:r>
              <w:t xml:space="preserve"> </w:t>
            </w:r>
            <m:oMath>
              <m:r>
                <m:t>μ</m:t>
              </m:r>
            </m:oMath>
            <w:r>
              <w:t xml:space="preserve"> </w:t>
            </w:r>
            <w:r>
              <w:t xml:space="preserve">reduces adaptation.</w:t>
            </w:r>
          </w:p>
        </w:tc>
        <w:tc>
          <w:tcPr/>
          <w:p>
            <w:pPr>
              <w:pStyle w:val="Compact"/>
              <w:jc w:val="left"/>
            </w:pPr>
            <w:r>
              <w:t xml:space="preserve">1.0</w:t>
            </w:r>
          </w:p>
        </w:tc>
      </w:tr>
      <w:tr>
        <w:tc>
          <w:tcPr/>
          <w:p>
            <w:pPr>
              <w:pStyle w:val="Compact"/>
              <w:jc w:val="left"/>
            </w:pPr>
            <w:r>
              <w:rPr>
                <w:rStyle w:val="VerbatimChar"/>
              </w:rPr>
              <w:t xml:space="preserve">gamma</w:t>
            </w:r>
            <w:r>
              <w:t xml:space="preserve"> </w:t>
            </w:r>
            <w:r>
              <w:t xml:space="preserve">(</w:t>
            </w:r>
            <m:oMath>
              <m:r>
                <m:t>γ</m:t>
              </m:r>
            </m:oMath>
            <w:r>
              <w:t xml:space="preserve">)</w:t>
            </w:r>
          </w:p>
        </w:tc>
        <w:tc>
          <w:tcPr/>
          <w:p>
            <w:pPr>
              <w:pStyle w:val="Compact"/>
              <w:jc w:val="left"/>
            </w:pPr>
            <w:r>
              <w:t xml:space="preserve">Kernel coefficient for RBF (</w:t>
            </w:r>
            <m:oMath>
              <m:sSup>
                <m:e>
                  <m:r>
                    <m:t>e</m:t>
                  </m:r>
                </m:e>
                <m:sup>
                  <m:r>
                    <m:rPr>
                      <m:sty m:val="p"/>
                    </m:rPr>
                    <m:t>−</m:t>
                  </m:r>
                  <m:r>
                    <m:t>γ</m:t>
                  </m:r>
                  <m:r>
                    <m:rPr>
                      <m:sty m:val="p"/>
                    </m:rPr>
                    <m:t>∥</m:t>
                  </m:r>
                  <m:r>
                    <m:t>x</m:t>
                  </m:r>
                  <m:r>
                    <m:rPr>
                      <m:sty m:val="p"/>
                    </m:rPr>
                    <m:t>−</m:t>
                  </m:r>
                  <m:r>
                    <m:t>y</m:t>
                  </m:r>
                  <m:sSup>
                    <m:e>
                      <m:r>
                        <m:rPr>
                          <m:sty m:val="p"/>
                        </m:rPr>
                        <m:t>∥</m:t>
                      </m:r>
                    </m:e>
                    <m:sup>
                      <m:r>
                        <m:t>2</m:t>
                      </m:r>
                    </m:sup>
                  </m:sSup>
                </m:sup>
              </m:sSup>
            </m:oMath>
            <w:r>
              <w:t xml:space="preserve">). Passed via</w:t>
            </w:r>
            <w:r>
              <w:t xml:space="preserve"> </w:t>
            </w:r>
            <w:r>
              <w:rPr>
                <w:rStyle w:val="VerbatimChar"/>
              </w:rPr>
              <w:t xml:space="preserve">kernel_params</w:t>
            </w:r>
            <w:r>
              <w:t xml:space="preserve">.</w:t>
            </w:r>
          </w:p>
        </w:tc>
        <w:tc>
          <w:tcPr/>
          <w:p>
            <w:pPr>
              <w:pStyle w:val="Compact"/>
              <w:jc w:val="left"/>
            </w:pPr>
            <w:r>
              <w:t xml:space="preserve">N/A</w:t>
            </w:r>
          </w:p>
        </w:tc>
      </w:tr>
    </w:tbl>
    <w:bookmarkEnd w:id="88"/>
    <w:p>
      <w:pPr>
        <w:pStyle w:val="a0"/>
      </w:pPr>
      <w:r>
        <w:t xml:space="preserve">We explicitly choose a</w:t>
      </w:r>
      <w:r>
        <w:t xml:space="preserve"> </w:t>
      </w:r>
      <w:r>
        <w:rPr>
          <w:b/>
          <w:bCs/>
        </w:rPr>
        <w:t xml:space="preserve">linear kernel</w:t>
      </w:r>
      <w:r>
        <w:t xml:space="preserve"> </w:t>
      </w:r>
      <w:r>
        <w:t xml:space="preserve">(</w:t>
      </w:r>
      <m:oMath>
        <m:sSub>
          <m:e>
            <m:r>
              <m:t>K</m:t>
            </m:r>
          </m:e>
          <m:sub>
            <m:r>
              <m:rPr>
                <m:nor/>
                <m:sty m:val="p"/>
              </m:rPr>
              <m:t>lin</m:t>
            </m:r>
          </m:sub>
        </m:sSub>
        <m:r>
          <m:rPr>
            <m:sty m:val="p"/>
          </m:rPr>
          <m:t>(</m:t>
        </m:r>
        <m:r>
          <m:t>x</m:t>
        </m:r>
        <m:r>
          <m:rPr>
            <m:sty m:val="p"/>
          </m:rPr>
          <m:t>,</m:t>
        </m:r>
        <m:r>
          <m:t>y</m:t>
        </m:r>
        <m:r>
          <m:rPr>
            <m:sty m:val="p"/>
          </m:rPr>
          <m:t>)</m:t>
        </m:r>
        <m:r>
          <m:rPr>
            <m:sty m:val="p"/>
          </m:rPr>
          <m:t>=</m:t>
        </m:r>
        <m:sSup>
          <m:e>
            <m:r>
              <m:t>x</m:t>
            </m:r>
          </m:e>
          <m:sup>
            <m:r>
              <m:rPr>
                <m:sty m:val="p"/>
              </m:rPr>
              <m:t>⊤</m:t>
            </m:r>
          </m:sup>
        </m:sSup>
        <m:r>
          <m:t>y</m:t>
        </m:r>
      </m:oMath>
      <w:r>
        <w:t xml:space="preserve">) over the radial basis function (RBF) kernel (</w:t>
      </w:r>
      <m:oMath>
        <m:sSub>
          <m:e>
            <m:r>
              <m:t>K</m:t>
            </m:r>
          </m:e>
          <m:sub>
            <m:r>
              <m:rPr>
                <m:nor/>
                <m:sty m:val="p"/>
              </m:rPr>
              <m:t>rbf</m:t>
            </m:r>
          </m:sub>
        </m:sSub>
        <m:r>
          <m:rPr>
            <m:sty m:val="p"/>
          </m:rPr>
          <m:t>(</m:t>
        </m:r>
        <m:r>
          <m:t>x</m:t>
        </m:r>
        <m:r>
          <m:rPr>
            <m:sty m:val="p"/>
          </m:rPr>
          <m:t>,</m:t>
        </m:r>
        <m:r>
          <m:t>y</m:t>
        </m:r>
        <m:r>
          <m:rPr>
            <m:sty m:val="p"/>
          </m:rPr>
          <m:t>)</m:t>
        </m:r>
        <m:r>
          <m:rPr>
            <m:sty m:val="p"/>
          </m:rPr>
          <m:t>=</m:t>
        </m:r>
        <m:r>
          <m:rPr>
            <m:sty m:val="p"/>
          </m:rPr>
          <m:t>exp</m:t>
        </m:r>
        <m:r>
          <m:rPr>
            <m:sty m:val="p"/>
          </m:rPr>
          <m:t>(</m:t>
        </m:r>
        <m:r>
          <m:rPr>
            <m:sty m:val="p"/>
          </m:rPr>
          <m:t>−</m:t>
        </m:r>
        <m:r>
          <m:t>γ</m:t>
        </m:r>
        <m:r>
          <m:rPr>
            <m:sty m:val="p"/>
          </m:rPr>
          <m:t>∥</m:t>
        </m:r>
        <m:r>
          <m:t>x</m:t>
        </m:r>
        <m:r>
          <m:rPr>
            <m:sty m:val="p"/>
          </m:rPr>
          <m:t>−</m:t>
        </m:r>
        <m:r>
          <m:t>y</m:t>
        </m:r>
        <m:sSup>
          <m:e>
            <m:r>
              <m:rPr>
                <m:sty m:val="p"/>
              </m:rPr>
              <m:t>∥</m:t>
            </m:r>
          </m:e>
          <m:sup>
            <m:r>
              <m:t>2</m:t>
            </m:r>
          </m:sup>
        </m:sSup>
        <m:r>
          <m:rPr>
            <m:sty m:val="p"/>
          </m:rPr>
          <m:t>)</m:t>
        </m:r>
      </m:oMath>
      <w:r>
        <w:t xml:space="preserve">) for the following reasons:</w:t>
      </w:r>
    </w:p>
    <w:p>
      <w:pPr>
        <w:numPr>
          <w:ilvl w:val="0"/>
          <w:numId w:val="1023"/>
        </w:numPr>
      </w:pPr>
      <w:r>
        <w:rPr>
          <w:b/>
          <w:bCs/>
        </w:rPr>
        <w:t xml:space="preserve">Feature disentanglement:</w:t>
      </w:r>
      <w:r>
        <w:t xml:space="preserve"> </w:t>
      </w:r>
      <w:r>
        <w:t xml:space="preserve">The RFE-selected features already form a robust, low-dimensional subset. A linear alignment of their first-order moments is sufficient and less prone to overfitting than the infinite-dimensional mapping induced by the RBF kernel.</w:t>
      </w:r>
    </w:p>
    <w:p>
      <w:pPr>
        <w:numPr>
          <w:ilvl w:val="0"/>
          <w:numId w:val="1023"/>
        </w:numPr>
      </w:pPr>
      <w:r>
        <w:rPr>
          <w:b/>
          <w:bCs/>
        </w:rPr>
        <w:t xml:space="preserve">Stability on small samples:</w:t>
      </w:r>
      <w:r>
        <w:t xml:space="preserve"> </w:t>
      </w:r>
      <w:r>
        <w:t xml:space="preserve">RBF kernels require tuning the bandwidth</w:t>
      </w:r>
      <w:r>
        <w:t xml:space="preserve"> </w:t>
      </w:r>
      <m:oMath>
        <m:r>
          <m:t>γ</m:t>
        </m:r>
      </m:oMath>
      <w:r>
        <w:t xml:space="preserve">, which can be unstable on small cohorts (</w:t>
      </w:r>
      <m:oMath>
        <m:r>
          <m:t>N</m:t>
        </m:r>
        <m:r>
          <m:rPr>
            <m:sty m:val="p"/>
          </m:rPr>
          <m:t>≈</m:t>
        </m:r>
        <m:r>
          <m:t>300</m:t>
        </m:r>
      </m:oMath>
      <w:r>
        <w:t xml:space="preserve">). An improper choice of</w:t>
      </w:r>
      <w:r>
        <w:t xml:space="preserve"> </w:t>
      </w:r>
      <m:oMath>
        <m:r>
          <m:t>γ</m:t>
        </m:r>
      </m:oMath>
      <w:r>
        <w:t xml:space="preserve"> </w:t>
      </w:r>
      <w:r>
        <w:t xml:space="preserve">can lead to a degenerate Gram matrix.</w:t>
      </w:r>
    </w:p>
    <w:p>
      <w:pPr>
        <w:numPr>
          <w:ilvl w:val="0"/>
          <w:numId w:val="1023"/>
        </w:numPr>
      </w:pPr>
      <w:r>
        <w:rPr>
          <w:b/>
          <w:bCs/>
        </w:rPr>
        <w:t xml:space="preserve">Negative transfer avoidance:</w:t>
      </w:r>
      <w:r>
        <w:t xml:space="preserve"> </w:t>
      </w:r>
      <w:r>
        <w:t xml:space="preserve">Empirical tests indicated that RBF-TCA often collapsed the TabPFN classifier to the majority class because of noise amplification in the high-dimensional RBF space.</w:t>
      </w:r>
    </w:p>
    <w:p>
      <w:pPr>
        <w:pStyle w:val="FirstParagraph"/>
      </w:pPr>
      <w:r>
        <w:t xml:space="preserve">This configuration allows PANDA to benefit from domain alignment without incurring the instability often associated with kernel methods on small datasets.</w:t>
      </w:r>
    </w:p>
    <w:bookmarkEnd w:id="89"/>
    <w:bookmarkEnd w:id="90"/>
    <w:bookmarkStart w:id="91" w:name="sec:param_sensitivity"/>
    <w:p>
      <w:pPr>
        <w:pStyle w:val="3"/>
      </w:pPr>
      <w:r>
        <w:t xml:space="preserve">Parameter Sensitivity Diagnostics</w:t>
      </w:r>
    </w:p>
    <w:p>
      <w:pPr>
        <w:pStyle w:val="FirstParagraph"/>
      </w:pPr>
      <w:r>
        <w:t xml:space="preserve">To ensure that the chosen defaults are numerically stable and that the TCA hyperparameters do not introduce hidden instabilities or negative transfer, the automated regression test suite exercises the same Adapt wrapper on the Mayo </w:t>
      </w:r>
      <m:oMath>
        <m:r>
          <m:rPr>
            <m:sty m:val="p"/>
          </m:rPr>
          <m:t>→</m:t>
        </m:r>
      </m:oMath>
      <w:r>
        <w:t xml:space="preserve"> PKUPH split with stress configurations (letting Adapt infer</w:t>
      </w:r>
      <w:r>
        <w:t xml:space="preserve"> </w:t>
      </w:r>
      <w:r>
        <w:rPr>
          <w:rStyle w:val="VerbatimChar"/>
        </w:rPr>
        <w:t xml:space="preserve">n_components=None</w:t>
      </w:r>
      <w:r>
        <w:t xml:space="preserve"> </w:t>
      </w:r>
      <w:r>
        <w:t xml:space="preserve">and shrinking</w:t>
      </w:r>
      <w:r>
        <w:t xml:space="preserve"> </w:t>
      </w:r>
      <m:oMath>
        <m:r>
          <m:t>μ</m:t>
        </m:r>
      </m:oMath>
      <w:r>
        <w:t xml:space="preserve"> </w:t>
      </w:r>
      <w:r>
        <w:t xml:space="preserve">to</w:t>
      </w:r>
      <w:r>
        <w:t xml:space="preserve"> </w:t>
      </w:r>
      <m:oMath>
        <m:r>
          <m:t>0.1</m:t>
        </m:r>
      </m:oMath>
      <w:r>
        <w:t xml:space="preserve">). The test reports</w:t>
      </w:r>
      <w:r>
        <w:t xml:space="preserve"> </w:t>
      </w:r>
      <m:oMath>
        <m:r>
          <m:rPr>
            <m:sty m:val="p"/>
          </m:rPr>
          <m:t>A</m:t>
        </m:r>
        <m:r>
          <m:rPr>
            <m:sty m:val="p"/>
          </m:rPr>
          <m:t>c</m:t>
        </m:r>
        <m:r>
          <m:rPr>
            <m:sty m:val="p"/>
          </m:rPr>
          <m:t>c</m:t>
        </m:r>
      </m:oMath>
      <w:r>
        <w:t xml:space="preserve">,</w:t>
      </w:r>
      <w:r>
        <w:t xml:space="preserve"> </w:t>
      </w:r>
      <m:oMath>
        <m:r>
          <m:rPr>
            <m:sty m:val="p"/>
          </m:rPr>
          <m:t>A</m:t>
        </m:r>
        <m:r>
          <m:rPr>
            <m:sty m:val="p"/>
          </m:rPr>
          <m:t>U</m:t>
        </m:r>
        <m:r>
          <m:rPr>
            <m:sty m:val="p"/>
          </m:rPr>
          <m:t>C</m:t>
        </m:r>
      </m:oMath>
      <w:r>
        <w:t xml:space="preserve">,</w:t>
      </w:r>
      <w:r>
        <w:t xml:space="preserve"> </w:t>
      </w:r>
      <m:oMath>
        <m:sSub>
          <m:e>
            <m:r>
              <m:t>F</m:t>
            </m:r>
          </m:e>
          <m:sub>
            <m:r>
              <m:t>1</m:t>
            </m:r>
          </m:sub>
        </m:sSub>
      </m:oMath>
      <w:r>
        <w:t xml:space="preserve">,</w:t>
      </w:r>
      <w:r>
        <w:t xml:space="preserve"> </w:t>
      </w:r>
      <m:oMath>
        <m:r>
          <m:rPr>
            <m:sty m:val="p"/>
          </m:rPr>
          <m:t>P</m:t>
        </m:r>
        <m:r>
          <m:rPr>
            <m:sty m:val="p"/>
          </m:rPr>
          <m:t>r</m:t>
        </m:r>
        <m:r>
          <m:rPr>
            <m:sty m:val="p"/>
          </m:rPr>
          <m:t>e</m:t>
        </m:r>
        <m:r>
          <m:rPr>
            <m:sty m:val="p"/>
          </m:rPr>
          <m:t>c</m:t>
        </m:r>
      </m:oMath>
      <w:r>
        <w:t xml:space="preserve">, and</w:t>
      </w:r>
      <w:r>
        <w:t xml:space="preserve"> </w:t>
      </w:r>
      <m:oMath>
        <m:r>
          <m:rPr>
            <m:sty m:val="p"/>
          </m:rPr>
          <m:t>R</m:t>
        </m:r>
        <m:r>
          <m:rPr>
            <m:sty m:val="p"/>
          </m:rPr>
          <m:t>e</m:t>
        </m:r>
        <m:r>
          <m:rPr>
            <m:sty m:val="p"/>
          </m:rPr>
          <m:t>c</m:t>
        </m:r>
      </m:oMath>
      <w:r>
        <w:t xml:space="preserve"> </w:t>
      </w:r>
      <w:r>
        <w:t xml:space="preserve">and asserts that the predicted probabilities remain in</w:t>
      </w:r>
      <w:r>
        <w:t xml:space="preserve"> </w:t>
      </w:r>
      <m:oMath>
        <m:r>
          <m:rPr>
            <m:sty m:val="p"/>
          </m:rPr>
          <m:t>[</m:t>
        </m:r>
        <m:r>
          <m:t>0</m:t>
        </m:r>
        <m:r>
          <m:rPr>
            <m:sty m:val="p"/>
          </m:rPr>
          <m:t>,</m:t>
        </m:r>
        <m:r>
          <m:t>1</m:t>
        </m:r>
        <m:r>
          <m:rPr>
            <m:sty m:val="p"/>
          </m:rPr>
          <m:t>]</m:t>
        </m:r>
      </m:oMath>
      <w:r>
        <w:t xml:space="preserve">. Because both the production path and the test harness rely on the identical Adapt pipeline, these executions provide our practical parameter-sensitivity verification for PANDA.</w:t>
      </w:r>
    </w:p>
    <w:bookmarkEnd w:id="91"/>
    <w:bookmarkEnd w:id="92"/>
    <w:bookmarkStart w:id="99" w:name="subsec:experimental_config"/>
    <w:p>
      <w:pPr>
        <w:pStyle w:val="2"/>
      </w:pPr>
      <w:r>
        <w:t xml:space="preserve">Experimental Configuration</w:t>
      </w:r>
    </w:p>
    <w:bookmarkStart w:id="94" w:name="baseline-hyperparameters"/>
    <w:p>
      <w:pPr>
        <w:pStyle w:val="3"/>
      </w:pPr>
      <w:r>
        <w:t xml:space="preserve">Baseline Hyperparameters</w:t>
      </w:r>
    </w:p>
    <w:p>
      <w:pPr>
        <w:pStyle w:val="FirstParagraph"/>
      </w:pPr>
      <w:r>
        <w:t xml:space="preserve">To enable fair comparison, all baseline models were configured with default hyperparameters and essential settings for reproducibility. As shown in Table </w:t>
      </w:r>
      <w:hyperlink w:anchor="tbl:hyperparams">
        <w:r>
          <w:rPr>
            <w:rStyle w:val="af"/>
          </w:rPr>
          <w:t xml:space="preserve">3</w:t>
        </w:r>
      </w:hyperlink>
      <w:r>
        <w:t xml:space="preserve">, we focused on consistent random state management, class imbalance handling through balanced class weights, and parallel processing for computational efficiency. This approach ensures that the comparison reflects the models’ inherent capabilities rather than extensive hyperparameter optimization, which aligns with our research focus on domain adaptation effectiveness rather than individual model tuning.</w:t>
      </w:r>
    </w:p>
    <w:bookmarkStart w:id="93" w:name="tbl:hyperparams"/>
    <w:p>
      <w:pPr>
        <w:pStyle w:val="TableCaption"/>
      </w:pPr>
      <w:r>
        <w:t xml:space="preserve">Table 10: Configuration for baseline models. Default parameters were used with basic settings for reproducibility and class imbalance handling.</w:t>
      </w:r>
    </w:p>
    <w:tbl>
      <w:tblPr>
        <w:tblStyle w:val="Table"/>
        <w:tblW w:type="auto" w:w="0"/>
        <w:tblLook w:firstRow="1" w:lastRow="0" w:firstColumn="0" w:lastColumn="0" w:noHBand="0" w:noVBand="0" w:val="0020"/>
        <w:tblCaption w:val="Table 10: Configuration for baseline models. Default parameters were used with basic settings for reproducibility and class imbalance handling."/>
      </w:tblPr>
      <w:tblGrid>
        <w:gridCol w:w="2640"/>
        <w:gridCol w:w="2640"/>
        <w:gridCol w:w="2640"/>
      </w:tblGrid>
      <w:tr>
        <w:trPr>
          <w:tblHeader w:val="on"/>
        </w:trPr>
        <w:tc>
          <w:tcPr/>
          <w:p>
            <w:pPr>
              <w:pStyle w:val="Compact"/>
              <w:jc w:val="left"/>
            </w:pPr>
            <w:r>
              <w:rPr>
                <w:b/>
                <w:bCs/>
              </w:rPr>
              <w:t xml:space="preserve">Model</w:t>
            </w:r>
          </w:p>
        </w:tc>
        <w:tc>
          <w:tcPr/>
          <w:p>
            <w:pPr>
              <w:pStyle w:val="Compact"/>
              <w:jc w:val="left"/>
            </w:pPr>
            <w:r>
              <w:rPr>
                <w:b/>
                <w:bCs/>
              </w:rPr>
              <w:t xml:space="preserve">Parameter</w:t>
            </w:r>
          </w:p>
        </w:tc>
        <w:tc>
          <w:tcPr/>
          <w:p>
            <w:pPr>
              <w:pStyle w:val="Compact"/>
              <w:jc w:val="left"/>
            </w:pPr>
            <w:r>
              <w:rPr>
                <w:b/>
                <w:bCs/>
              </w:rPr>
              <w:t xml:space="preserve">Value</w:t>
            </w:r>
          </w:p>
        </w:tc>
      </w:tr>
      <w:tr>
        <w:tc>
          <w:tcPr>
            <w:vMerge w:val="restart"/>
          </w:tcPr>
          <w:p>
            <w:pPr>
              <w:pStyle w:val="Compact"/>
              <w:jc w:val="left"/>
            </w:pPr>
            <w:r>
              <w:t xml:space="preserve">XGBoost</w:t>
            </w:r>
          </w:p>
        </w:tc>
        <w:tc>
          <w:tcPr/>
          <w:p>
            <w:pPr>
              <w:pStyle w:val="Compact"/>
              <w:jc w:val="left"/>
            </w:pPr>
            <w:r>
              <w:t xml:space="preserve">Random state</w:t>
            </w:r>
          </w:p>
        </w:tc>
        <w:tc>
          <w:tcPr/>
          <w:p>
            <w:pPr>
              <w:pStyle w:val="Compact"/>
              <w:jc w:val="left"/>
            </w:pPr>
            <w:r>
              <w:t xml:space="preserve">Fixed per experiment</w:t>
            </w:r>
          </w:p>
        </w:tc>
      </w:tr>
      <w:tr>
        <w:tc>
          <w:tcPr>
            <w:gridSpan w:val="1"/>
            <w:vMerge w:val="continue"/>
          </w:tcPr>
          <w:p>
            <w:pPr/>
          </w:p>
        </w:tc>
        <w:tc>
          <w:tcPr/>
          <w:p>
            <w:pPr>
              <w:pStyle w:val="Compact"/>
              <w:jc w:val="left"/>
            </w:pPr>
            <w:r>
              <w:t xml:space="preserve">n_jobs</w:t>
            </w:r>
          </w:p>
        </w:tc>
        <w:tc>
          <w:tcPr/>
          <w:p>
            <w:pPr>
              <w:pStyle w:val="Compact"/>
              <w:jc w:val="left"/>
            </w:pPr>
            <w:r>
              <w:t xml:space="preserve">-1 (parallel processing)</w:t>
            </w:r>
          </w:p>
        </w:tc>
      </w:tr>
      <w:tr>
        <w:tc>
          <w:tcPr>
            <w:gridSpan w:val="1"/>
            <w:vMerge w:val="continue"/>
          </w:tcPr>
          <w:p>
            <w:pPr/>
          </w:p>
        </w:tc>
        <w:tc>
          <w:tcPr/>
          <w:p>
            <w:pPr>
              <w:pStyle w:val="Compact"/>
              <w:jc w:val="left"/>
            </w:pPr>
            <w:r>
              <w:t xml:space="preserve">eval_metric</w:t>
            </w:r>
          </w:p>
        </w:tc>
        <w:tc>
          <w:tcPr/>
          <w:p>
            <w:pPr>
              <w:pStyle w:val="Compact"/>
              <w:jc w:val="left"/>
            </w:pPr>
            <w:r>
              <w:t xml:space="preserve">’logloss’</w:t>
            </w:r>
          </w:p>
        </w:tc>
      </w:tr>
      <w:tr>
        <w:tc>
          <w:tcPr>
            <w:vMerge w:val="restart"/>
          </w:tcPr>
          <w:p>
            <w:pPr>
              <w:pStyle w:val="Compact"/>
              <w:jc w:val="left"/>
            </w:pPr>
            <w:r>
              <w:t xml:space="preserve">Random Forest</w:t>
            </w:r>
          </w:p>
        </w:tc>
        <w:tc>
          <w:tcPr/>
          <w:p>
            <w:pPr>
              <w:pStyle w:val="Compact"/>
              <w:jc w:val="left"/>
            </w:pPr>
            <w:r>
              <w:t xml:space="preserve">Random state</w:t>
            </w:r>
          </w:p>
        </w:tc>
        <w:tc>
          <w:tcPr/>
          <w:p>
            <w:pPr>
              <w:pStyle w:val="Compact"/>
              <w:jc w:val="left"/>
            </w:pPr>
            <w:r>
              <w:t xml:space="preserve">Fixed per experiment</w:t>
            </w:r>
          </w:p>
        </w:tc>
      </w:tr>
      <w:tr>
        <w:tc>
          <w:tcPr>
            <w:gridSpan w:val="1"/>
            <w:vMerge w:val="continue"/>
          </w:tcPr>
          <w:p>
            <w:pPr/>
          </w:p>
        </w:tc>
        <w:tc>
          <w:tcPr/>
          <w:p>
            <w:pPr>
              <w:pStyle w:val="Compact"/>
              <w:jc w:val="left"/>
            </w:pPr>
            <w:r>
              <w:t xml:space="preserve">n_jobs</w:t>
            </w:r>
          </w:p>
        </w:tc>
        <w:tc>
          <w:tcPr/>
          <w:p>
            <w:pPr>
              <w:pStyle w:val="Compact"/>
              <w:jc w:val="left"/>
            </w:pPr>
            <w:r>
              <w:t xml:space="preserve">-1 (parallel processing)</w:t>
            </w:r>
          </w:p>
        </w:tc>
      </w:tr>
      <w:tr>
        <w:tc>
          <w:tcPr>
            <w:gridSpan w:val="1"/>
            <w:vMerge w:val="continue"/>
          </w:tcPr>
          <w:p>
            <w:pPr/>
          </w:p>
        </w:tc>
        <w:tc>
          <w:tcPr/>
          <w:p>
            <w:pPr>
              <w:pStyle w:val="Compact"/>
              <w:jc w:val="left"/>
            </w:pPr>
            <w:r>
              <w:t xml:space="preserve">Class weight</w:t>
            </w:r>
          </w:p>
        </w:tc>
        <w:tc>
          <w:tcPr/>
          <w:p>
            <w:pPr>
              <w:pStyle w:val="Compact"/>
              <w:jc w:val="left"/>
            </w:pPr>
            <w:r>
              <w:t xml:space="preserve">’balanced’</w:t>
            </w:r>
          </w:p>
        </w:tc>
      </w:tr>
      <w:tr>
        <w:tc>
          <w:tcPr>
            <w:vMerge w:val="restart"/>
          </w:tcPr>
          <w:p>
            <w:pPr>
              <w:pStyle w:val="Compact"/>
              <w:jc w:val="left"/>
            </w:pPr>
            <w:r>
              <w:t xml:space="preserve">SVM</w:t>
            </w:r>
          </w:p>
        </w:tc>
        <w:tc>
          <w:tcPr/>
          <w:p>
            <w:pPr>
              <w:pStyle w:val="Compact"/>
              <w:jc w:val="left"/>
            </w:pPr>
            <w:r>
              <w:t xml:space="preserve">Random state</w:t>
            </w:r>
          </w:p>
        </w:tc>
        <w:tc>
          <w:tcPr/>
          <w:p>
            <w:pPr>
              <w:pStyle w:val="Compact"/>
              <w:jc w:val="left"/>
            </w:pPr>
            <w:r>
              <w:t xml:space="preserve">Fixed per experiment</w:t>
            </w:r>
          </w:p>
        </w:tc>
      </w:tr>
      <w:tr>
        <w:tc>
          <w:tcPr>
            <w:gridSpan w:val="1"/>
            <w:vMerge w:val="continue"/>
          </w:tcPr>
          <w:p>
            <w:pPr/>
          </w:p>
        </w:tc>
        <w:tc>
          <w:tcPr/>
          <w:p>
            <w:pPr>
              <w:pStyle w:val="Compact"/>
              <w:jc w:val="left"/>
            </w:pPr>
            <w:r>
              <w:t xml:space="preserve">Probability</w:t>
            </w:r>
          </w:p>
        </w:tc>
        <w:tc>
          <w:tcPr/>
          <w:p>
            <w:pPr>
              <w:pStyle w:val="Compact"/>
              <w:jc w:val="left"/>
            </w:pPr>
            <w:r>
              <w:t xml:space="preserve">True (for probability outputs)</w:t>
            </w:r>
          </w:p>
        </w:tc>
      </w:tr>
      <w:tr>
        <w:tc>
          <w:tcPr>
            <w:gridSpan w:val="1"/>
            <w:vMerge w:val="continue"/>
          </w:tcPr>
          <w:p>
            <w:pPr/>
          </w:p>
        </w:tc>
        <w:tc>
          <w:tcPr/>
          <w:p>
            <w:pPr>
              <w:pStyle w:val="Compact"/>
              <w:jc w:val="left"/>
            </w:pPr>
            <w:r>
              <w:t xml:space="preserve">Class weight</w:t>
            </w:r>
          </w:p>
        </w:tc>
        <w:tc>
          <w:tcPr/>
          <w:p>
            <w:pPr>
              <w:pStyle w:val="Compact"/>
              <w:jc w:val="left"/>
            </w:pPr>
            <w:r>
              <w:t xml:space="preserve">’balanced’</w:t>
            </w:r>
          </w:p>
        </w:tc>
      </w:tr>
    </w:tbl>
    <w:bookmarkEnd w:id="93"/>
    <w:bookmarkEnd w:id="94"/>
    <w:bookmarkStart w:id="95" w:name="clinical-scoring-models"/>
    <w:p>
      <w:pPr>
        <w:pStyle w:val="3"/>
      </w:pPr>
      <w:r>
        <w:t xml:space="preserve">Clinical Scoring Models</w:t>
      </w:r>
    </w:p>
    <w:p>
      <w:pPr>
        <w:pStyle w:val="FirstParagraph"/>
      </w:pPr>
      <w:r>
        <w:t xml:space="preserve">We implemented three established clinical calculators for pulmonary nodule malignancy:</w:t>
      </w:r>
    </w:p>
    <w:p>
      <w:pPr>
        <w:numPr>
          <w:ilvl w:val="0"/>
          <w:numId w:val="1024"/>
        </w:numPr>
      </w:pPr>
      <w:r>
        <w:rPr>
          <w:b/>
          <w:bCs/>
        </w:rPr>
        <w:t xml:space="preserve">Mayo model</w:t>
      </w:r>
      <w:r>
        <w:t xml:space="preserve">:</w:t>
      </w:r>
      <w:r>
        <w:t xml:space="preserve"> </w:t>
      </w:r>
      <m:oMath>
        <m:r>
          <m:rPr>
            <m:nor/>
            <m:sty m:val="p"/>
          </m:rPr>
          <m:t>Prob</m:t>
        </m:r>
        <m:r>
          <m:rPr>
            <m:sty m:val="p"/>
          </m:rPr>
          <m:t>=</m:t>
        </m:r>
        <m:r>
          <m:t>σ</m:t>
        </m:r>
        <m:r>
          <m:rPr>
            <m:sty m:val="p"/>
          </m:rPr>
          <m:t>(</m:t>
        </m:r>
        <m:r>
          <m:rPr>
            <m:sty m:val="p"/>
          </m:rPr>
          <m:t>−</m:t>
        </m:r>
        <m:r>
          <m:t>6.83</m:t>
        </m:r>
        <m:r>
          <m:rPr>
            <m:sty m:val="p"/>
          </m:rPr>
          <m:t>+</m:t>
        </m:r>
        <m:r>
          <m:t>0.039</m:t>
        </m:r>
        <m:r>
          <m:rPr>
            <m:sty m:val="p"/>
          </m:rPr>
          <m:t>⋅</m:t>
        </m:r>
        <m:r>
          <m:rPr>
            <m:nor/>
            <m:sty m:val="p"/>
          </m:rPr>
          <m:t>Age</m:t>
        </m:r>
        <m:r>
          <m:rPr>
            <m:sty m:val="p"/>
          </m:rPr>
          <m:t>+</m:t>
        </m:r>
        <m:r>
          <m:t>0.79</m:t>
        </m:r>
        <m:r>
          <m:rPr>
            <m:sty m:val="p"/>
          </m:rPr>
          <m:t>⋅</m:t>
        </m:r>
        <m:r>
          <m:rPr>
            <m:nor/>
            <m:sty m:val="p"/>
          </m:rPr>
          <m:t>Smoke</m:t>
        </m:r>
        <m:r>
          <m:rPr>
            <m:sty m:val="p"/>
          </m:rPr>
          <m:t>+</m:t>
        </m:r>
        <m:r>
          <m:t>1.34</m:t>
        </m:r>
        <m:r>
          <m:rPr>
            <m:sty m:val="p"/>
          </m:rPr>
          <m:t>⋅</m:t>
        </m:r>
        <m:r>
          <m:rPr>
            <m:nor/>
            <m:sty m:val="p"/>
          </m:rPr>
          <m:t>CancerHx</m:t>
        </m:r>
        <m:r>
          <m:rPr>
            <m:sty m:val="p"/>
          </m:rPr>
          <m:t>+</m:t>
        </m:r>
        <m:r>
          <m:t>0.13</m:t>
        </m:r>
        <m:r>
          <m:rPr>
            <m:sty m:val="p"/>
          </m:rPr>
          <m:t>⋅</m:t>
        </m:r>
        <m:r>
          <m:rPr>
            <m:nor/>
            <m:sty m:val="p"/>
          </m:rPr>
          <m:t>Diameter</m:t>
        </m:r>
        <m:r>
          <m:rPr>
            <m:sty m:val="p"/>
          </m:rPr>
          <m:t>+</m:t>
        </m:r>
        <m:r>
          <m:t>1.04</m:t>
        </m:r>
        <m:r>
          <m:rPr>
            <m:sty m:val="p"/>
          </m:rPr>
          <m:t>⋅</m:t>
        </m:r>
        <m:r>
          <m:rPr>
            <m:nor/>
            <m:sty m:val="p"/>
          </m:rPr>
          <m:t>Spiculation</m:t>
        </m:r>
        <m:r>
          <m:rPr>
            <m:sty m:val="p"/>
          </m:rPr>
          <m:t>+</m:t>
        </m:r>
        <m:r>
          <m:t>0.78</m:t>
        </m:r>
        <m:r>
          <m:rPr>
            <m:sty m:val="p"/>
          </m:rPr>
          <m:t>⋅</m:t>
        </m:r>
        <m:r>
          <m:rPr>
            <m:nor/>
            <m:sty m:val="p"/>
          </m:rPr>
          <m:t>UpperLobe</m:t>
        </m:r>
        <m:r>
          <m:rPr>
            <m:sty m:val="p"/>
          </m:rPr>
          <m:t>)</m:t>
        </m:r>
      </m:oMath>
      <w:r>
        <w:t xml:space="preserve"> </w:t>
      </w:r>
      <w:r>
        <w:t xml:space="preserve">[</w:t>
      </w:r>
      <w:hyperlink w:anchor="ref-swensen1997chest">
        <w:r>
          <w:rPr>
            <w:rStyle w:val="af"/>
          </w:rPr>
          <w:t xml:space="preserve">1</w:t>
        </w:r>
      </w:hyperlink>
      <w:r>
        <w:t xml:space="preserve">]</w:t>
      </w:r>
      <w:r>
        <w:t xml:space="preserve">.</w:t>
      </w:r>
    </w:p>
    <w:p>
      <w:pPr>
        <w:numPr>
          <w:ilvl w:val="0"/>
          <w:numId w:val="1024"/>
        </w:numPr>
      </w:pPr>
      <w:r>
        <w:rPr>
          <w:b/>
          <w:bCs/>
        </w:rPr>
        <w:t xml:space="preserve">PKUPH model</w:t>
      </w:r>
      <w:r>
        <w:t xml:space="preserve">: A regression model specifically developed for Chinese populations</w:t>
      </w:r>
      <w:r>
        <w:t xml:space="preserve"> </w:t>
      </w:r>
      <w:r>
        <w:t xml:space="preserve">[</w:t>
      </w:r>
      <w:hyperlink w:anchor="ref-li2011development">
        <w:r>
          <w:rPr>
            <w:rStyle w:val="af"/>
          </w:rPr>
          <w:t xml:space="preserve">3</w:t>
        </w:r>
      </w:hyperlink>
      <w:r>
        <w:t xml:space="preserve">]</w:t>
      </w:r>
      <w:r>
        <w:t xml:space="preserve">:</w:t>
      </w:r>
      <w:r>
        <w:t xml:space="preserve"> </w:t>
      </w:r>
      <m:oMath>
        <m:r>
          <m:rPr>
            <m:nor/>
            <m:sty m:val="p"/>
          </m:rPr>
          <m:t>Prob</m:t>
        </m:r>
        <m:r>
          <m:rPr>
            <m:sty m:val="p"/>
          </m:rPr>
          <m:t>=</m:t>
        </m:r>
        <m:r>
          <m:t>σ</m:t>
        </m:r>
        <m:r>
          <m:rPr>
            <m:sty m:val="p"/>
          </m:rPr>
          <m:t>(</m:t>
        </m:r>
        <m:r>
          <m:rPr>
            <m:sty m:val="p"/>
          </m:rPr>
          <m:t>−</m:t>
        </m:r>
        <m:r>
          <m:t>4.50</m:t>
        </m:r>
        <m:r>
          <m:rPr>
            <m:sty m:val="p"/>
          </m:rPr>
          <m:t>+</m:t>
        </m:r>
        <m:r>
          <m:t>0.07</m:t>
        </m:r>
        <m:r>
          <m:rPr>
            <m:sty m:val="p"/>
          </m:rPr>
          <m:t>⋅</m:t>
        </m:r>
        <m:r>
          <m:rPr>
            <m:nor/>
            <m:sty m:val="p"/>
          </m:rPr>
          <m:t>Age</m:t>
        </m:r>
        <m:r>
          <m:rPr>
            <m:sty m:val="p"/>
          </m:rPr>
          <m:t>+</m:t>
        </m:r>
        <m:r>
          <m:t>0.68</m:t>
        </m:r>
        <m:r>
          <m:rPr>
            <m:sty m:val="p"/>
          </m:rPr>
          <m:t>⋅</m:t>
        </m:r>
        <m:r>
          <m:rPr>
            <m:nor/>
            <m:sty m:val="p"/>
          </m:rPr>
          <m:t>Diameter</m:t>
        </m:r>
        <m:r>
          <m:rPr>
            <m:sty m:val="p"/>
          </m:rPr>
          <m:t>+</m:t>
        </m:r>
        <m:r>
          <m:t>0.74</m:t>
        </m:r>
        <m:r>
          <m:rPr>
            <m:sty m:val="p"/>
          </m:rPr>
          <m:t>⋅</m:t>
        </m:r>
        <m:r>
          <m:rPr>
            <m:nor/>
            <m:sty m:val="p"/>
          </m:rPr>
          <m:t>Spiculation</m:t>
        </m:r>
        <m:r>
          <m:rPr>
            <m:sty m:val="p"/>
          </m:rPr>
          <m:t>+</m:t>
        </m:r>
        <m:r>
          <m:t>1.27</m:t>
        </m:r>
        <m:r>
          <m:rPr>
            <m:sty m:val="p"/>
          </m:rPr>
          <m:t>⋅</m:t>
        </m:r>
        <m:r>
          <m:rPr>
            <m:nor/>
            <m:sty m:val="p"/>
          </m:rPr>
          <m:t>FamilyHx</m:t>
        </m:r>
        <m:r>
          <m:rPr>
            <m:sty m:val="p"/>
          </m:rPr>
          <m:t>−</m:t>
        </m:r>
        <m:r>
          <m:t>1.62</m:t>
        </m:r>
        <m:r>
          <m:rPr>
            <m:sty m:val="p"/>
          </m:rPr>
          <m:t>⋅</m:t>
        </m:r>
        <m:r>
          <m:rPr>
            <m:nor/>
            <m:sty m:val="p"/>
          </m:rPr>
          <m:t>Calcification</m:t>
        </m:r>
        <m:r>
          <m:rPr>
            <m:sty m:val="p"/>
          </m:rPr>
          <m:t>−</m:t>
        </m:r>
        <m:r>
          <m:t>1.41</m:t>
        </m:r>
        <m:r>
          <m:rPr>
            <m:sty m:val="p"/>
          </m:rPr>
          <m:t>⋅</m:t>
        </m:r>
        <m:r>
          <m:rPr>
            <m:nor/>
            <m:sty m:val="p"/>
          </m:rPr>
          <m:t>Boundary</m:t>
        </m:r>
        <m:r>
          <m:rPr>
            <m:sty m:val="p"/>
          </m:rPr>
          <m:t>)</m:t>
        </m:r>
      </m:oMath>
      <w:r>
        <w:t xml:space="preserve">.</w:t>
      </w:r>
    </w:p>
    <w:p>
      <w:pPr>
        <w:numPr>
          <w:ilvl w:val="0"/>
          <w:numId w:val="1024"/>
        </w:numPr>
      </w:pPr>
      <w:r>
        <w:rPr>
          <w:b/>
          <w:bCs/>
        </w:rPr>
        <w:t xml:space="preserve">LASSO Logistic Regression</w:t>
      </w:r>
      <w:r>
        <w:t xml:space="preserve">: A data-driven baseline derived via L1-regularization on the source domain</w:t>
      </w:r>
      <w:r>
        <w:t xml:space="preserve"> </w:t>
      </w:r>
      <w:r>
        <w:t xml:space="preserve">[</w:t>
      </w:r>
      <w:hyperlink w:anchor="ref-he2021novel">
        <w:r>
          <w:rPr>
            <w:rStyle w:val="af"/>
          </w:rPr>
          <w:t xml:space="preserve">4</w:t>
        </w:r>
      </w:hyperlink>
      <w:r>
        <w:t xml:space="preserve">]</w:t>
      </w:r>
      <w:r>
        <w:t xml:space="preserve">:</w:t>
      </w:r>
      <w:r>
        <w:t xml:space="preserve"> </w:t>
      </w:r>
      <m:oMath>
        <m:acc>
          <m:accPr>
            <m:chr m:val="̂"/>
          </m:accPr>
          <m:e>
            <m:r>
              <m:t>p</m:t>
            </m:r>
          </m:e>
        </m:acc>
        <m:r>
          <m:rPr>
            <m:sty m:val="p"/>
          </m:rPr>
          <m:t>=</m:t>
        </m:r>
        <m:r>
          <m:t>σ</m:t>
        </m:r>
        <m:r>
          <m:rPr>
            <m:sty m:val="p"/>
          </m:rPr>
          <m:t>(</m:t>
        </m:r>
        <m:r>
          <m:rPr>
            <m:sty m:val="p"/>
          </m:rPr>
          <m:t>−</m:t>
        </m:r>
        <m:r>
          <m:t>1.14</m:t>
        </m:r>
        <m:r>
          <m:rPr>
            <m:sty m:val="p"/>
          </m:rPr>
          <m:t>+</m:t>
        </m:r>
        <m:r>
          <m:t>0.036</m:t>
        </m:r>
        <m:r>
          <m:rPr>
            <m:sty m:val="p"/>
          </m:rPr>
          <m:t>⋅</m:t>
        </m:r>
        <m:r>
          <m:rPr>
            <m:nor/>
            <m:sty m:val="p"/>
          </m:rPr>
          <m:t>Age</m:t>
        </m:r>
        <m:r>
          <m:rPr>
            <m:sty m:val="p"/>
          </m:rPr>
          <m:t>+</m:t>
        </m:r>
        <m:r>
          <m:t>0.38</m:t>
        </m:r>
        <m:r>
          <m:rPr>
            <m:sty m:val="p"/>
          </m:rPr>
          <m:t>⋅</m:t>
        </m:r>
        <m:r>
          <m:rPr>
            <m:nor/>
            <m:sty m:val="p"/>
          </m:rPr>
          <m:t>CancerHx</m:t>
        </m:r>
        <m:r>
          <m:rPr>
            <m:sty m:val="p"/>
          </m:rPr>
          <m:t>+</m:t>
        </m:r>
        <m:r>
          <m:t>0.20</m:t>
        </m:r>
        <m:r>
          <m:rPr>
            <m:sty m:val="p"/>
          </m:rPr>
          <m:t>⋅</m:t>
        </m:r>
        <m:r>
          <m:rPr>
            <m:nor/>
            <m:sty m:val="p"/>
          </m:rPr>
          <m:t>Diameter</m:t>
        </m:r>
        <m:r>
          <m:rPr>
            <m:sty m:val="p"/>
          </m:rPr>
          <m:t>−</m:t>
        </m:r>
        <m:r>
          <m:t>0.29</m:t>
        </m:r>
        <m:r>
          <m:rPr>
            <m:sty m:val="p"/>
          </m:rPr>
          <m:t>⋅</m:t>
        </m:r>
        <m:r>
          <m:rPr>
            <m:nor/>
            <m:sty m:val="p"/>
          </m:rPr>
          <m:t>Calcification</m:t>
        </m:r>
        <m:r>
          <m:rPr>
            <m:sty m:val="p"/>
          </m:rPr>
          <m:t>+</m:t>
        </m:r>
        <m:r>
          <m:t>0.026</m:t>
        </m:r>
        <m:r>
          <m:rPr>
            <m:sty m:val="p"/>
          </m:rPr>
          <m:t>⋅</m:t>
        </m:r>
        <m:r>
          <m:rPr>
            <m:nor/>
            <m:sty m:val="p"/>
          </m:rPr>
          <m:t>PleuralStretch</m:t>
        </m:r>
        <m:r>
          <m:rPr>
            <m:sty m:val="p"/>
          </m:rPr>
          <m:t>−</m:t>
        </m:r>
        <m:r>
          <m:t>0.17</m:t>
        </m:r>
        <m:r>
          <m:rPr>
            <m:sty m:val="p"/>
          </m:rPr>
          <m:t>⋅</m:t>
        </m:r>
        <m:r>
          <m:rPr>
            <m:nor/>
            <m:sty m:val="p"/>
          </m:rPr>
          <m:t>VC</m:t>
        </m:r>
        <m:r>
          <m:rPr>
            <m:sty m:val="p"/>
          </m:rPr>
          <m:t>+</m:t>
        </m:r>
        <m:r>
          <m:t>0.05</m:t>
        </m:r>
        <m:r>
          <m:rPr>
            <m:sty m:val="p"/>
          </m:rPr>
          <m:t>⋅</m:t>
        </m:r>
        <m:r>
          <m:rPr>
            <m:nor/>
            <m:sty m:val="p"/>
          </m:rPr>
          <m:t>DLCO</m:t>
        </m:r>
        <m:r>
          <m:rPr>
            <m:sty m:val="p"/>
          </m:rPr>
          <m:t>+</m:t>
        </m:r>
        <m:r>
          <m:t>0.018</m:t>
        </m:r>
        <m:r>
          <m:rPr>
            <m:sty m:val="p"/>
          </m:rPr>
          <m:t>⋅</m:t>
        </m:r>
        <m:r>
          <m:rPr>
            <m:nor/>
            <m:sty m:val="p"/>
          </m:rPr>
          <m:t>CEA</m:t>
        </m:r>
        <m:r>
          <m:rPr>
            <m:sty m:val="p"/>
          </m:rPr>
          <m:t>+</m:t>
        </m:r>
        <m:r>
          <m:t>0.004</m:t>
        </m:r>
        <m:r>
          <m:rPr>
            <m:sty m:val="p"/>
          </m:rPr>
          <m:t>⋅</m:t>
        </m:r>
        <m:r>
          <m:rPr>
            <m:nor/>
            <m:sty m:val="p"/>
          </m:rPr>
          <m:t>NSE</m:t>
        </m:r>
        <m:r>
          <m:rPr>
            <m:sty m:val="p"/>
          </m:rPr>
          <m:t>)</m:t>
        </m:r>
      </m:oMath>
      <w:r>
        <w:t xml:space="preserve">.</w:t>
      </w:r>
    </w:p>
    <w:p>
      <w:pPr>
        <w:pStyle w:val="FirstParagraph"/>
      </w:pPr>
      <w:r>
        <w:t xml:space="preserve">These models are applied using their published coefficients without re-training and represent the standard of care.</w:t>
      </w:r>
    </w:p>
    <w:bookmarkEnd w:id="95"/>
    <w:bookmarkStart w:id="96" w:name="ml-baseline-models"/>
    <w:p>
      <w:pPr>
        <w:pStyle w:val="3"/>
      </w:pPr>
      <w:r>
        <w:t xml:space="preserve">ML Baseline Models</w:t>
      </w:r>
    </w:p>
    <w:p>
      <w:pPr>
        <w:pStyle w:val="FirstParagraph"/>
      </w:pPr>
      <w:r>
        <w:t xml:space="preserve">We implemented five machine learning baseline models for comprehensive comparison with the PANDA framework. These models were trained and evaluated using 10-fold cross-validation on the target domain with the same feature set and preprocessing pipeline as PANDA:</w:t>
      </w:r>
    </w:p>
    <w:p>
      <w:pPr>
        <w:numPr>
          <w:ilvl w:val="0"/>
          <w:numId w:val="1025"/>
        </w:numPr>
      </w:pPr>
      <w:r>
        <w:rPr>
          <w:b/>
          <w:bCs/>
        </w:rPr>
        <w:t xml:space="preserve">Support Vector Machine (SVM)</w:t>
      </w:r>
      <w:r>
        <w:t xml:space="preserve">: A maximum margin classifier that finds optimal hyperplanes for classification</w:t>
      </w:r>
      <w:r>
        <w:t xml:space="preserve"> </w:t>
      </w:r>
      <w:r>
        <w:t xml:space="preserve">[</w:t>
      </w:r>
      <w:hyperlink w:anchor="ref-cortes1995support">
        <w:r>
          <w:rPr>
            <w:rStyle w:val="af"/>
          </w:rPr>
          <w:t xml:space="preserve">97</w:t>
        </w:r>
      </w:hyperlink>
      <w:r>
        <w:t xml:space="preserve">]</w:t>
      </w:r>
      <w:r>
        <w:t xml:space="preserve">. Configuration: probability=True, class_weight=’balanced’ for imbalanced data handling.</w:t>
      </w:r>
    </w:p>
    <w:p>
      <w:pPr>
        <w:numPr>
          <w:ilvl w:val="0"/>
          <w:numId w:val="1025"/>
        </w:numPr>
      </w:pPr>
      <w:r>
        <w:rPr>
          <w:b/>
          <w:bCs/>
        </w:rPr>
        <w:t xml:space="preserve">Decision Tree (DT)</w:t>
      </w:r>
      <w:r>
        <w:t xml:space="preserve">: A tree-based classifier that learns decision rules from data features using recursive partitioning</w:t>
      </w:r>
      <w:r>
        <w:t xml:space="preserve"> </w:t>
      </w:r>
      <w:r>
        <w:t xml:space="preserve">[</w:t>
      </w:r>
      <w:hyperlink w:anchor="ref-breiman1984classification">
        <w:r>
          <w:rPr>
            <w:rStyle w:val="af"/>
          </w:rPr>
          <w:t xml:space="preserve">98</w:t>
        </w:r>
      </w:hyperlink>
      <w:r>
        <w:t xml:space="preserve">]</w:t>
      </w:r>
      <w:r>
        <w:t xml:space="preserve">. Configuration: default sklearn parameters with reproducibility settings.</w:t>
      </w:r>
    </w:p>
    <w:p>
      <w:pPr>
        <w:numPr>
          <w:ilvl w:val="0"/>
          <w:numId w:val="1025"/>
        </w:numPr>
      </w:pPr>
      <w:r>
        <w:rPr>
          <w:b/>
          <w:bCs/>
        </w:rPr>
        <w:t xml:space="preserve">Random Forest (RF)</w:t>
      </w:r>
      <w:r>
        <w:t xml:space="preserve">: An ensemble method that constructs multiple decision trees and outputs the majority vote through bagging</w:t>
      </w:r>
      <w:r>
        <w:t xml:space="preserve"> </w:t>
      </w:r>
      <w:r>
        <w:t xml:space="preserve">[</w:t>
      </w:r>
      <w:hyperlink w:anchor="ref-breiman2001random">
        <w:r>
          <w:rPr>
            <w:rStyle w:val="af"/>
          </w:rPr>
          <w:t xml:space="preserve">99</w:t>
        </w:r>
      </w:hyperlink>
      <w:r>
        <w:t xml:space="preserve">]</w:t>
      </w:r>
      <w:r>
        <w:t xml:space="preserve">. Configuration: class_weight=’balanced’, parallel processing enabled.</w:t>
      </w:r>
    </w:p>
    <w:p>
      <w:pPr>
        <w:numPr>
          <w:ilvl w:val="0"/>
          <w:numId w:val="1025"/>
        </w:numPr>
      </w:pPr>
      <w:r>
        <w:rPr>
          <w:b/>
          <w:bCs/>
        </w:rPr>
        <w:t xml:space="preserve">Gradient Boosting Decision Tree (GBDT)</w:t>
      </w:r>
      <w:r>
        <w:t xml:space="preserve">: A boosting ensemble method that builds trees sequentially, each correcting the previous one’s errors through gradient descent optimization</w:t>
      </w:r>
      <w:r>
        <w:t xml:space="preserve"> </w:t>
      </w:r>
      <w:r>
        <w:t xml:space="preserve">[</w:t>
      </w:r>
      <w:hyperlink w:anchor="ref-friedman2001greedy">
        <w:r>
          <w:rPr>
            <w:rStyle w:val="af"/>
          </w:rPr>
          <w:t xml:space="preserve">100</w:t>
        </w:r>
      </w:hyperlink>
      <w:r>
        <w:t xml:space="preserve">]</w:t>
      </w:r>
      <w:r>
        <w:t xml:space="preserve">. Configuration: default sklearn parameters for gradient boosting.</w:t>
      </w:r>
    </w:p>
    <w:p>
      <w:pPr>
        <w:numPr>
          <w:ilvl w:val="0"/>
          <w:numId w:val="1025"/>
        </w:numPr>
      </w:pPr>
      <w:r>
        <w:rPr>
          <w:b/>
          <w:bCs/>
        </w:rPr>
        <w:t xml:space="preserve">XGBoost</w:t>
      </w:r>
      <w:r>
        <w:t xml:space="preserve">: An optimized gradient boosting framework designed for efficiency and performance with regularized objective function and tree pruning</w:t>
      </w:r>
      <w:r>
        <w:t xml:space="preserve"> </w:t>
      </w:r>
      <w:r>
        <w:t xml:space="preserve">[</w:t>
      </w:r>
      <w:hyperlink w:anchor="ref-chen2016xgboost">
        <w:r>
          <w:rPr>
            <w:rStyle w:val="af"/>
          </w:rPr>
          <w:t xml:space="preserve">8</w:t>
        </w:r>
      </w:hyperlink>
      <w:r>
        <w:t xml:space="preserve">]</w:t>
      </w:r>
      <w:r>
        <w:t xml:space="preserve">. Configuration: eval_metric=’logloss’, parallel processing enabled.</w:t>
      </w:r>
    </w:p>
    <w:p>
      <w:pPr>
        <w:pStyle w:val="FirstParagraph"/>
      </w:pPr>
      <w:r>
        <w:t xml:space="preserve">All ML baseline models used default hyperparameters with consistent random state management and class imbalance handling, ensuring comparison reflects inherent model capabilities rather than extensive optimization.</w:t>
      </w:r>
    </w:p>
    <w:p>
      <w:pPr>
        <w:pStyle w:val="a0"/>
      </w:pPr>
      <w:r>
        <w:t xml:space="preserve">We do not include deep tabular architectures such as TabNet, TabTransformer, SAINT, or FT-Transformer as baselines in our main experiments. Large-scale benchmarking studies on tabular data have shown that, on small heterogeneous datasets with fewer than 1,000 samples, well-regularized gradient-boosted trees typically outperform deep tabular networks, which are highly sensitive to hyperparameters and require extensive tuning and GPU resources to reach competitive performance</w:t>
      </w:r>
      <w:r>
        <w:t xml:space="preserve"> </w:t>
      </w:r>
      <w:r>
        <w:t xml:space="preserve">[</w:t>
      </w:r>
      <w:hyperlink w:anchor="ref-gorishniy2021revisiting">
        <w:r>
          <w:rPr>
            <w:rStyle w:val="af"/>
          </w:rPr>
          <w:t xml:space="preserve">9</w:t>
        </w:r>
      </w:hyperlink>
      <w:r>
        <w:t xml:space="preserve">,</w:t>
      </w:r>
      <w:hyperlink w:anchor="ref-borisov2022deep">
        <w:r>
          <w:rPr>
            <w:rStyle w:val="af"/>
          </w:rPr>
          <w:t xml:space="preserve">13</w:t>
        </w:r>
      </w:hyperlink>
      <w:r>
        <w:t xml:space="preserve">]</w:t>
      </w:r>
      <w:r>
        <w:t xml:space="preserve">. In our setting, each hospital cohort contains only 295 patients with 63 candidate features and pronounced class imbalance, placing us squarely in the small-sample, high-variance regime where these studies report that deep tabular models are unstable and often underperform tree ensembles. Following these findings, we treat tuned tree ensembles and our pre-trained tabular foundation model as the most informative baselines for this regime and focus our experimental budget on robust cross-validation and ablations within the PANDA pipeline rather than underpowered and potentially misleading deep-tabular comparisons.</w:t>
      </w:r>
    </w:p>
    <w:bookmarkEnd w:id="96"/>
    <w:bookmarkStart w:id="98" w:name="computational-framework"/>
    <w:p>
      <w:pPr>
        <w:pStyle w:val="3"/>
      </w:pPr>
      <w:r>
        <w:t xml:space="preserve">Computational Framework</w:t>
      </w:r>
    </w:p>
    <w:p>
      <w:pPr>
        <w:pStyle w:val="FirstParagraph"/>
      </w:pPr>
      <w:r>
        <w:t xml:space="preserve">All experiments were conducted on the High Performance Computing platform at the Hong Kong Polytechnic University Department of Computing, equipped with</w:t>
      </w:r>
    </w:p>
    <w:p>
      <w:pPr>
        <w:numPr>
          <w:ilvl w:val="0"/>
          <w:numId w:val="1026"/>
        </w:numPr>
      </w:pPr>
      <w:r>
        <w:rPr>
          <w:b/>
          <w:bCs/>
        </w:rPr>
        <w:t xml:space="preserve">Hardware</w:t>
      </w:r>
      <w:r>
        <w:t xml:space="preserve">: NVIDIA A800-SXM4-80GB GPU (80GB HBM2 memory), AMD EPYC 7742 64-Core Processor (256 threads), NUMA architecture with 512MB L3 cache.</w:t>
      </w:r>
    </w:p>
    <w:p>
      <w:pPr>
        <w:numPr>
          <w:ilvl w:val="0"/>
          <w:numId w:val="1026"/>
        </w:numPr>
      </w:pPr>
      <w:r>
        <w:rPr>
          <w:b/>
          <w:bCs/>
        </w:rPr>
        <w:t xml:space="preserve">Software</w:t>
      </w:r>
      <w:r>
        <w:t xml:space="preserve">: PyTorch 2.7.0 (CUDA 12.2), Scikit-learn 1.6.1, Adapt 0.4.4.</w:t>
      </w:r>
    </w:p>
    <w:p>
      <w:pPr>
        <w:numPr>
          <w:ilvl w:val="0"/>
          <w:numId w:val="1026"/>
        </w:numPr>
      </w:pPr>
      <w:r>
        <w:rPr>
          <w:b/>
          <w:bCs/>
        </w:rPr>
        <w:t xml:space="preserve">System</w:t>
      </w:r>
      <w:r>
        <w:t xml:space="preserve">: Ubuntu 22.04.4 LTS, NVIDIA Driver 535.161.07.</w:t>
      </w:r>
    </w:p>
    <w:p>
      <w:pPr>
        <w:pStyle w:val="FirstParagraph"/>
      </w:pPr>
      <w:bookmarkStart w:id="97" w:name="sec:meth-end"/>
      <w:bookmarkEnd w:id="97"/>
    </w:p>
    <w:bookmarkEnd w:id="98"/>
    <w:bookmarkEnd w:id="99"/>
    <w:bookmarkEnd w:id="100"/>
    <w:bookmarkStart w:id="111" w:name="sec:analysis"/>
    <w:p>
      <w:pPr>
        <w:pStyle w:val="1"/>
      </w:pPr>
      <w:r>
        <w:t xml:space="preserve">Analysis</w:t>
      </w:r>
    </w:p>
    <w:p>
      <w:pPr>
        <w:pStyle w:val="FirstParagraph"/>
      </w:pPr>
      <w:r>
        <w:t xml:space="preserve">This chapter moves beyond descriptive reporting of performance metrics to develop a rigorous theoretical account of</w:t>
      </w:r>
      <w:r>
        <w:t xml:space="preserve"> </w:t>
      </w:r>
      <w:r>
        <w:rPr>
          <w:i/>
          <w:iCs/>
        </w:rPr>
        <w:t xml:space="preserve">why</w:t>
      </w:r>
      <w:r>
        <w:t xml:space="preserve"> </w:t>
      </w:r>
      <w:r>
        <w:t xml:space="preserve">the PANDA framework succeeds where traditional methods fail. The failure of classical models (e.g., GBDTs, CNNs) in cross-hospital deployment is interpreted not as an engineering artifact, but as a violation of a core assumption in statistical learning theory, namely that training and test data are independently and identically distributed (i.i.d.) samples from the same joint distribution</w:t>
      </w:r>
      <w:r>
        <w:t xml:space="preserve"> </w:t>
      </w:r>
      <m:oMath>
        <m:r>
          <m:t>P</m:t>
        </m:r>
        <m:r>
          <m:rPr>
            <m:sty m:val="p"/>
          </m:rPr>
          <m:t>(</m:t>
        </m:r>
        <m:r>
          <m:rPr>
            <m:scr m:val="script"/>
            <m:sty m:val="p"/>
          </m:rPr>
          <m:t>X</m:t>
        </m:r>
        <m:r>
          <m:rPr>
            <m:sty m:val="p"/>
          </m:rPr>
          <m:t>,</m:t>
        </m:r>
        <m:r>
          <m:rPr>
            <m:scr m:val="script"/>
            <m:sty m:val="p"/>
          </m:rPr>
          <m:t>Y</m:t>
        </m:r>
        <m:r>
          <m:rPr>
            <m:sty m:val="p"/>
          </m:rPr>
          <m:t>)</m:t>
        </m:r>
      </m:oMath>
      <w:r>
        <w:t xml:space="preserve">.</w:t>
      </w:r>
    </w:p>
    <w:p>
      <w:pPr>
        <w:pStyle w:val="a0"/>
      </w:pPr>
      <w:r>
        <w:t xml:space="preserve">By analyzing PANDA under the generalization bound of Ben-David et al. for domain adaptation, we show that its architecture constitutes a direct algorithmic response to the theoretical decomposition of target error.</w:t>
      </w:r>
    </w:p>
    <w:bookmarkStart w:id="102" w:name="subsec:generalization_bound"/>
    <w:p>
      <w:pPr>
        <w:pStyle w:val="2"/>
      </w:pPr>
      <w:r>
        <w:t xml:space="preserve">Theoretical Foundation: The Generalization Bound</w:t>
      </w:r>
    </w:p>
    <w:p>
      <w:pPr>
        <w:pStyle w:val="FirstParagraph"/>
      </w:pPr>
      <w:r>
        <w:t xml:space="preserve">To study the generalization properties of PANDA, we adopt the seminal learning-theoretic framework of Shai Ben-David et al. (2010), which is a cornerstone of domain adaptation theory</w:t>
      </w:r>
      <w:r>
        <w:t xml:space="preserve"> </w:t>
      </w:r>
      <w:r>
        <w:t xml:space="preserve">[</w:t>
      </w:r>
      <w:hyperlink w:anchor="ref-ben2010theory">
        <w:r>
          <w:rPr>
            <w:rStyle w:val="af"/>
          </w:rPr>
          <w:t xml:space="preserve">94</w:t>
        </w:r>
      </w:hyperlink>
      <w:r>
        <w:t xml:space="preserve">]</w:t>
      </w:r>
      <w:r>
        <w:t xml:space="preserve">. This framework provides a rigorous upper bound on the target domain error and decomposes it into observable and optimizable components. The bound clarifies why minimizing the source error alone is insufficient and why explicit domain-alignment mechanisms such as TCA are required.</w:t>
      </w:r>
    </w:p>
    <w:p>
      <w:pPr>
        <w:pStyle w:val="a0"/>
      </w:pPr>
      <w:r>
        <w:t xml:space="preserve">Let</w:t>
      </w:r>
      <w:r>
        <w:t xml:space="preserve"> </w:t>
      </w:r>
      <m:oMath>
        <m:r>
          <m:rPr>
            <m:scr m:val="script"/>
            <m:sty m:val="p"/>
          </m:rPr>
          <m:t>H</m:t>
        </m:r>
      </m:oMath>
      <w:r>
        <w:t xml:space="preserve"> </w:t>
      </w:r>
      <w:r>
        <w:t xml:space="preserve">be a hypothesis space of VC-dimension</w:t>
      </w:r>
      <w:r>
        <w:t xml:space="preserve"> </w:t>
      </w:r>
      <m:oMath>
        <m:sSub>
          <m:e>
            <m:r>
              <m:t>d</m:t>
            </m:r>
          </m:e>
          <m:sub>
            <m:r>
              <m:t>V</m:t>
            </m:r>
            <m:r>
              <m:t>C</m:t>
            </m:r>
          </m:sub>
        </m:sSub>
      </m:oMath>
      <w:r>
        <w:t xml:space="preserve">. If</w:t>
      </w:r>
      <w:r>
        <w:t xml:space="preserve"> </w:t>
      </w:r>
      <m:oMath>
        <m:r>
          <m:t>S</m:t>
        </m:r>
      </m:oMath>
      <w:r>
        <w:t xml:space="preserve"> </w:t>
      </w:r>
      <w:r>
        <w:t xml:space="preserve">and</w:t>
      </w:r>
      <w:r>
        <w:t xml:space="preserve"> </w:t>
      </w:r>
      <m:oMath>
        <m:r>
          <m:t>T</m:t>
        </m:r>
      </m:oMath>
      <w:r>
        <w:t xml:space="preserve"> </w:t>
      </w:r>
      <w:r>
        <w:t xml:space="preserve">are samples of size</w:t>
      </w:r>
      <w:r>
        <w:t xml:space="preserve"> </w:t>
      </w:r>
      <m:oMath>
        <m:r>
          <m:t>n</m:t>
        </m:r>
      </m:oMath>
      <w:r>
        <w:t xml:space="preserve"> </w:t>
      </w:r>
      <w:r>
        <w:t xml:space="preserve">drawn from source distribution</w:t>
      </w:r>
      <w:r>
        <w:t xml:space="preserve"> </w:t>
      </w:r>
      <m:oMath>
        <m:sSub>
          <m:e>
            <m:r>
              <m:t>P</m:t>
            </m:r>
          </m:e>
          <m:sub>
            <m:r>
              <m:t>S</m:t>
            </m:r>
          </m:sub>
        </m:sSub>
      </m:oMath>
      <w:r>
        <w:t xml:space="preserve"> </w:t>
      </w:r>
      <w:r>
        <w:t xml:space="preserve">and target distribution</w:t>
      </w:r>
      <w:r>
        <w:t xml:space="preserve"> </w:t>
      </w:r>
      <m:oMath>
        <m:sSub>
          <m:e>
            <m:r>
              <m:t>P</m:t>
            </m:r>
          </m:e>
          <m:sub>
            <m:r>
              <m:t>T</m:t>
            </m:r>
          </m:sub>
        </m:sSub>
      </m:oMath>
      <w:r>
        <w:t xml:space="preserve"> </w:t>
      </w:r>
      <w:r>
        <w:t xml:space="preserve">respectively, then for any</w:t>
      </w:r>
      <w:r>
        <w:t xml:space="preserve"> </w:t>
      </w:r>
      <m:oMath>
        <m:r>
          <m:t>δ</m:t>
        </m:r>
        <m:r>
          <m:rPr>
            <m:sty m:val="p"/>
          </m:rPr>
          <m:t>∈</m:t>
        </m:r>
        <m:r>
          <m:rPr>
            <m:sty m:val="p"/>
          </m:rPr>
          <m:t>(</m:t>
        </m:r>
        <m:r>
          <m:t>0</m:t>
        </m:r>
        <m:r>
          <m:rPr>
            <m:sty m:val="p"/>
          </m:rPr>
          <m:t>,</m:t>
        </m:r>
        <m:r>
          <m:t>1</m:t>
        </m:r>
        <m:r>
          <m:rPr>
            <m:sty m:val="p"/>
          </m:rPr>
          <m:t>)</m:t>
        </m:r>
      </m:oMath>
      <w:r>
        <w:t xml:space="preserve">, with probability at least</w:t>
      </w:r>
      <w:r>
        <w:t xml:space="preserve"> </w:t>
      </w:r>
      <m:oMath>
        <m:r>
          <m:t>1</m:t>
        </m:r>
        <m:r>
          <m:rPr>
            <m:sty m:val="p"/>
          </m:rPr>
          <m:t>−</m:t>
        </m:r>
        <m:r>
          <m:t>δ</m:t>
        </m:r>
      </m:oMath>
      <w:r>
        <w:t xml:space="preserve">, for every</w:t>
      </w:r>
      <w:r>
        <w:t xml:space="preserve"> </w:t>
      </w:r>
      <m:oMath>
        <m:r>
          <m:t>h</m:t>
        </m:r>
        <m:r>
          <m:rPr>
            <m:sty m:val="p"/>
          </m:rPr>
          <m:t>∈</m:t>
        </m:r>
        <m:r>
          <m:rPr>
            <m:scr m:val="script"/>
            <m:sty m:val="p"/>
          </m:rPr>
          <m:t>H</m:t>
        </m:r>
      </m:oMath>
      <w:r>
        <w:t xml:space="preserve">:</w:t>
      </w:r>
    </w:p>
    <w:p>
      <w:pPr>
        <w:pStyle w:val="a0"/>
      </w:pPr>
      <m:oMathPara>
        <m:oMathParaPr>
          <m:jc m:val="center"/>
        </m:oMathParaPr>
        <m:oMath>
          <m:sSub>
            <m:e>
              <m:r>
                <m:t>ϵ</m:t>
              </m:r>
            </m:e>
            <m:sub>
              <m:r>
                <m:t>T</m:t>
              </m:r>
            </m:sub>
          </m:sSub>
          <m:r>
            <m:rPr>
              <m:sty m:val="p"/>
            </m:rPr>
            <m:t>≤</m:t>
          </m:r>
          <m:sSub>
            <m:e>
              <m:r>
                <m:t>ϵ</m:t>
              </m:r>
            </m:e>
            <m:sub>
              <m:r>
                <m:t>S</m:t>
              </m:r>
            </m:sub>
          </m:sSub>
          <m:r>
            <m:rPr>
              <m:sty m:val="p"/>
            </m:rPr>
            <m:t>+</m:t>
          </m:r>
          <m:f>
            <m:fPr>
              <m:type m:val="bar"/>
            </m:fPr>
            <m:num>
              <m:r>
                <m:t>1</m:t>
              </m:r>
            </m:num>
            <m:den>
              <m:r>
                <m:t>2</m:t>
              </m:r>
            </m:den>
          </m:f>
          <m:sSub>
            <m:e>
              <m:r>
                <m:t>d</m:t>
              </m:r>
            </m:e>
            <m:sub>
              <m:r>
                <m:rPr>
                  <m:scr m:val="script"/>
                  <m:sty m:val="p"/>
                </m:rPr>
                <m:t>H</m:t>
              </m:r>
              <m:r>
                <m:rPr>
                  <m:sty m:val="p"/>
                </m:rPr>
                <m:t>Δ</m:t>
              </m:r>
              <m:r>
                <m:rPr>
                  <m:scr m:val="script"/>
                  <m:sty m:val="p"/>
                </m:rPr>
                <m:t>H</m:t>
              </m:r>
            </m:sub>
          </m:sSub>
          <m:r>
            <m:rPr>
              <m:sty m:val="p"/>
            </m:rPr>
            <m:t>(</m:t>
          </m:r>
          <m:sSub>
            <m:e>
              <m:r>
                <m:t>P</m:t>
              </m:r>
            </m:e>
            <m:sub>
              <m:r>
                <m:t>S</m:t>
              </m:r>
            </m:sub>
          </m:sSub>
          <m:r>
            <m:rPr>
              <m:sty m:val="p"/>
            </m:rPr>
            <m:t>,</m:t>
          </m:r>
          <m:sSub>
            <m:e>
              <m:r>
                <m:t>P</m:t>
              </m:r>
            </m:e>
            <m:sub>
              <m:r>
                <m:t>T</m:t>
              </m:r>
            </m:sub>
          </m:sSub>
          <m:r>
            <m:rPr>
              <m:sty m:val="p"/>
            </m:rPr>
            <m:t>)</m:t>
          </m:r>
          <m:r>
            <m:rPr>
              <m:sty m:val="p"/>
            </m:rPr>
            <m:t>+</m:t>
          </m:r>
          <m:r>
            <m:t>λ</m:t>
          </m:r>
          <m:r>
            <m:rPr>
              <m:sty m:val="p"/>
            </m:rPr>
            <m:t>+</m:t>
          </m:r>
          <m:r>
            <m:rPr>
              <m:scr m:val="script"/>
              <m:sty m:val="p"/>
            </m:rPr>
            <m:t>O</m:t>
          </m:r>
          <m:d>
            <m:dPr>
              <m:begChr m:val="("/>
              <m:sepChr m:val=""/>
              <m:endChr m:val=")"/>
              <m:grow/>
            </m:dPr>
            <m:e>
              <m:rad>
                <m:radPr>
                  <m:degHide m:val="on"/>
                </m:radPr>
                <m:deg/>
                <m:e>
                  <m:f>
                    <m:fPr>
                      <m:type m:val="bar"/>
                    </m:fPr>
                    <m:num>
                      <m:sSub>
                        <m:e>
                          <m:r>
                            <m:t>d</m:t>
                          </m:r>
                        </m:e>
                        <m:sub>
                          <m:r>
                            <m:t>V</m:t>
                          </m:r>
                          <m:r>
                            <m:t>C</m:t>
                          </m:r>
                        </m:sub>
                      </m:sSub>
                      <m:r>
                        <m:rPr>
                          <m:sty m:val="p"/>
                        </m:rPr>
                        <m:t>log</m:t>
                      </m:r>
                      <m:r>
                        <m:t>n</m:t>
                      </m:r>
                    </m:num>
                    <m:den>
                      <m:r>
                        <m:t>n</m:t>
                      </m:r>
                    </m:den>
                  </m:f>
                  <m:r>
                    <m:rPr>
                      <m:sty m:val="p"/>
                    </m:rPr>
                    <m:t>+</m:t>
                  </m:r>
                  <m:r>
                    <m:rPr>
                      <m:sty m:val="p"/>
                    </m:rPr>
                    <m:t>log</m:t>
                  </m:r>
                  <m:f>
                    <m:fPr>
                      <m:type m:val="bar"/>
                    </m:fPr>
                    <m:num>
                      <m:r>
                        <m:t>1</m:t>
                      </m:r>
                    </m:num>
                    <m:den>
                      <m:r>
                        <m:t>δ</m:t>
                      </m:r>
                    </m:den>
                  </m:f>
                </m:e>
              </m:rad>
            </m:e>
          </m:d>
        </m:oMath>
      </m:oMathPara>
    </w:p>
    <w:p>
      <w:pPr>
        <w:pStyle w:val="FirstParagraph"/>
      </w:pPr>
      <w:r>
        <w:t xml:space="preserve">Inequality </w:t>
      </w:r>
      <w:hyperlink w:anchor="eq:ben_david_bound">
        <w:r>
          <w:rPr>
            <w:rStyle w:val="af"/>
          </w:rPr>
          <w:t xml:space="preserve">[eq:ben_david_bound]</w:t>
        </w:r>
      </w:hyperlink>
      <w:r>
        <w:t xml:space="preserve"> </w:t>
      </w:r>
      <w:r>
        <w:t xml:space="preserve">shows that reducing the target error</w:t>
      </w:r>
      <w:r>
        <w:t xml:space="preserve"> </w:t>
      </w:r>
      <m:oMath>
        <m:sSub>
          <m:e>
            <m:r>
              <m:t>ϵ</m:t>
            </m:r>
          </m:e>
          <m:sub>
            <m:r>
              <m:t>T</m:t>
            </m:r>
          </m:sub>
        </m:sSub>
      </m:oMath>
      <w:r>
        <w:t xml:space="preserve"> </w:t>
      </w:r>
      <w:r>
        <w:t xml:space="preserve">requires the simultaneous control of three terms:</w:t>
      </w:r>
    </w:p>
    <w:p>
      <w:pPr>
        <w:numPr>
          <w:ilvl w:val="0"/>
          <w:numId w:val="1027"/>
        </w:numPr>
      </w:pPr>
      <w:r>
        <w:rPr>
          <w:b/>
          <w:bCs/>
        </w:rPr>
        <w:t xml:space="preserve">Source Risk</w:t>
      </w:r>
      <w:r>
        <w:t xml:space="preserve"> </w:t>
      </w:r>
      <m:oMath>
        <m:sSub>
          <m:e>
            <m:r>
              <m:t>ϵ</m:t>
            </m:r>
          </m:e>
          <m:sub>
            <m:r>
              <m:t>S</m:t>
            </m:r>
          </m:sub>
        </m:sSub>
      </m:oMath>
      <w:r>
        <w:t xml:space="preserve">: The expected error on the source domain.</w:t>
      </w:r>
    </w:p>
    <w:p>
      <w:pPr>
        <w:numPr>
          <w:ilvl w:val="0"/>
          <w:numId w:val="1027"/>
        </w:numPr>
      </w:pPr>
      <w:r>
        <w:rPr>
          <w:b/>
          <w:bCs/>
        </w:rPr>
        <w:t xml:space="preserve">Domain Divergence</w:t>
      </w:r>
      <w:r>
        <w:t xml:space="preserve"> </w:t>
      </w:r>
      <m:oMath>
        <m:sSub>
          <m:e>
            <m:r>
              <m:t>d</m:t>
            </m:r>
          </m:e>
          <m:sub>
            <m:r>
              <m:rPr>
                <m:scr m:val="script"/>
                <m:sty m:val="p"/>
              </m:rPr>
              <m:t>H</m:t>
            </m:r>
            <m:r>
              <m:rPr>
                <m:sty m:val="p"/>
              </m:rPr>
              <m:t>Δ</m:t>
            </m:r>
            <m:r>
              <m:rPr>
                <m:scr m:val="script"/>
                <m:sty m:val="p"/>
              </m:rPr>
              <m:t>H</m:t>
            </m:r>
          </m:sub>
        </m:sSub>
        <m:r>
          <m:rPr>
            <m:sty m:val="p"/>
          </m:rPr>
          <m:t>(</m:t>
        </m:r>
        <m:sSub>
          <m:e>
            <m:r>
              <m:t>P</m:t>
            </m:r>
          </m:e>
          <m:sub>
            <m:r>
              <m:t>S</m:t>
            </m:r>
          </m:sub>
        </m:sSub>
        <m:r>
          <m:rPr>
            <m:sty m:val="p"/>
          </m:rPr>
          <m:t>,</m:t>
        </m:r>
        <m:sSub>
          <m:e>
            <m:r>
              <m:t>P</m:t>
            </m:r>
          </m:e>
          <m:sub>
            <m:r>
              <m:t>T</m:t>
            </m:r>
          </m:sub>
        </m:sSub>
        <m:r>
          <m:rPr>
            <m:sty m:val="p"/>
          </m:rPr>
          <m:t>)</m:t>
        </m:r>
      </m:oMath>
      <w:r>
        <w:t xml:space="preserve">: The</w:t>
      </w:r>
      <w:r>
        <w:t xml:space="preserve"> </w:t>
      </w:r>
      <m:oMath>
        <m:r>
          <m:rPr>
            <m:scr m:val="script"/>
            <m:sty m:val="p"/>
          </m:rPr>
          <m:t>H</m:t>
        </m:r>
        <m:r>
          <m:rPr>
            <m:sty m:val="p"/>
          </m:rPr>
          <m:t>Δ</m:t>
        </m:r>
        <m:r>
          <m:rPr>
            <m:scr m:val="script"/>
            <m:sty m:val="p"/>
          </m:rPr>
          <m:t>H</m:t>
        </m:r>
      </m:oMath>
      <w:r>
        <w:t xml:space="preserve">-divergence, which measures the discrepancy between the marginal feature distributions.</w:t>
      </w:r>
    </w:p>
    <w:p>
      <w:pPr>
        <w:numPr>
          <w:ilvl w:val="0"/>
          <w:numId w:val="1027"/>
        </w:numPr>
      </w:pPr>
      <w:r>
        <w:rPr>
          <w:b/>
          <w:bCs/>
        </w:rPr>
        <w:t xml:space="preserve">Adaptability Term</w:t>
      </w:r>
      <w:r>
        <w:t xml:space="preserve"> </w:t>
      </w:r>
      <m:oMath>
        <m:r>
          <m:t>λ</m:t>
        </m:r>
      </m:oMath>
      <w:r>
        <w:t xml:space="preserve">: The error of the ideal joint hypothesis,</w:t>
      </w:r>
      <w:r>
        <w:t xml:space="preserve"> </w:t>
      </w:r>
      <m:oMath>
        <m:r>
          <m:t>λ</m:t>
        </m:r>
        <m:r>
          <m:rPr>
            <m:sty m:val="p"/>
          </m:rPr>
          <m:t>=</m:t>
        </m:r>
        <m:sSub>
          <m:e>
            <m:r>
              <m:rPr>
                <m:sty m:val="p"/>
              </m:rPr>
              <m:t>min</m:t>
            </m:r>
          </m:e>
          <m:sub>
            <m:r>
              <m:t>h</m:t>
            </m:r>
            <m:r>
              <m:rPr>
                <m:sty m:val="p"/>
              </m:rPr>
              <m:t>∈</m:t>
            </m:r>
            <m:r>
              <m:rPr>
                <m:scr m:val="script"/>
                <m:sty m:val="p"/>
              </m:rPr>
              <m:t>H</m:t>
            </m:r>
          </m:sub>
        </m:sSub>
        <m:r>
          <m:rPr>
            <m:sty m:val="p"/>
          </m:rPr>
          <m:t>(</m:t>
        </m:r>
        <m:sSub>
          <m:e>
            <m:r>
              <m:t>ϵ</m:t>
            </m:r>
          </m:e>
          <m:sub>
            <m:r>
              <m:t>S</m:t>
            </m:r>
          </m:sub>
        </m:sSub>
        <m:r>
          <m:rPr>
            <m:sty m:val="p"/>
          </m:rPr>
          <m:t>+</m:t>
        </m:r>
        <m:sSub>
          <m:e>
            <m:r>
              <m:t>ϵ</m:t>
            </m:r>
          </m:e>
          <m:sub>
            <m:r>
              <m:t>T</m:t>
            </m:r>
          </m:sub>
        </m:sSub>
        <m:r>
          <m:rPr>
            <m:sty m:val="p"/>
          </m:rPr>
          <m:t>)</m:t>
        </m:r>
      </m:oMath>
      <w:r>
        <w:t xml:space="preserve">, which captures irreducible error due to concept shift, that is, mismatch in the conditional distributions</w:t>
      </w:r>
      <w:r>
        <w:t xml:space="preserve"> </w:t>
      </w:r>
      <m:oMath>
        <m:r>
          <m:t>P</m:t>
        </m:r>
        <m:r>
          <m:rPr>
            <m:sty m:val="p"/>
          </m:rPr>
          <m:t>(</m:t>
        </m:r>
        <m:r>
          <m:t>Y</m:t>
        </m:r>
        <m:r>
          <m:rPr>
            <m:sty m:val="p"/>
          </m:rPr>
          <m:t>∣</m:t>
        </m:r>
        <m:r>
          <m:t>X</m:t>
        </m:r>
        <m:r>
          <m:rPr>
            <m:sty m:val="p"/>
          </m:rPr>
          <m:t>)</m:t>
        </m:r>
      </m:oMath>
      <w:r>
        <w:t xml:space="preserve">.</w:t>
      </w:r>
    </w:p>
    <w:bookmarkStart w:id="101" w:name="the-mathcalhdeltamathcalh-divergence"/>
    <w:p>
      <w:pPr>
        <w:pStyle w:val="3"/>
      </w:pPr>
      <w:r>
        <w:t xml:space="preserve">The</w:t>
      </w:r>
      <w:r>
        <w:t xml:space="preserve"> </w:t>
      </w:r>
      <m:oMath>
        <m:r>
          <m:rPr>
            <m:scr m:val="script"/>
            <m:sty m:val="p"/>
          </m:rPr>
          <m:t>H</m:t>
        </m:r>
        <m:r>
          <m:rPr>
            <m:sty m:val="p"/>
          </m:rPr>
          <m:t>Δ</m:t>
        </m:r>
        <m:r>
          <m:rPr>
            <m:scr m:val="script"/>
            <m:sty m:val="p"/>
          </m:rPr>
          <m:t>H</m:t>
        </m:r>
      </m:oMath>
      <w:r>
        <w:t xml:space="preserve">-Divergence</w:t>
      </w:r>
    </w:p>
    <w:p>
      <w:pPr>
        <w:pStyle w:val="FirstParagraph"/>
      </w:pPr>
      <w:r>
        <w:t xml:space="preserve">A central quantity in the theory of Ben-David et al. is the</w:t>
      </w:r>
      <w:r>
        <w:t xml:space="preserve"> </w:t>
      </w:r>
      <m:oMath>
        <m:r>
          <m:rPr>
            <m:scr m:val="script"/>
            <m:sty m:val="p"/>
          </m:rPr>
          <m:t>H</m:t>
        </m:r>
        <m:r>
          <m:rPr>
            <m:sty m:val="p"/>
          </m:rPr>
          <m:t>Δ</m:t>
        </m:r>
        <m:r>
          <m:rPr>
            <m:scr m:val="script"/>
            <m:sty m:val="p"/>
          </m:rPr>
          <m:t>H</m:t>
        </m:r>
      </m:oMath>
      <w:r>
        <w:t xml:space="preserve">-divergence, which quantifies domain distance with respect to the hypothesis class</w:t>
      </w:r>
      <w:r>
        <w:t xml:space="preserve"> </w:t>
      </w:r>
      <m:oMath>
        <m:r>
          <m:rPr>
            <m:scr m:val="script"/>
            <m:sty m:val="p"/>
          </m:rPr>
          <m:t>H</m:t>
        </m:r>
      </m:oMath>
      <w:r>
        <w:t xml:space="preserve">. It is defined as</w:t>
      </w:r>
    </w:p>
    <w:p>
      <w:pPr>
        <w:pStyle w:val="a0"/>
      </w:pPr>
      <m:oMathPara>
        <m:oMathParaPr>
          <m:jc m:val="center"/>
        </m:oMathParaPr>
        <m:oMath>
          <m:sSub>
            <m:e>
              <m:r>
                <m:t>d</m:t>
              </m:r>
            </m:e>
            <m:sub>
              <m:r>
                <m:rPr>
                  <m:scr m:val="script"/>
                  <m:sty m:val="p"/>
                </m:rPr>
                <m:t>H</m:t>
              </m:r>
              <m:r>
                <m:rPr>
                  <m:sty m:val="p"/>
                </m:rPr>
                <m:t>Δ</m:t>
              </m:r>
              <m:r>
                <m:rPr>
                  <m:scr m:val="script"/>
                  <m:sty m:val="p"/>
                </m:rPr>
                <m:t>H</m:t>
              </m:r>
            </m:sub>
          </m:sSub>
          <m:r>
            <m:rPr>
              <m:sty m:val="p"/>
            </m:rPr>
            <m:t>(</m:t>
          </m:r>
          <m:sSub>
            <m:e>
              <m:r>
                <m:t>P</m:t>
              </m:r>
            </m:e>
            <m:sub>
              <m:r>
                <m:t>S</m:t>
              </m:r>
            </m:sub>
          </m:sSub>
          <m:r>
            <m:rPr>
              <m:sty m:val="p"/>
            </m:rPr>
            <m:t>,</m:t>
          </m:r>
          <m:sSub>
            <m:e>
              <m:r>
                <m:t>P</m:t>
              </m:r>
            </m:e>
            <m:sub>
              <m:r>
                <m:t>T</m:t>
              </m:r>
            </m:sub>
          </m:sSub>
          <m:r>
            <m:rPr>
              <m:sty m:val="p"/>
            </m:rPr>
            <m:t>)</m:t>
          </m:r>
          <m:r>
            <m:rPr>
              <m:sty m:val="p"/>
            </m:rPr>
            <m:t>=</m:t>
          </m:r>
          <m:r>
            <m:t>2</m:t>
          </m:r>
          <m:limLow>
            <m:e>
              <m:r>
                <m:rPr>
                  <m:sty m:val="p"/>
                </m:rPr>
                <m:t>sup</m:t>
              </m:r>
            </m:e>
            <m:lim>
              <m:r>
                <m:t>h</m:t>
              </m:r>
              <m:r>
                <m:rPr>
                  <m:sty m:val="p"/>
                </m:rPr>
                <m:t>,</m:t>
              </m:r>
              <m:sSup>
                <m:e>
                  <m:r>
                    <m:t>h</m:t>
                  </m:r>
                </m:e>
                <m:sup>
                  <m:r>
                    <m:rPr>
                      <m:sty m:val="p"/>
                    </m:rPr>
                    <m:t>′</m:t>
                  </m:r>
                </m:sup>
              </m:sSup>
              <m:r>
                <m:rPr>
                  <m:sty m:val="p"/>
                </m:rPr>
                <m:t>∈</m:t>
              </m:r>
              <m:r>
                <m:rPr>
                  <m:scr m:val="script"/>
                  <m:sty m:val="p"/>
                </m:rPr>
                <m:t>H</m:t>
              </m:r>
            </m:lim>
          </m:limLow>
          <m:d>
            <m:dPr>
              <m:begChr m:val="|"/>
              <m:sepChr m:val=""/>
              <m:endChr m:val="|"/>
              <m:grow/>
            </m:dPr>
            <m:e>
              <m:limLow>
                <m:e>
                  <m:r>
                    <m:rPr>
                      <m:sty m:val="p"/>
                    </m:rPr>
                    <m:t>Pr</m:t>
                  </m:r>
                </m:e>
                <m:lim>
                  <m:r>
                    <m:t>x</m:t>
                  </m:r>
                  <m:r>
                    <m:rPr>
                      <m:sty m:val="p"/>
                    </m:rPr>
                    <m:t>∼</m:t>
                  </m:r>
                  <m:sSub>
                    <m:e>
                      <m:r>
                        <m:t>P</m:t>
                      </m:r>
                    </m:e>
                    <m:sub>
                      <m:r>
                        <m:t>S</m:t>
                      </m:r>
                    </m:sub>
                  </m:sSub>
                </m:lim>
              </m:limLow>
              <m:r>
                <m:rPr>
                  <m:sty m:val="p"/>
                </m:rPr>
                <m:t>[</m:t>
              </m:r>
              <m:r>
                <m:t>h</m:t>
              </m:r>
              <m:r>
                <m:rPr>
                  <m:sty m:val="p"/>
                </m:rPr>
                <m:t>(</m:t>
              </m:r>
              <m:r>
                <m:t>x</m:t>
              </m:r>
              <m:r>
                <m:rPr>
                  <m:sty m:val="p"/>
                </m:rPr>
                <m:t>)</m:t>
              </m:r>
              <m:r>
                <m:rPr>
                  <m:sty m:val="p"/>
                </m:rPr>
                <m:t>≠</m:t>
              </m:r>
              <m:sSup>
                <m:e>
                  <m:r>
                    <m:t>h</m:t>
                  </m:r>
                </m:e>
                <m:sup>
                  <m:r>
                    <m:rPr>
                      <m:sty m:val="p"/>
                    </m:rPr>
                    <m:t>′</m:t>
                  </m:r>
                </m:sup>
              </m:sSup>
              <m:r>
                <m:rPr>
                  <m:sty m:val="p"/>
                </m:rPr>
                <m:t>(</m:t>
              </m:r>
              <m:r>
                <m:t>x</m:t>
              </m:r>
              <m:r>
                <m:rPr>
                  <m:sty m:val="p"/>
                </m:rPr>
                <m:t>)</m:t>
              </m:r>
              <m:r>
                <m:rPr>
                  <m:sty m:val="p"/>
                </m:rPr>
                <m:t>]</m:t>
              </m:r>
              <m:r>
                <m:rPr>
                  <m:sty m:val="p"/>
                </m:rPr>
                <m:t>−</m:t>
              </m:r>
              <m:limLow>
                <m:e>
                  <m:r>
                    <m:rPr>
                      <m:sty m:val="p"/>
                    </m:rPr>
                    <m:t>Pr</m:t>
                  </m:r>
                </m:e>
                <m:lim>
                  <m:r>
                    <m:t>x</m:t>
                  </m:r>
                  <m:r>
                    <m:rPr>
                      <m:sty m:val="p"/>
                    </m:rPr>
                    <m:t>∼</m:t>
                  </m:r>
                  <m:sSub>
                    <m:e>
                      <m:r>
                        <m:t>P</m:t>
                      </m:r>
                    </m:e>
                    <m:sub>
                      <m:r>
                        <m:t>T</m:t>
                      </m:r>
                    </m:sub>
                  </m:sSub>
                </m:lim>
              </m:limLow>
              <m:r>
                <m:rPr>
                  <m:sty m:val="p"/>
                </m:rPr>
                <m:t>[</m:t>
              </m:r>
              <m:r>
                <m:t>h</m:t>
              </m:r>
              <m:r>
                <m:rPr>
                  <m:sty m:val="p"/>
                </m:rPr>
                <m:t>(</m:t>
              </m:r>
              <m:r>
                <m:t>x</m:t>
              </m:r>
              <m:r>
                <m:rPr>
                  <m:sty m:val="p"/>
                </m:rPr>
                <m:t>)</m:t>
              </m:r>
              <m:r>
                <m:rPr>
                  <m:sty m:val="p"/>
                </m:rPr>
                <m:t>≠</m:t>
              </m:r>
              <m:sSup>
                <m:e>
                  <m:r>
                    <m:t>h</m:t>
                  </m:r>
                </m:e>
                <m:sup>
                  <m:r>
                    <m:rPr>
                      <m:sty m:val="p"/>
                    </m:rPr>
                    <m:t>′</m:t>
                  </m:r>
                </m:sup>
              </m:sSup>
              <m:r>
                <m:rPr>
                  <m:sty m:val="p"/>
                </m:rPr>
                <m:t>(</m:t>
              </m:r>
              <m:r>
                <m:t>x</m:t>
              </m:r>
              <m:r>
                <m:rPr>
                  <m:sty m:val="p"/>
                </m:rPr>
                <m:t>)</m:t>
              </m:r>
              <m:r>
                <m:rPr>
                  <m:sty m:val="p"/>
                </m:rPr>
                <m:t>]</m:t>
              </m:r>
            </m:e>
          </m:d>
          <m:r>
            <m:rPr>
              <m:sty m:val="p"/>
            </m:rPr>
            <m:t>.</m:t>
          </m:r>
        </m:oMath>
      </m:oMathPara>
    </w:p>
    <w:p>
      <w:pPr>
        <w:pStyle w:val="FirstParagraph"/>
      </w:pPr>
      <w:r>
        <w:t xml:space="preserve">Intuitively, this metric measures the maximal discrepancy in classifier disagreement across the two domains. If there exist two classifiers</w:t>
      </w:r>
      <w:r>
        <w:t xml:space="preserve"> </w:t>
      </w:r>
      <m:oMath>
        <m:r>
          <m:t>h</m:t>
        </m:r>
        <m:r>
          <m:rPr>
            <m:sty m:val="p"/>
          </m:rPr>
          <m:t>,</m:t>
        </m:r>
        <m:sSup>
          <m:e>
            <m:r>
              <m:t>h</m:t>
            </m:r>
          </m:e>
          <m:sup>
            <m:r>
              <m:rPr>
                <m:sty m:val="p"/>
              </m:rPr>
              <m:t>′</m:t>
            </m:r>
          </m:sup>
        </m:sSup>
      </m:oMath>
      <w:r>
        <w:t xml:space="preserve"> </w:t>
      </w:r>
      <w:r>
        <w:t xml:space="preserve">that exhibit low disagreement on the source domain but high disagreement on the target domain, the divergence is large. In this case, the source domain does not sufficiently constrain classifier behavior on the target domain, which can lead to negative transfer. Alignment methods such as TCA and CORAL aim to transform the feature space so that this divergence is reduced.</w:t>
      </w:r>
    </w:p>
    <w:bookmarkEnd w:id="101"/>
    <w:bookmarkEnd w:id="102"/>
    <w:bookmarkStart w:id="104" w:name="subsec:analysis_source_risk"/>
    <w:p>
      <w:pPr>
        <w:pStyle w:val="2"/>
      </w:pPr>
      <w:r>
        <w:t xml:space="preserve">Minimizing Source Risk</w:t>
      </w:r>
      <w:r>
        <w:t xml:space="preserve"> </w:t>
      </w:r>
      <m:oMath>
        <m:sSub>
          <m:e>
            <m:r>
              <m:t>ϵ</m:t>
            </m:r>
          </m:e>
          <m:sub>
            <m:r>
              <m:t>S</m:t>
            </m:r>
          </m:sub>
        </m:sSub>
      </m:oMath>
      <w:r>
        <w:t xml:space="preserve">: The TabPFN Mechanism</w:t>
      </w:r>
    </w:p>
    <w:p>
      <w:pPr>
        <w:pStyle w:val="FirstParagraph"/>
      </w:pPr>
      <w:r>
        <w:t xml:space="preserve">The first challenge is the small sample size (</w:t>
      </w:r>
      <m:oMath>
        <m:sSub>
          <m:e>
            <m:r>
              <m:t>n</m:t>
            </m:r>
          </m:e>
          <m:sub>
            <m:r>
              <m:t>S</m:t>
            </m:r>
          </m:sub>
        </m:sSub>
        <m:r>
          <m:rPr>
            <m:sty m:val="p"/>
          </m:rPr>
          <m:t>≈</m:t>
        </m:r>
        <m:r>
          <m:t>295</m:t>
        </m:r>
      </m:oMath>
      <w:r>
        <w:t xml:space="preserve">). In this regime, standard Empirical Risk Minimization (ERM) is prone to high variance. Deep neural networks typically require</w:t>
      </w:r>
      <w:r>
        <w:t xml:space="preserve"> </w:t>
      </w:r>
      <m:oMath>
        <m:r>
          <m:t>n</m:t>
        </m:r>
        <m:r>
          <m:rPr>
            <m:sty m:val="p"/>
          </m:rPr>
          <m:t>&gt;</m:t>
        </m:r>
        <m:sSup>
          <m:e>
            <m:r>
              <m:t>10</m:t>
            </m:r>
          </m:e>
          <m:sup>
            <m:r>
              <m:t>4</m:t>
            </m:r>
          </m:sup>
        </m:sSup>
      </m:oMath>
      <w:r>
        <w:t xml:space="preserve"> </w:t>
      </w:r>
      <w:r>
        <w:t xml:space="preserve">to generalize reliably, while GBDTs often overfit, effectively memorizing noise in</w:t>
      </w:r>
      <w:r>
        <w:t xml:space="preserve"> </w:t>
      </w:r>
      <m:oMath>
        <m:r>
          <m:t>S</m:t>
        </m:r>
      </m:oMath>
      <w:r>
        <w:t xml:space="preserve"> </w:t>
      </w:r>
      <w:r>
        <w:t xml:space="preserve">rather than learning the structure of</w:t>
      </w:r>
      <w:r>
        <w:t xml:space="preserve"> </w:t>
      </w:r>
      <m:oMath>
        <m:sSub>
          <m:e>
            <m:r>
              <m:t>P</m:t>
            </m:r>
          </m:e>
          <m:sub>
            <m:r>
              <m:t>S</m:t>
            </m:r>
          </m:sub>
        </m:sSub>
      </m:oMath>
      <w:r>
        <w:t xml:space="preserve">.</w:t>
      </w:r>
    </w:p>
    <w:bookmarkStart w:id="103" w:name="X06f92b2b6bdb9eddabb2e70f37c54da3dd75501"/>
    <w:p>
      <w:pPr>
        <w:pStyle w:val="3"/>
      </w:pPr>
      <w:r>
        <w:t xml:space="preserve">Prior-Data Fitted Networks vs. Parametric Learning</w:t>
      </w:r>
    </w:p>
    <w:p>
      <w:pPr>
        <w:pStyle w:val="FirstParagraph"/>
      </w:pPr>
      <w:r>
        <w:t xml:space="preserve">Traditional parametric learning optimizes weights</w:t>
      </w:r>
      <w:r>
        <w:t xml:space="preserve"> </w:t>
      </w:r>
      <m:oMath>
        <m:r>
          <m:t>θ</m:t>
        </m:r>
      </m:oMath>
      <w:r>
        <w:t xml:space="preserve"> </w:t>
      </w:r>
      <w:r>
        <w:t xml:space="preserve">to minimize loss on</w:t>
      </w:r>
      <w:r>
        <w:t xml:space="preserve"> </w:t>
      </w:r>
      <m:oMath>
        <m:r>
          <m:t>S</m:t>
        </m:r>
      </m:oMath>
      <w:r>
        <w:t xml:space="preserve">,</w:t>
      </w:r>
    </w:p>
    <w:p>
      <w:pPr>
        <w:pStyle w:val="a0"/>
      </w:pPr>
      <m:oMathPara>
        <m:oMathParaPr>
          <m:jc m:val="center"/>
        </m:oMathParaPr>
        <m:oMath>
          <m:acc>
            <m:accPr>
              <m:chr m:val="̂"/>
            </m:accPr>
            <m:e>
              <m:r>
                <m:t>θ</m:t>
              </m:r>
            </m:e>
          </m:acc>
          <m:r>
            <m:rPr>
              <m:sty m:val="p"/>
            </m:rPr>
            <m:t>=</m:t>
          </m:r>
          <m:r>
            <m:rPr>
              <m:sty m:val="p"/>
            </m:rPr>
            <m:t>arg</m:t>
          </m:r>
          <m:limLow>
            <m:e>
              <m:r>
                <m:rPr>
                  <m:sty m:val="p"/>
                </m:rPr>
                <m:t>min</m:t>
              </m:r>
            </m:e>
            <m:lim>
              <m:r>
                <m:t>θ</m:t>
              </m:r>
            </m:lim>
          </m:limLow>
          <m:nary>
            <m:naryPr>
              <m:chr m:val="∑"/>
              <m:limLoc m:val="undOvr"/>
              <m:subHide m:val="off"/>
              <m:supHide m:val="on"/>
            </m:naryPr>
            <m:sub>
              <m:r>
                <m:rPr>
                  <m:sty m:val="p"/>
                </m:rPr>
                <m:t>(</m:t>
              </m:r>
              <m:r>
                <m:t>x</m:t>
              </m:r>
              <m:r>
                <m:rPr>
                  <m:sty m:val="p"/>
                </m:rPr>
                <m:t>,</m:t>
              </m:r>
              <m:r>
                <m:t>y</m:t>
              </m:r>
              <m:r>
                <m:rPr>
                  <m:sty m:val="p"/>
                </m:rPr>
                <m:t>)</m:t>
              </m:r>
              <m:r>
                <m:rPr>
                  <m:sty m:val="p"/>
                </m:rPr>
                <m:t>∈</m:t>
              </m:r>
              <m:r>
                <m:t>S</m:t>
              </m:r>
            </m:sub>
            <m:sup>
              <m:r>
                <m:t>​</m:t>
              </m:r>
            </m:sup>
            <m:e>
              <m:r>
                <m:t>ℓ</m:t>
              </m:r>
            </m:e>
          </m:nary>
          <m:r>
            <m:rPr>
              <m:sty m:val="p"/>
            </m:rPr>
            <m:t>(</m:t>
          </m:r>
          <m:sSub>
            <m:e>
              <m:r>
                <m:t>f</m:t>
              </m:r>
            </m:e>
            <m:sub>
              <m:r>
                <m:t>θ</m:t>
              </m:r>
            </m:sub>
          </m:sSub>
          <m:r>
            <m:rPr>
              <m:sty m:val="p"/>
            </m:rPr>
            <m:t>(</m:t>
          </m:r>
          <m:r>
            <m:t>x</m:t>
          </m:r>
          <m:r>
            <m:rPr>
              <m:sty m:val="p"/>
            </m:rPr>
            <m:t>)</m:t>
          </m:r>
          <m:r>
            <m:rPr>
              <m:sty m:val="p"/>
            </m:rPr>
            <m:t>,</m:t>
          </m:r>
          <m:r>
            <m:t>y</m:t>
          </m:r>
          <m:r>
            <m:rPr>
              <m:sty m:val="p"/>
            </m:rPr>
            <m:t>)</m:t>
          </m:r>
          <m:r>
            <m:rPr>
              <m:sty m:val="p"/>
            </m:rPr>
            <m:t>,</m:t>
          </m:r>
        </m:oMath>
      </m:oMathPara>
    </w:p>
    <w:p>
      <w:pPr>
        <w:pStyle w:val="FirstParagraph"/>
      </w:pPr>
      <w:r>
        <w:t xml:space="preserve">starting from largely uninformative priors and therefore requiring substantial data.</w:t>
      </w:r>
    </w:p>
    <w:p>
      <w:pPr>
        <w:pStyle w:val="a0"/>
      </w:pPr>
      <w:r>
        <w:t xml:space="preserve">In contrast, PANDA uses TabPFN, a</w:t>
      </w:r>
      <w:r>
        <w:t xml:space="preserve"> </w:t>
      </w:r>
      <w:r>
        <w:rPr>
          <w:b/>
          <w:bCs/>
        </w:rPr>
        <w:t xml:space="preserve">Prior-Data Fitted Network (PFN)</w:t>
      </w:r>
      <w:r>
        <w:t xml:space="preserve">. It reduces</w:t>
      </w:r>
      <w:r>
        <w:t xml:space="preserve"> </w:t>
      </w:r>
      <m:oMath>
        <m:sSub>
          <m:e>
            <m:r>
              <m:t>ϵ</m:t>
            </m:r>
          </m:e>
          <m:sub>
            <m:r>
              <m:t>S</m:t>
            </m:r>
          </m:sub>
        </m:sSub>
      </m:oMath>
      <w:r>
        <w:t xml:space="preserve"> </w:t>
      </w:r>
      <w:r>
        <w:t xml:space="preserve">not by performing gradient descent on</w:t>
      </w:r>
      <w:r>
        <w:t xml:space="preserve"> </w:t>
      </w:r>
      <m:oMath>
        <m:r>
          <m:t>S</m:t>
        </m:r>
      </m:oMath>
      <w:r>
        <w:t xml:space="preserve">, but by approximating the</w:t>
      </w:r>
      <w:r>
        <w:t xml:space="preserve"> </w:t>
      </w:r>
      <w:r>
        <w:rPr>
          <w:b/>
          <w:bCs/>
        </w:rPr>
        <w:t xml:space="preserve">Posterior Predictive Distribution (PPD)</w:t>
      </w:r>
      <w:r>
        <w:t xml:space="preserve"> </w:t>
      </w:r>
      <w:r>
        <w:t xml:space="preserve">using a Transformer pre-trained on millions of synthetic causal models:</w:t>
      </w:r>
    </w:p>
    <w:p>
      <w:pPr>
        <w:pStyle w:val="a0"/>
      </w:pPr>
      <m:oMathPara>
        <m:oMathParaPr>
          <m:jc m:val="center"/>
        </m:oMathParaPr>
        <m:oMath>
          <m:r>
            <m:t>P</m:t>
          </m:r>
          <m:r>
            <m:rPr>
              <m:sty m:val="p"/>
            </m:rPr>
            <m:t>(</m:t>
          </m:r>
          <m:sSub>
            <m:e>
              <m:r>
                <m:t>y</m:t>
              </m:r>
            </m:e>
            <m:sub>
              <m:r>
                <m:rPr>
                  <m:nor/>
                  <m:sty m:val="p"/>
                </m:rPr>
                <m:t>query</m:t>
              </m:r>
            </m:sub>
          </m:sSub>
          <m:r>
            <m:rPr>
              <m:sty m:val="p"/>
            </m:rPr>
            <m:t>∣</m:t>
          </m:r>
          <m:sSub>
            <m:e>
              <m:r>
                <m:t>x</m:t>
              </m:r>
            </m:e>
            <m:sub>
              <m:r>
                <m:t>q</m:t>
              </m:r>
            </m:sub>
          </m:sSub>
          <m:r>
            <m:rPr>
              <m:sty m:val="p"/>
            </m:rPr>
            <m:t>,</m:t>
          </m:r>
          <m:r>
            <m:t>S</m:t>
          </m:r>
          <m:r>
            <m:rPr>
              <m:sty m:val="p"/>
            </m:rPr>
            <m:t>)</m:t>
          </m:r>
          <m:r>
            <m:rPr>
              <m:sty m:val="p"/>
            </m:rPr>
            <m:t>≈</m:t>
          </m:r>
          <m:r>
            <m:rPr>
              <m:sty m:val="p"/>
            </m:rPr>
            <m:t>∫</m:t>
          </m:r>
          <m:r>
            <m:t>P</m:t>
          </m:r>
          <m:r>
            <m:rPr>
              <m:sty m:val="p"/>
            </m:rPr>
            <m:t>(</m:t>
          </m:r>
          <m:r>
            <m:t>y</m:t>
          </m:r>
          <m:r>
            <m:rPr>
              <m:sty m:val="p"/>
            </m:rPr>
            <m:t>∣</m:t>
          </m:r>
          <m:r>
            <m:t>x</m:t>
          </m:r>
          <m:r>
            <m:rPr>
              <m:sty m:val="p"/>
            </m:rPr>
            <m:t>,</m:t>
          </m:r>
          <m:r>
            <m:t>M</m:t>
          </m:r>
          <m:r>
            <m:rPr>
              <m:sty m:val="p"/>
            </m:rPr>
            <m:t>)</m:t>
          </m:r>
          <m:r>
            <m:t>P</m:t>
          </m:r>
          <m:r>
            <m:rPr>
              <m:sty m:val="p"/>
            </m:rPr>
            <m:t>(</m:t>
          </m:r>
          <m:r>
            <m:t>M</m:t>
          </m:r>
          <m:r>
            <m:rPr>
              <m:sty m:val="p"/>
            </m:rPr>
            <m:t>∣</m:t>
          </m:r>
          <m:r>
            <m:t>S</m:t>
          </m:r>
          <m:r>
            <m:rPr>
              <m:sty m:val="p"/>
            </m:rPr>
            <m:t>)</m:t>
          </m:r>
          <m:r>
            <m:rPr>
              <m:sty m:val="p"/>
            </m:rPr>
            <m:t>,</m:t>
          </m:r>
          <m:r>
            <m:t>d</m:t>
          </m:r>
          <m:r>
            <m:t>M</m:t>
          </m:r>
          <m:r>
            <m:rPr>
              <m:sty m:val="p"/>
            </m:rPr>
            <m:t>.</m:t>
          </m:r>
        </m:oMath>
      </m:oMathPara>
    </w:p>
    <w:p>
      <w:pPr>
        <w:pStyle w:val="FirstParagraph"/>
      </w:pPr>
      <w:r>
        <w:t xml:space="preserve">TabPFN treats the source dataset</w:t>
      </w:r>
      <w:r>
        <w:t xml:space="preserve"> </w:t>
      </w:r>
      <m:oMath>
        <m:r>
          <m:t>S</m:t>
        </m:r>
      </m:oMath>
      <w:r>
        <w:t xml:space="preserve"> </w:t>
      </w:r>
      <w:r>
        <w:t xml:space="preserve">as context for Bayesian inference rather than as a training set for parameter optimization, and thus acts as a strong regularizer that imposes inductive biases favoring sparsity and piecewise smoothness.</w:t>
      </w:r>
    </w:p>
    <w:p>
      <w:pPr>
        <w:pStyle w:val="a0"/>
      </w:pPr>
      <w:r>
        <w:rPr>
          <w:b/>
          <w:bCs/>
        </w:rPr>
        <w:t xml:space="preserve">Empirical Consequence:</w:t>
      </w:r>
      <w:r>
        <w:t xml:space="preserve"> </w:t>
      </w:r>
      <w:r>
        <w:t xml:space="preserve">As shown in our results, TabPFN attains a source AUC of</w:t>
      </w:r>
      <w:r>
        <w:t xml:space="preserve"> </w:t>
      </w:r>
      <w:r>
        <w:rPr>
          <w:b/>
          <w:bCs/>
        </w:rPr>
        <w:t xml:space="preserve">0.829</w:t>
      </w:r>
      <w:r>
        <w:t xml:space="preserve">, substantially higher than Random Forest (0.752) and XGBoost (0.742). This establishes a strictly lower starting point for the</w:t>
      </w:r>
      <w:r>
        <w:t xml:space="preserve"> </w:t>
      </w:r>
      <m:oMath>
        <m:sSub>
          <m:e>
            <m:r>
              <m:t>ϵ</m:t>
            </m:r>
          </m:e>
          <m:sub>
            <m:r>
              <m:t>S</m:t>
            </m:r>
          </m:sub>
        </m:sSub>
      </m:oMath>
      <w:r>
        <w:t xml:space="preserve"> </w:t>
      </w:r>
      <w:r>
        <w:t xml:space="preserve">term in the bound.</w:t>
      </w:r>
    </w:p>
    <w:bookmarkEnd w:id="103"/>
    <w:bookmarkEnd w:id="104"/>
    <w:bookmarkStart w:id="107" w:name="subsec:analysis_divergence"/>
    <w:p>
      <w:pPr>
        <w:pStyle w:val="2"/>
      </w:pPr>
      <w:r>
        <w:t xml:space="preserve">Minimizing Divergence</w:t>
      </w:r>
      <w:r>
        <w:t xml:space="preserve"> </w:t>
      </w:r>
      <m:oMath>
        <m:sSub>
          <m:e>
            <m:r>
              <m:t>d</m:t>
            </m:r>
          </m:e>
          <m:sub>
            <m:r>
              <m:rPr>
                <m:scr m:val="script"/>
                <m:sty m:val="p"/>
              </m:rPr>
              <m:t>H</m:t>
            </m:r>
            <m:r>
              <m:rPr>
                <m:sty m:val="p"/>
              </m:rPr>
              <m:t>Δ</m:t>
            </m:r>
            <m:r>
              <m:rPr>
                <m:scr m:val="script"/>
                <m:sty m:val="p"/>
              </m:rPr>
              <m:t>H</m:t>
            </m:r>
          </m:sub>
        </m:sSub>
      </m:oMath>
      <w:r>
        <w:t xml:space="preserve">: Latent Space TCA</w:t>
      </w:r>
    </w:p>
    <w:p>
      <w:pPr>
        <w:pStyle w:val="FirstParagraph"/>
      </w:pPr>
      <w:r>
        <w:t xml:space="preserve">The second term,</w:t>
      </w:r>
      <w:r>
        <w:t xml:space="preserve"> </w:t>
      </w:r>
      <m:oMath>
        <m:sSub>
          <m:e>
            <m:r>
              <m:t>d</m:t>
            </m:r>
          </m:e>
          <m:sub>
            <m:r>
              <m:rPr>
                <m:scr m:val="script"/>
                <m:sty m:val="p"/>
              </m:rPr>
              <m:t>H</m:t>
            </m:r>
            <m:r>
              <m:rPr>
                <m:sty m:val="p"/>
              </m:rPr>
              <m:t>Δ</m:t>
            </m:r>
            <m:r>
              <m:rPr>
                <m:scr m:val="script"/>
                <m:sty m:val="p"/>
              </m:rPr>
              <m:t>H</m:t>
            </m:r>
          </m:sub>
        </m:sSub>
      </m:oMath>
      <w:r>
        <w:t xml:space="preserve">, measures the discrepancy between domains. In our setting, scanner heterogeneity induces</w:t>
      </w:r>
      <w:r>
        <w:t xml:space="preserve"> </w:t>
      </w:r>
      <w:r>
        <w:rPr>
          <w:b/>
          <w:bCs/>
        </w:rPr>
        <w:t xml:space="preserve">covariate shift</w:t>
      </w:r>
      <w:r>
        <w:t xml:space="preserve">, so that</w:t>
      </w:r>
      <w:r>
        <w:t xml:space="preserve"> </w:t>
      </w:r>
      <m:oMath>
        <m:sSub>
          <m:e>
            <m:r>
              <m:t>P</m:t>
            </m:r>
          </m:e>
          <m:sub>
            <m:r>
              <m:t>S</m:t>
            </m:r>
          </m:sub>
        </m:sSub>
        <m:r>
          <m:rPr>
            <m:sty m:val="p"/>
          </m:rPr>
          <m:t>(</m:t>
        </m:r>
        <m:r>
          <m:t>x</m:t>
        </m:r>
        <m:r>
          <m:rPr>
            <m:sty m:val="p"/>
          </m:rPr>
          <m:t>)</m:t>
        </m:r>
        <m:r>
          <m:rPr>
            <m:sty m:val="p"/>
          </m:rPr>
          <m:t>≠</m:t>
        </m:r>
        <m:sSub>
          <m:e>
            <m:r>
              <m:t>P</m:t>
            </m:r>
          </m:e>
          <m:sub>
            <m:r>
              <m:t>T</m:t>
            </m:r>
          </m:sub>
        </m:sSub>
        <m:r>
          <m:rPr>
            <m:sty m:val="p"/>
          </m:rPr>
          <m:t>(</m:t>
        </m:r>
        <m:r>
          <m:t>x</m:t>
        </m:r>
        <m:r>
          <m:rPr>
            <m:sty m:val="p"/>
          </m:rPr>
          <m:t>)</m:t>
        </m:r>
      </m:oMath>
      <w:r>
        <w:t xml:space="preserve">.</w:t>
      </w:r>
    </w:p>
    <w:bookmarkStart w:id="105" w:name="why-feature-space-alignment"/>
    <w:p>
      <w:pPr>
        <w:pStyle w:val="3"/>
      </w:pPr>
      <w:r>
        <w:t xml:space="preserve">Why Feature Space Alignment?</w:t>
      </w:r>
    </w:p>
    <w:p>
      <w:pPr>
        <w:pStyle w:val="FirstParagraph"/>
      </w:pPr>
      <w:r>
        <w:t xml:space="preserve">Aligning raw features is often suboptimal because medical variables exhibit complex, nonlinear dependencies. PANDA therefore applies TCA directly to</w:t>
      </w:r>
      <w:r>
        <w:t xml:space="preserve"> </w:t>
      </w:r>
      <m:oMath>
        <m:sSup>
          <m:e>
            <m:r>
              <m:t>F</m:t>
            </m:r>
          </m:e>
          <m:sup>
            <m:r>
              <m:rPr>
                <m:sty m:val="p"/>
              </m:rPr>
              <m:t>*</m:t>
            </m:r>
          </m:sup>
        </m:sSup>
      </m:oMath>
      <w:r>
        <w:t xml:space="preserve">. After RFE, the retained features form a more robust and relevant subset, which makes them more amenable to linear alignment. The goal of this step is to align the marginal distributions of these preselected features between the source and target domains.</w:t>
      </w:r>
    </w:p>
    <w:bookmarkEnd w:id="105"/>
    <w:bookmarkStart w:id="106" w:name="the-tca-optimization-objective"/>
    <w:p>
      <w:pPr>
        <w:pStyle w:val="3"/>
      </w:pPr>
      <w:r>
        <w:t xml:space="preserve">The TCA Optimization Objective</w:t>
      </w:r>
    </w:p>
    <w:p>
      <w:pPr>
        <w:pStyle w:val="FirstParagraph"/>
      </w:pPr>
      <w:r>
        <w:t xml:space="preserve">We employ Transfer Component Analysis (TCA) to find a projection</w:t>
      </w:r>
      <w:r>
        <w:t xml:space="preserve"> </w:t>
      </w:r>
      <m:oMath>
        <m:r>
          <m:t>A</m:t>
        </m:r>
        <m:r>
          <m:rPr>
            <m:sty m:val="p"/>
          </m:rPr>
          <m:t>∈</m:t>
        </m:r>
        <m:sSup>
          <m:e>
            <m:r>
              <m:rPr>
                <m:scr m:val="double-struck"/>
                <m:sty m:val="p"/>
              </m:rPr>
              <m:t>R</m:t>
            </m:r>
          </m:e>
          <m:sup>
            <m:sSub>
              <m:e>
                <m:r>
                  <m:t>d</m:t>
                </m:r>
              </m:e>
              <m:sub>
                <m:r>
                  <m:rPr>
                    <m:nor/>
                    <m:sty m:val="p"/>
                  </m:rPr>
                  <m:t>RFE</m:t>
                </m:r>
              </m:sub>
            </m:sSub>
            <m:r>
              <m:rPr>
                <m:sty m:val="p"/>
              </m:rPr>
              <m:t>×</m:t>
            </m:r>
            <m:r>
              <m:t>m</m:t>
            </m:r>
          </m:sup>
        </m:sSup>
      </m:oMath>
      <w:r>
        <w:t xml:space="preserve"> </w:t>
      </w:r>
      <w:r>
        <w:t xml:space="preserve">that minimizes the Maximum Mean Discrepancy (MMD) between source and target features (after RFE). The objective is</w:t>
      </w:r>
    </w:p>
    <w:p>
      <w:pPr>
        <w:pStyle w:val="a0"/>
      </w:pPr>
      <w:r>
        <w:t xml:space="preserve">$$\begin{equation}
    \begin{aligned}
    \min_{A} \quad &amp; \tr({A}^\top K M K A) + \mu , \tr({A}^\top A) \
    \text{s.t.} \quad &amp; {A}^\top K H K A = I,
    \end{aligned}
    \end{equation}$$</w:t>
      </w:r>
    </w:p>
    <w:p>
      <w:pPr>
        <w:pStyle w:val="FirstParagraph"/>
      </w:pPr>
      <w:r>
        <w:t xml:space="preserve">where</w:t>
      </w:r>
      <w:r>
        <w:t xml:space="preserve"> </w:t>
      </w:r>
      <m:oMath>
        <m:r>
          <m:t>K</m:t>
        </m:r>
      </m:oMath>
      <w:r>
        <w:t xml:space="preserve"> </w:t>
      </w:r>
      <w:r>
        <w:t xml:space="preserve">is the kernel matrix of the RFE-selected features (</w:t>
      </w:r>
      <m:oMath>
        <m:sSub>
          <m:e>
            <m:r>
              <m:t>K</m:t>
            </m:r>
          </m:e>
          <m:sub>
            <m:r>
              <m:t>i</m:t>
            </m:r>
            <m:r>
              <m:t>j</m:t>
            </m:r>
          </m:sub>
        </m:sSub>
        <m:r>
          <m:rPr>
            <m:sty m:val="p"/>
          </m:rPr>
          <m:t>=</m:t>
        </m:r>
        <m:r>
          <m:rPr>
            <m:sty m:val="p"/>
          </m:rPr>
          <m:t>⟨</m:t>
        </m:r>
        <m:sSub>
          <m:e>
            <m:r>
              <m:t>x</m:t>
            </m:r>
          </m:e>
          <m:sub>
            <m:r>
              <m:t>i</m:t>
            </m:r>
          </m:sub>
        </m:sSub>
        <m:r>
          <m:rPr>
            <m:sty m:val="p"/>
          </m:rPr>
          <m:t>,</m:t>
        </m:r>
        <m:sSub>
          <m:e>
            <m:r>
              <m:t>x</m:t>
            </m:r>
          </m:e>
          <m:sub>
            <m:r>
              <m:t>j</m:t>
            </m:r>
          </m:sub>
        </m:sSub>
        <m:r>
          <m:rPr>
            <m:sty m:val="p"/>
          </m:rPr>
          <m:t>⟩</m:t>
        </m:r>
      </m:oMath>
      <w:r>
        <w:t xml:space="preserve">),</w:t>
      </w:r>
      <w:r>
        <w:t xml:space="preserve"> </w:t>
      </w:r>
      <m:oMath>
        <m:r>
          <m:t>M</m:t>
        </m:r>
      </m:oMath>
      <w:r>
        <w:t xml:space="preserve"> </w:t>
      </w:r>
      <w:r>
        <w:t xml:space="preserve">is the MMD indicator matrix, and</w:t>
      </w:r>
      <w:r>
        <w:t xml:space="preserve"> </w:t>
      </w:r>
      <m:oMath>
        <m:r>
          <m:t>H</m:t>
        </m:r>
      </m:oMath>
      <w:r>
        <w:t xml:space="preserve"> </w:t>
      </w:r>
      <w:r>
        <w:t xml:space="preserve">is the centering matrix. The constraint</w:t>
      </w:r>
      <w:r>
        <w:t xml:space="preserve"> </w:t>
      </w:r>
      <m:oMath>
        <m:sSup>
          <m:e>
            <m:r>
              <m:t>A</m:t>
            </m:r>
          </m:e>
          <m:sup>
            <m:r>
              <m:rPr>
                <m:sty m:val="p"/>
              </m:rPr>
              <m:t>⊤</m:t>
            </m:r>
          </m:sup>
        </m:sSup>
        <m:r>
          <m:t>K</m:t>
        </m:r>
        <m:r>
          <m:t>H</m:t>
        </m:r>
        <m:r>
          <m:t>K</m:t>
        </m:r>
        <m:r>
          <m:t>A</m:t>
        </m:r>
        <m:r>
          <m:rPr>
            <m:sty m:val="p"/>
          </m:rPr>
          <m:t>=</m:t>
        </m:r>
        <m:r>
          <m:t>I</m:t>
        </m:r>
      </m:oMath>
      <w:r>
        <w:t xml:space="preserve"> </w:t>
      </w:r>
      <w:r>
        <w:t xml:space="preserve">preserves data variance, ensuring that the projection does not collapse informative signal while aligning means. Here,</w:t>
      </w:r>
      <w:r>
        <w:t xml:space="preserve"> </w:t>
      </w:r>
      <m:oMath>
        <m:sSub>
          <m:e>
            <m:r>
              <m:t>d</m:t>
            </m:r>
          </m:e>
          <m:sub>
            <m:r>
              <m:rPr>
                <m:nor/>
                <m:sty m:val="p"/>
              </m:rPr>
              <m:t>RFE</m:t>
            </m:r>
          </m:sub>
        </m:sSub>
      </m:oMath>
      <w:r>
        <w:t xml:space="preserve"> </w:t>
      </w:r>
      <w:r>
        <w:t xml:space="preserve">denotes the dimensionality of the RFE-selected features.</w:t>
      </w:r>
    </w:p>
    <w:bookmarkEnd w:id="106"/>
    <w:bookmarkEnd w:id="107"/>
    <w:bookmarkStart w:id="108" w:name="subsec:analysis_adaptability"/>
    <w:p>
      <w:pPr>
        <w:pStyle w:val="2"/>
      </w:pPr>
      <w:r>
        <w:t xml:space="preserve">Minimizing Adaptability Error</w:t>
      </w:r>
      <w:r>
        <w:t xml:space="preserve"> </w:t>
      </w:r>
      <m:oMath>
        <m:r>
          <m:t>λ</m:t>
        </m:r>
      </m:oMath>
      <w:r>
        <w:t xml:space="preserve">: Cross-Domain RFE</w:t>
      </w:r>
    </w:p>
    <w:p>
      <w:pPr>
        <w:pStyle w:val="FirstParagraph"/>
      </w:pPr>
      <w:r>
        <w:t xml:space="preserve">The third term,</w:t>
      </w:r>
      <w:r>
        <w:t xml:space="preserve"> </w:t>
      </w:r>
      <m:oMath>
        <m:r>
          <m:t>λ</m:t>
        </m:r>
      </m:oMath>
      <w:r>
        <w:t xml:space="preserve">, represents the irreducible error of the best joint hypothesis. A large</w:t>
      </w:r>
      <w:r>
        <w:t xml:space="preserve"> </w:t>
      </w:r>
      <m:oMath>
        <m:r>
          <m:t>λ</m:t>
        </m:r>
      </m:oMath>
      <w:r>
        <w:t xml:space="preserve"> </w:t>
      </w:r>
      <w:r>
        <w:t xml:space="preserve">indicates</w:t>
      </w:r>
      <w:r>
        <w:t xml:space="preserve"> </w:t>
      </w:r>
      <w:r>
        <w:rPr>
          <w:b/>
          <w:bCs/>
        </w:rPr>
        <w:t xml:space="preserve">concept shift</w:t>
      </w:r>
      <w:r>
        <w:t xml:space="preserve"> </w:t>
      </w:r>
      <w:r>
        <w:t xml:space="preserve">(</w:t>
      </w:r>
      <w:r>
        <w:t xml:space="preserve">$P_S({y}\midx) \neq P_T({y}\midx)$</w:t>
      </w:r>
      <w:r>
        <w:t xml:space="preserve">), where the same feature value corresponds to different risks across hospitals (for example,</w:t>
      </w:r>
      <w:r>
        <w:t xml:space="preserve"> </w:t>
      </w:r>
      <w:r>
        <w:t xml:space="preserve">“spiculation”</w:t>
      </w:r>
      <w:r>
        <w:t xml:space="preserve"> </w:t>
      </w:r>
      <w:r>
        <w:t xml:space="preserve">due to cancer in Hospital A versus tuberculosis in Hospital B).</w:t>
      </w:r>
    </w:p>
    <w:p>
      <w:pPr>
        <w:pStyle w:val="a0"/>
      </w:pPr>
      <w:r>
        <w:t xml:space="preserve">PANDA reduces</w:t>
      </w:r>
      <w:r>
        <w:t xml:space="preserve"> </w:t>
      </w:r>
      <m:oMath>
        <m:r>
          <m:t>λ</m:t>
        </m:r>
      </m:oMath>
      <w:r>
        <w:t xml:space="preserve"> </w:t>
      </w:r>
      <w:r>
        <w:t xml:space="preserve">through</w:t>
      </w:r>
      <w:r>
        <w:t xml:space="preserve"> </w:t>
      </w:r>
      <w:r>
        <w:rPr>
          <w:b/>
          <w:bCs/>
        </w:rPr>
        <w:t xml:space="preserve">Cross-Domain Recursive Feature Elimination (RFE)</w:t>
      </w:r>
      <w:r>
        <w:t xml:space="preserve">. By intersecting feature-importance rankings from the source with availability and stability constraints, it effectively restricts the hypothesis class</w:t>
      </w:r>
      <w:r>
        <w:t xml:space="preserve"> </w:t>
      </w:r>
      <m:oMath>
        <m:r>
          <m:rPr>
            <m:scr m:val="script"/>
            <m:sty m:val="p"/>
          </m:rPr>
          <m:t>H</m:t>
        </m:r>
      </m:oMath>
      <w:r>
        <w:t xml:space="preserve"> </w:t>
      </w:r>
      <w:r>
        <w:t xml:space="preserve">to a subspace</w:t>
      </w:r>
      <w:r>
        <w:t xml:space="preserve"> </w:t>
      </w:r>
      <m:oMath>
        <m:sSup>
          <m:e>
            <m:r>
              <m:t>F</m:t>
            </m:r>
          </m:e>
          <m:sup>
            <m:r>
              <m:rPr>
                <m:sty m:val="p"/>
              </m:rPr>
              <m:t>*</m:t>
            </m:r>
          </m:sup>
        </m:sSup>
      </m:oMath>
      <w:r>
        <w:t xml:space="preserve"> </w:t>
      </w:r>
      <w:r>
        <w:t xml:space="preserve">in which the conditional distributions are approximately invariant:</w:t>
      </w:r>
    </w:p>
    <w:p>
      <w:pPr>
        <w:pStyle w:val="a0"/>
      </w:pPr>
      <m:oMathPara>
        <m:oMathParaPr>
          <m:jc m:val="center"/>
        </m:oMathParaPr>
        <m:oMath>
          <m:sSub>
            <m:e>
              <m:r>
                <m:t>P</m:t>
              </m:r>
            </m:e>
            <m:sub>
              <m:r>
                <m:t>S</m:t>
              </m:r>
            </m:sub>
          </m:sSub>
          <m:r>
            <m:rPr>
              <m:sty m:val="p"/>
            </m:rPr>
            <m:t>(</m:t>
          </m:r>
          <m:r>
            <m:t>y</m:t>
          </m:r>
          <m:r>
            <m:rPr>
              <m:sty m:val="p"/>
            </m:rPr>
            <m:t>∣</m:t>
          </m:r>
          <m:sSub>
            <m:e>
              <m:r>
                <m:t>x</m:t>
              </m:r>
            </m:e>
            <m:sub>
              <m:sSup>
                <m:e>
                  <m:r>
                    <m:t>F</m:t>
                  </m:r>
                </m:e>
                <m:sup>
                  <m:r>
                    <m:rPr>
                      <m:sty m:val="p"/>
                    </m:rPr>
                    <m:t>*</m:t>
                  </m:r>
                </m:sup>
              </m:sSup>
            </m:sub>
          </m:sSub>
          <m:r>
            <m:rPr>
              <m:sty m:val="p"/>
            </m:rPr>
            <m:t>)</m:t>
          </m:r>
          <m:r>
            <m:rPr>
              <m:sty m:val="p"/>
            </m:rPr>
            <m:t>≈</m:t>
          </m:r>
          <m:sSub>
            <m:e>
              <m:r>
                <m:t>P</m:t>
              </m:r>
            </m:e>
            <m:sub>
              <m:r>
                <m:t>T</m:t>
              </m:r>
            </m:sub>
          </m:sSub>
          <m:r>
            <m:rPr>
              <m:sty m:val="p"/>
            </m:rPr>
            <m:t>(</m:t>
          </m:r>
          <m:r>
            <m:t>y</m:t>
          </m:r>
          <m:r>
            <m:rPr>
              <m:sty m:val="p"/>
            </m:rPr>
            <m:t>∣</m:t>
          </m:r>
          <m:sSub>
            <m:e>
              <m:r>
                <m:t>x</m:t>
              </m:r>
            </m:e>
            <m:sub>
              <m:sSup>
                <m:e>
                  <m:r>
                    <m:t>F</m:t>
                  </m:r>
                </m:e>
                <m:sup>
                  <m:r>
                    <m:rPr>
                      <m:sty m:val="p"/>
                    </m:rPr>
                    <m:t>*</m:t>
                  </m:r>
                </m:sup>
              </m:sSup>
            </m:sub>
          </m:sSub>
          <m:r>
            <m:rPr>
              <m:sty m:val="p"/>
            </m:rPr>
            <m:t>)</m:t>
          </m:r>
          <m:r>
            <m:rPr>
              <m:sty m:val="p"/>
            </m:rPr>
            <m:t>.</m:t>
          </m:r>
        </m:oMath>
      </m:oMathPara>
    </w:p>
    <w:p>
      <w:pPr>
        <w:pStyle w:val="FirstParagraph"/>
      </w:pPr>
      <w:r>
        <w:t xml:space="preserve">Discarding unstable features (such as subjective morphological scores) can slightly increase the intrinsic source error</w:t>
      </w:r>
      <w:r>
        <w:t xml:space="preserve"> </w:t>
      </w:r>
      <m:oMath>
        <m:sSub>
          <m:e>
            <m:r>
              <m:t>ϵ</m:t>
            </m:r>
          </m:e>
          <m:sub>
            <m:r>
              <m:t>S</m:t>
            </m:r>
          </m:sub>
        </m:sSub>
      </m:oMath>
      <w:r>
        <w:t xml:space="preserve"> </w:t>
      </w:r>
      <w:r>
        <w:t xml:space="preserve">(bias), but it substantially reduces</w:t>
      </w:r>
      <w:r>
        <w:t xml:space="preserve"> </w:t>
      </w:r>
      <m:oMath>
        <m:r>
          <m:t>λ</m:t>
        </m:r>
      </m:oMath>
      <w:r>
        <w:t xml:space="preserve">, yielding a tighter overall bound on the target error.</w:t>
      </w:r>
    </w:p>
    <w:bookmarkEnd w:id="108"/>
    <w:bookmarkStart w:id="109" w:name="subsec:analysis_synthesis"/>
    <w:p>
      <w:pPr>
        <w:pStyle w:val="2"/>
      </w:pPr>
      <w:r>
        <w:t xml:space="preserve">Synthesis: Linking Theory to Empirical Results</w:t>
      </w:r>
    </w:p>
    <w:p>
      <w:pPr>
        <w:pStyle w:val="FirstParagraph"/>
      </w:pPr>
      <w:r>
        <w:t xml:space="preserve">Table </w:t>
      </w:r>
      <w:hyperlink w:anchor="tbl:theory_empirics">
        <w:r>
          <w:rPr>
            <w:rStyle w:val="af"/>
          </w:rPr>
          <w:t xml:space="preserve">[tbl:theory_empirics]</w:t>
        </w:r>
      </w:hyperlink>
      <w:r>
        <w:t xml:space="preserve"> </w:t>
      </w:r>
      <w:r>
        <w:t xml:space="preserve">summarizes the connection between the theoretical components and our experimental findings, and illustrates how each PANDA component targets a specific term in the Ben-David bound.</w:t>
      </w:r>
    </w:p>
    <w:bookmarkEnd w:id="109"/>
    <w:bookmarkStart w:id="110" w:name="summary-of-theoretical-insights"/>
    <w:p>
      <w:pPr>
        <w:pStyle w:val="2"/>
      </w:pPr>
      <w:r>
        <w:t xml:space="preserve">Summary of Theoretical Insights</w:t>
      </w:r>
    </w:p>
    <w:p>
      <w:pPr>
        <w:pStyle w:val="FirstParagraph"/>
      </w:pPr>
      <w:r>
        <w:t xml:space="preserve">The PANDA framework is not an ad hoc ensemble of heuristics, but a theoretically grounded response to the domain adaptation bound. TabPFN controls the source risk</w:t>
      </w:r>
      <w:r>
        <w:t xml:space="preserve"> </w:t>
      </w:r>
      <m:oMath>
        <m:sSub>
          <m:e>
            <m:r>
              <m:t>ϵ</m:t>
            </m:r>
          </m:e>
          <m:sub>
            <m:r>
              <m:t>S</m:t>
            </m:r>
          </m:sub>
        </m:sSub>
      </m:oMath>
      <w:r>
        <w:t xml:space="preserve"> </w:t>
      </w:r>
      <w:r>
        <w:t xml:space="preserve">through informative priors; TCA reduces divergence</w:t>
      </w:r>
      <w:r>
        <w:t xml:space="preserve"> </w:t>
      </w:r>
      <m:oMath>
        <m:sSub>
          <m:e>
            <m:r>
              <m:t>d</m:t>
            </m:r>
          </m:e>
          <m:sub>
            <m:r>
              <m:rPr>
                <m:scr m:val="script"/>
                <m:sty m:val="p"/>
              </m:rPr>
              <m:t>H</m:t>
            </m:r>
            <m:r>
              <m:rPr>
                <m:sty m:val="p"/>
              </m:rPr>
              <m:t>Δ</m:t>
            </m:r>
            <m:r>
              <m:rPr>
                <m:scr m:val="script"/>
                <m:sty m:val="p"/>
              </m:rPr>
              <m:t>H</m:t>
            </m:r>
          </m:sub>
        </m:sSub>
      </m:oMath>
      <w:r>
        <w:t xml:space="preserve"> </w:t>
      </w:r>
      <w:r>
        <w:t xml:space="preserve">via spectral alignment; and RFE decreases the adaptability error</w:t>
      </w:r>
      <w:r>
        <w:t xml:space="preserve"> </w:t>
      </w:r>
      <m:oMath>
        <m:r>
          <m:t>λ</m:t>
        </m:r>
      </m:oMath>
      <w:r>
        <w:t xml:space="preserve"> </w:t>
      </w:r>
      <w:r>
        <w:t xml:space="preserve">through stability-based feature pruning. Together, these components support reliable generalization in the challenging regime of small, heterogeneous medical datasets.</w:t>
      </w:r>
    </w:p>
    <w:bookmarkEnd w:id="110"/>
    <w:bookmarkEnd w:id="111"/>
    <w:bookmarkStart w:id="146" w:name="sec:eval-start"/>
    <w:p>
      <w:pPr>
        <w:pStyle w:val="1"/>
      </w:pPr>
      <w:r>
        <w:t xml:space="preserve">Evaluation</w:t>
      </w:r>
    </w:p>
    <w:p>
      <w:pPr>
        <w:pStyle w:val="FirstParagraph"/>
      </w:pPr>
      <w:bookmarkStart w:id="112" w:name="sec:evaluation"/>
      <w:bookmarkEnd w:id="112"/>
    </w:p>
    <w:p>
      <w:pPr>
        <w:pStyle w:val="a0"/>
      </w:pPr>
      <w:r>
        <w:t xml:space="preserve">We evaluate PANDA from an artificial intelligence and deployment perspective,</w:t>
      </w:r>
      <w:r>
        <w:t xml:space="preserve"> </w:t>
      </w:r>
      <w:r>
        <w:t xml:space="preserve">focusing on its ability to (i) learn from small, heterogeneous tabular cohorts,</w:t>
      </w:r>
      <w:r>
        <w:t xml:space="preserve"> </w:t>
      </w:r>
      <w:r>
        <w:t xml:space="preserve">(ii) remain robust under cross-hospital and cross-population distribution shifts, and</w:t>
      </w:r>
      <w:r>
        <w:t xml:space="preserve"> </w:t>
      </w:r>
      <w:r>
        <w:t xml:space="preserve">(iii) provide interpretable, clinically useful predictions.</w:t>
      </w:r>
      <w:r>
        <w:t xml:space="preserve"> </w:t>
      </w:r>
      <w:r>
        <w:t xml:space="preserve">To this end, we adopt a unified evaluation protocol across two complementary</w:t>
      </w:r>
      <w:r>
        <w:t xml:space="preserve"> </w:t>
      </w:r>
      <w:r>
        <w:t xml:space="preserve">experiments:</w:t>
      </w:r>
      <w:r>
        <w:t xml:space="preserve"> </w:t>
      </w:r>
      <w:r>
        <w:rPr>
          <w:b/>
          <w:bCs/>
        </w:rPr>
        <w:t xml:space="preserve">Experiment 1 (E1)</w:t>
      </w:r>
      <w:r>
        <w:t xml:space="preserve">, which targets cross-hospital pulmonary</w:t>
      </w:r>
      <w:r>
        <w:t xml:space="preserve"> </w:t>
      </w:r>
      <w:r>
        <w:t xml:space="preserve">nodule malignancy prediction, and</w:t>
      </w:r>
      <w:r>
        <w:t xml:space="preserve"> </w:t>
      </w:r>
      <w:r>
        <w:rPr>
          <w:b/>
          <w:bCs/>
        </w:rPr>
        <w:t xml:space="preserve">Experiment 2 (E2)</w:t>
      </w:r>
      <w:r>
        <w:t xml:space="preserve">, which targets</w:t>
      </w:r>
      <w:r>
        <w:t xml:space="preserve"> </w:t>
      </w:r>
      <w:r>
        <w:t xml:space="preserve">race-driven cross-population shift in the TableShift BRFSS Diabetes benchmark.</w:t>
      </w:r>
    </w:p>
    <w:bookmarkStart w:id="115" w:name="X0ffd011a95968849d545cf687274724a690f809"/>
    <w:p>
      <w:pPr>
        <w:pStyle w:val="2"/>
      </w:pPr>
      <w:r>
        <w:t xml:space="preserve">Evaluation Protocols for Cross-Domain Diagnostic Models</w:t>
      </w:r>
    </w:p>
    <w:p>
      <w:pPr>
        <w:pStyle w:val="FirstParagraph"/>
      </w:pPr>
      <w:r>
        <w:t xml:space="preserve">We adopt a common set of discrimination, calibration, and clinical-utility metrics</w:t>
      </w:r>
      <w:r>
        <w:t xml:space="preserve"> </w:t>
      </w:r>
      <w:r>
        <w:t xml:space="preserve">to enable consistent comparison across hospitals and benchmarks.</w:t>
      </w:r>
      <w:r>
        <w:t xml:space="preserve"> </w:t>
      </w:r>
      <w:r>
        <w:t xml:space="preserve">Unless otherwise specified, all reported metrics are computed over 10-fold</w:t>
      </w:r>
      <w:r>
        <w:t xml:space="preserve"> </w:t>
      </w:r>
      <w:r>
        <w:t xml:space="preserve">stratified cross-validation on the source domain and once on the external or</w:t>
      </w:r>
      <w:r>
        <w:t xml:space="preserve"> </w:t>
      </w:r>
      <w:r>
        <w:t xml:space="preserve">out-of-distribution (OOD) domain.</w:t>
      </w:r>
    </w:p>
    <w:bookmarkStart w:id="113" w:name="classification-performance-metrics"/>
    <w:p>
      <w:pPr>
        <w:pStyle w:val="3"/>
      </w:pPr>
      <w:r>
        <w:t xml:space="preserve">Classification Performance Metrics</w:t>
      </w:r>
    </w:p>
    <w:p>
      <w:pPr>
        <w:pStyle w:val="FirstParagraph"/>
      </w:pPr>
      <w:r>
        <w:t xml:space="preserve">We report all results as averages over 10-fold stratified cross-validation to mitigate label imbalance. The metrics are defined as follows:</w:t>
      </w:r>
    </w:p>
    <w:p>
      <w:pPr>
        <w:pStyle w:val="a0"/>
      </w:pPr>
      <m:oMathPara>
        <m:oMathParaPr>
          <m:jc m:val="center"/>
        </m:oMathParaPr>
        <m:oMath>
          <m:eqArr>
            <m:e>
              <m:r>
                <m:t>&amp;</m:t>
              </m:r>
              <m:r>
                <m:rPr>
                  <m:nor/>
                  <m:sty m:val="p"/>
                </m:rPr>
                <m:t>True Positive Rate:</m:t>
              </m:r>
              <m:r>
                <m:t>&amp;</m:t>
              </m:r>
              <m:r>
                <m:t>&amp;</m:t>
              </m:r>
              <m:r>
                <m:rPr>
                  <m:sty m:val="p"/>
                </m:rPr>
                <m:t>T</m:t>
              </m:r>
              <m:r>
                <m:rPr>
                  <m:sty m:val="p"/>
                </m:rPr>
                <m:t>P</m:t>
              </m:r>
              <m:r>
                <m:t>r</m:t>
              </m:r>
              <m:r>
                <m:rPr>
                  <m:sty m:val="p"/>
                </m:rPr>
                <m:t>(</m:t>
              </m:r>
              <m:r>
                <m:t>τ</m:t>
              </m:r>
              <m:r>
                <m:rPr>
                  <m:sty m:val="p"/>
                </m:rPr>
                <m:t>)</m:t>
              </m:r>
              <m:r>
                <m:rPr>
                  <m:sty m:val="p"/>
                </m:rPr>
                <m:t>=</m:t>
              </m:r>
              <m:f>
                <m:fPr>
                  <m:type m:val="bar"/>
                </m:fPr>
                <m:num>
                  <m:r>
                    <m:rPr>
                      <m:sty m:val="p"/>
                    </m:rPr>
                    <m:t>T</m:t>
                  </m:r>
                  <m:r>
                    <m:rPr>
                      <m:sty m:val="p"/>
                    </m:rPr>
                    <m:t>P</m:t>
                  </m:r>
                  <m:r>
                    <m:rPr>
                      <m:sty m:val="p"/>
                    </m:rPr>
                    <m:t>(</m:t>
                  </m:r>
                  <m:r>
                    <m:t>τ</m:t>
                  </m:r>
                  <m:r>
                    <m:rPr>
                      <m:sty m:val="p"/>
                    </m:rPr>
                    <m:t>)</m:t>
                  </m:r>
                </m:num>
                <m:den>
                  <m:r>
                    <m:rPr>
                      <m:sty m:val="p"/>
                    </m:rPr>
                    <m:t>T</m:t>
                  </m:r>
                  <m:r>
                    <m:rPr>
                      <m:sty m:val="p"/>
                    </m:rPr>
                    <m:t>P</m:t>
                  </m:r>
                  <m:r>
                    <m:rPr>
                      <m:sty m:val="p"/>
                    </m:rPr>
                    <m:t>(</m:t>
                  </m:r>
                  <m:r>
                    <m:t>τ</m:t>
                  </m:r>
                  <m:r>
                    <m:rPr>
                      <m:sty m:val="p"/>
                    </m:rPr>
                    <m:t>)</m:t>
                  </m:r>
                  <m:r>
                    <m:rPr>
                      <m:sty m:val="p"/>
                    </m:rPr>
                    <m:t>+</m:t>
                  </m:r>
                  <m:r>
                    <m:rPr>
                      <m:sty m:val="p"/>
                    </m:rPr>
                    <m:t>F</m:t>
                  </m:r>
                  <m:r>
                    <m:rPr>
                      <m:sty m:val="p"/>
                    </m:rPr>
                    <m:t>N</m:t>
                  </m:r>
                  <m:r>
                    <m:rPr>
                      <m:sty m:val="p"/>
                    </m:rPr>
                    <m:t>(</m:t>
                  </m:r>
                  <m:r>
                    <m:t>τ</m:t>
                  </m:r>
                  <m:r>
                    <m:rPr>
                      <m:sty m:val="p"/>
                    </m:rPr>
                    <m:t>)</m:t>
                  </m:r>
                </m:den>
              </m:f>
            </m:e>
            <m:e>
              <m:r>
                <m:t>&amp;</m:t>
              </m:r>
              <m:r>
                <m:rPr>
                  <m:nor/>
                  <m:sty m:val="p"/>
                </m:rPr>
                <m:t>False Positive Rate:</m:t>
              </m:r>
              <m:r>
                <m:t>&amp;</m:t>
              </m:r>
              <m:r>
                <m:t>&amp;</m:t>
              </m:r>
              <m:r>
                <m:rPr>
                  <m:sty m:val="p"/>
                </m:rPr>
                <m:t>F</m:t>
              </m:r>
              <m:r>
                <m:rPr>
                  <m:sty m:val="p"/>
                </m:rPr>
                <m:t>P</m:t>
              </m:r>
              <m:r>
                <m:rPr>
                  <m:sty m:val="p"/>
                </m:rPr>
                <m:t>R</m:t>
              </m:r>
              <m:r>
                <m:rPr>
                  <m:sty m:val="p"/>
                </m:rPr>
                <m:t>(</m:t>
              </m:r>
              <m:r>
                <m:t>τ</m:t>
              </m:r>
              <m:r>
                <m:rPr>
                  <m:sty m:val="p"/>
                </m:rPr>
                <m:t>)</m:t>
              </m:r>
              <m:r>
                <m:rPr>
                  <m:sty m:val="p"/>
                </m:rPr>
                <m:t>=</m:t>
              </m:r>
              <m:f>
                <m:fPr>
                  <m:type m:val="bar"/>
                </m:fPr>
                <m:num>
                  <m:r>
                    <m:rPr>
                      <m:sty m:val="p"/>
                    </m:rPr>
                    <m:t>F</m:t>
                  </m:r>
                  <m:r>
                    <m:rPr>
                      <m:sty m:val="p"/>
                    </m:rPr>
                    <m:t>P</m:t>
                  </m:r>
                  <m:r>
                    <m:rPr>
                      <m:sty m:val="p"/>
                    </m:rPr>
                    <m:t>(</m:t>
                  </m:r>
                  <m:r>
                    <m:t>τ</m:t>
                  </m:r>
                  <m:r>
                    <m:rPr>
                      <m:sty m:val="p"/>
                    </m:rPr>
                    <m:t>)</m:t>
                  </m:r>
                </m:num>
                <m:den>
                  <m:r>
                    <m:rPr>
                      <m:sty m:val="p"/>
                    </m:rPr>
                    <m:t>F</m:t>
                  </m:r>
                  <m:r>
                    <m:rPr>
                      <m:sty m:val="p"/>
                    </m:rPr>
                    <m:t>P</m:t>
                  </m:r>
                  <m:r>
                    <m:rPr>
                      <m:sty m:val="p"/>
                    </m:rPr>
                    <m:t>(</m:t>
                  </m:r>
                  <m:r>
                    <m:t>τ</m:t>
                  </m:r>
                  <m:r>
                    <m:rPr>
                      <m:sty m:val="p"/>
                    </m:rPr>
                    <m:t>)</m:t>
                  </m:r>
                  <m:r>
                    <m:rPr>
                      <m:sty m:val="p"/>
                    </m:rPr>
                    <m:t>+</m:t>
                  </m:r>
                  <m:r>
                    <m:rPr>
                      <m:sty m:val="p"/>
                    </m:rPr>
                    <m:t>T</m:t>
                  </m:r>
                  <m:r>
                    <m:rPr>
                      <m:sty m:val="p"/>
                    </m:rPr>
                    <m:t>N</m:t>
                  </m:r>
                  <m:r>
                    <m:rPr>
                      <m:sty m:val="p"/>
                    </m:rPr>
                    <m:t>(</m:t>
                  </m:r>
                  <m:r>
                    <m:t>τ</m:t>
                  </m:r>
                  <m:r>
                    <m:rPr>
                      <m:sty m:val="p"/>
                    </m:rPr>
                    <m:t>)</m:t>
                  </m:r>
                </m:den>
              </m:f>
            </m:e>
            <m:e>
              <m:r>
                <m:t>&amp;</m:t>
              </m:r>
              <m:r>
                <m:rPr>
                  <m:nor/>
                  <m:sty m:val="p"/>
                </m:rPr>
                <m:t>AUC:</m:t>
              </m:r>
              <m:r>
                <m:t>&amp;</m:t>
              </m:r>
              <m:r>
                <m:t>&amp;</m:t>
              </m:r>
              <m:r>
                <m:rPr>
                  <m:sty m:val="p"/>
                </m:rPr>
                <m:t>A</m:t>
              </m:r>
              <m:r>
                <m:rPr>
                  <m:sty m:val="p"/>
                </m:rPr>
                <m:t>U</m:t>
              </m:r>
              <m:r>
                <m:rPr>
                  <m:sty m:val="p"/>
                </m:rPr>
                <m:t>C</m:t>
              </m:r>
              <m:r>
                <m:rPr>
                  <m:sty m:val="p"/>
                </m:rPr>
                <m:t>=</m:t>
              </m:r>
              <m:nary>
                <m:naryPr>
                  <m:chr m:val="∫"/>
                  <m:limLoc m:val="subSup"/>
                  <m:subHide m:val="off"/>
                  <m:supHide m:val="off"/>
                </m:naryPr>
                <m:sub>
                  <m:r>
                    <m:t>0</m:t>
                  </m:r>
                </m:sub>
                <m:sup>
                  <m:r>
                    <m:t>1</m:t>
                  </m:r>
                </m:sup>
                <m:e>
                  <m:r>
                    <m:rPr>
                      <m:sty m:val="p"/>
                    </m:rPr>
                    <m:t>T</m:t>
                  </m:r>
                  <m:r>
                    <m:rPr>
                      <m:sty m:val="p"/>
                    </m:rPr>
                    <m:t>P</m:t>
                  </m:r>
                </m:e>
              </m:nary>
              <m:r>
                <m:t>r</m:t>
              </m:r>
              <m:r>
                <m:rPr>
                  <m:sty m:val="p"/>
                </m:rPr>
                <m:t>(</m:t>
              </m:r>
              <m:r>
                <m:t>τ</m:t>
              </m:r>
              <m:r>
                <m:rPr>
                  <m:sty m:val="p"/>
                </m:rPr>
                <m:t>)</m:t>
              </m:r>
              <m:r>
                <m:t> </m:t>
              </m:r>
              <m:r>
                <m:t>d</m:t>
              </m:r>
              <m:r>
                <m:rPr>
                  <m:sty m:val="p"/>
                </m:rPr>
                <m:t>(</m:t>
              </m:r>
              <m:r>
                <m:rPr>
                  <m:sty m:val="p"/>
                </m:rPr>
                <m:t>F</m:t>
              </m:r>
              <m:r>
                <m:rPr>
                  <m:sty m:val="p"/>
                </m:rPr>
                <m:t>P</m:t>
              </m:r>
              <m:r>
                <m:rPr>
                  <m:sty m:val="p"/>
                </m:rPr>
                <m:t>R</m:t>
              </m:r>
              <m:r>
                <m:rPr>
                  <m:sty m:val="p"/>
                </m:rPr>
                <m:t>(</m:t>
              </m:r>
              <m:r>
                <m:t>τ</m:t>
              </m:r>
              <m:r>
                <m:rPr>
                  <m:sty m:val="p"/>
                </m:rPr>
                <m:t>)</m:t>
              </m:r>
              <m:r>
                <m:rPr>
                  <m:sty m:val="p"/>
                </m:rPr>
                <m:t>)</m:t>
              </m:r>
            </m:e>
            <m:e>
              <m:r>
                <m:t>&amp;</m:t>
              </m:r>
              <m:r>
                <m:rPr>
                  <m:nor/>
                  <m:sty m:val="p"/>
                </m:rPr>
                <m:t>Accuracy:</m:t>
              </m:r>
              <m:r>
                <m:t>&amp;</m:t>
              </m:r>
              <m:r>
                <m:t>&amp;</m:t>
              </m:r>
              <m:f>
                <m:fPr>
                  <m:type m:val="bar"/>
                </m:fPr>
                <m:num>
                  <m:r>
                    <m:rPr>
                      <m:sty m:val="p"/>
                    </m:rPr>
                    <m:t>T</m:t>
                  </m:r>
                  <m:r>
                    <m:rPr>
                      <m:sty m:val="p"/>
                    </m:rPr>
                    <m:t>P</m:t>
                  </m:r>
                  <m:r>
                    <m:rPr>
                      <m:sty m:val="p"/>
                    </m:rPr>
                    <m:t>+</m:t>
                  </m:r>
                  <m:r>
                    <m:rPr>
                      <m:sty m:val="p"/>
                    </m:rPr>
                    <m:t>T</m:t>
                  </m:r>
                  <m:r>
                    <m:rPr>
                      <m:sty m:val="p"/>
                    </m:rPr>
                    <m:t>N</m:t>
                  </m:r>
                </m:num>
                <m:den>
                  <m:r>
                    <m:rPr>
                      <m:sty m:val="p"/>
                    </m:rPr>
                    <m:t>T</m:t>
                  </m:r>
                  <m:r>
                    <m:rPr>
                      <m:sty m:val="p"/>
                    </m:rPr>
                    <m:t>P</m:t>
                  </m:r>
                  <m:r>
                    <m:rPr>
                      <m:sty m:val="p"/>
                    </m:rPr>
                    <m:t>+</m:t>
                  </m:r>
                  <m:r>
                    <m:rPr>
                      <m:sty m:val="p"/>
                    </m:rPr>
                    <m:t>T</m:t>
                  </m:r>
                  <m:r>
                    <m:rPr>
                      <m:sty m:val="p"/>
                    </m:rPr>
                    <m:t>N</m:t>
                  </m:r>
                  <m:r>
                    <m:rPr>
                      <m:sty m:val="p"/>
                    </m:rPr>
                    <m:t>+</m:t>
                  </m:r>
                  <m:r>
                    <m:rPr>
                      <m:sty m:val="p"/>
                    </m:rPr>
                    <m:t>F</m:t>
                  </m:r>
                  <m:r>
                    <m:rPr>
                      <m:sty m:val="p"/>
                    </m:rPr>
                    <m:t>P</m:t>
                  </m:r>
                  <m:r>
                    <m:rPr>
                      <m:sty m:val="p"/>
                    </m:rPr>
                    <m:t>+</m:t>
                  </m:r>
                  <m:r>
                    <m:rPr>
                      <m:sty m:val="p"/>
                    </m:rPr>
                    <m:t>F</m:t>
                  </m:r>
                  <m:r>
                    <m:rPr>
                      <m:sty m:val="p"/>
                    </m:rPr>
                    <m:t>N</m:t>
                  </m:r>
                </m:den>
              </m:f>
            </m:e>
            <m:e>
              <m:r>
                <m:t>&amp;</m:t>
              </m:r>
              <m:r>
                <m:rPr>
                  <m:nor/>
                  <m:sty m:val="p"/>
                </m:rPr>
                <m:t>Precision:</m:t>
              </m:r>
              <m:r>
                <m:t>&amp;</m:t>
              </m:r>
              <m:r>
                <m:t>&amp;</m:t>
              </m:r>
              <m:f>
                <m:fPr>
                  <m:type m:val="bar"/>
                </m:fPr>
                <m:num>
                  <m:r>
                    <m:rPr>
                      <m:sty m:val="p"/>
                    </m:rPr>
                    <m:t>T</m:t>
                  </m:r>
                  <m:r>
                    <m:rPr>
                      <m:sty m:val="p"/>
                    </m:rPr>
                    <m:t>P</m:t>
                  </m:r>
                </m:num>
                <m:den>
                  <m:r>
                    <m:rPr>
                      <m:sty m:val="p"/>
                    </m:rPr>
                    <m:t>T</m:t>
                  </m:r>
                  <m:r>
                    <m:rPr>
                      <m:sty m:val="p"/>
                    </m:rPr>
                    <m:t>P</m:t>
                  </m:r>
                  <m:r>
                    <m:rPr>
                      <m:sty m:val="p"/>
                    </m:rPr>
                    <m:t>+</m:t>
                  </m:r>
                  <m:r>
                    <m:rPr>
                      <m:sty m:val="p"/>
                    </m:rPr>
                    <m:t>F</m:t>
                  </m:r>
                  <m:r>
                    <m:rPr>
                      <m:sty m:val="p"/>
                    </m:rPr>
                    <m:t>P</m:t>
                  </m:r>
                </m:den>
              </m:f>
            </m:e>
            <m:e>
              <m:r>
                <m:t>&amp;</m:t>
              </m:r>
              <m:r>
                <m:rPr>
                  <m:nor/>
                  <m:sty m:val="p"/>
                </m:rPr>
                <m:t>Recall (Sensitivity):</m:t>
              </m:r>
              <m:r>
                <m:t>&amp;</m:t>
              </m:r>
              <m:r>
                <m:t>&amp;</m:t>
              </m:r>
              <m:f>
                <m:fPr>
                  <m:type m:val="bar"/>
                </m:fPr>
                <m:num>
                  <m:r>
                    <m:rPr>
                      <m:sty m:val="p"/>
                    </m:rPr>
                    <m:t>T</m:t>
                  </m:r>
                  <m:r>
                    <m:rPr>
                      <m:sty m:val="p"/>
                    </m:rPr>
                    <m:t>P</m:t>
                  </m:r>
                </m:num>
                <m:den>
                  <m:r>
                    <m:rPr>
                      <m:sty m:val="p"/>
                    </m:rPr>
                    <m:t>T</m:t>
                  </m:r>
                  <m:r>
                    <m:rPr>
                      <m:sty m:val="p"/>
                    </m:rPr>
                    <m:t>P</m:t>
                  </m:r>
                  <m:r>
                    <m:rPr>
                      <m:sty m:val="p"/>
                    </m:rPr>
                    <m:t>+</m:t>
                  </m:r>
                  <m:r>
                    <m:rPr>
                      <m:sty m:val="p"/>
                    </m:rPr>
                    <m:t>F</m:t>
                  </m:r>
                  <m:r>
                    <m:rPr>
                      <m:sty m:val="p"/>
                    </m:rPr>
                    <m:t>N</m:t>
                  </m:r>
                </m:den>
              </m:f>
            </m:e>
            <m:e>
              <m:r>
                <m:t>&amp;</m:t>
              </m:r>
              <m:r>
                <m:rPr>
                  <m:nor/>
                  <m:sty m:val="p"/>
                </m:rPr>
                <m:t>F1 Score:</m:t>
              </m:r>
              <m:r>
                <m:t>&amp;</m:t>
              </m:r>
              <m:r>
                <m:t>&amp;</m:t>
              </m:r>
              <m:f>
                <m:fPr>
                  <m:type m:val="bar"/>
                </m:fPr>
                <m:num>
                  <m:r>
                    <m:t>2</m:t>
                  </m:r>
                  <m:r>
                    <m:rPr>
                      <m:sty m:val="p"/>
                    </m:rPr>
                    <m:t>⋅</m:t>
                  </m:r>
                  <m:r>
                    <m:rPr>
                      <m:nor/>
                      <m:sty m:val="p"/>
                    </m:rPr>
                    <m:t>Precision</m:t>
                  </m:r>
                  <m:r>
                    <m:rPr>
                      <m:sty m:val="p"/>
                    </m:rPr>
                    <m:t>⋅</m:t>
                  </m:r>
                  <m:r>
                    <m:rPr>
                      <m:nor/>
                      <m:sty m:val="p"/>
                    </m:rPr>
                    <m:t>Recall</m:t>
                  </m:r>
                </m:num>
                <m:den>
                  <m:r>
                    <m:rPr>
                      <m:nor/>
                      <m:sty m:val="p"/>
                    </m:rPr>
                    <m:t>Precision</m:t>
                  </m:r>
                  <m:r>
                    <m:rPr>
                      <m:sty m:val="p"/>
                    </m:rPr>
                    <m:t>+</m:t>
                  </m:r>
                  <m:r>
                    <m:rPr>
                      <m:nor/>
                      <m:sty m:val="p"/>
                    </m:rPr>
                    <m:t>Recall</m:t>
                  </m:r>
                </m:den>
              </m:f>
            </m:e>
            <m:e>
              <m:r>
                <m:t>&amp;</m:t>
              </m:r>
              <m:r>
                <m:rPr>
                  <m:nor/>
                  <m:sty m:val="p"/>
                </m:rPr>
                <m:t>Specificity:</m:t>
              </m:r>
              <m:r>
                <m:t>&amp;</m:t>
              </m:r>
              <m:r>
                <m:t>&amp;</m:t>
              </m:r>
              <m:f>
                <m:fPr>
                  <m:type m:val="bar"/>
                </m:fPr>
                <m:num>
                  <m:r>
                    <m:rPr>
                      <m:sty m:val="p"/>
                    </m:rPr>
                    <m:t>T</m:t>
                  </m:r>
                  <m:r>
                    <m:rPr>
                      <m:sty m:val="p"/>
                    </m:rPr>
                    <m:t>N</m:t>
                  </m:r>
                </m:num>
                <m:den>
                  <m:r>
                    <m:rPr>
                      <m:sty m:val="p"/>
                    </m:rPr>
                    <m:t>T</m:t>
                  </m:r>
                  <m:r>
                    <m:rPr>
                      <m:sty m:val="p"/>
                    </m:rPr>
                    <m:t>N</m:t>
                  </m:r>
                  <m:r>
                    <m:rPr>
                      <m:sty m:val="p"/>
                    </m:rPr>
                    <m:t>+</m:t>
                  </m:r>
                  <m:r>
                    <m:rPr>
                      <m:sty m:val="p"/>
                    </m:rPr>
                    <m:t>F</m:t>
                  </m:r>
                  <m:r>
                    <m:rPr>
                      <m:sty m:val="p"/>
                    </m:rPr>
                    <m:t>P</m:t>
                  </m:r>
                </m:den>
              </m:f>
            </m:e>
          </m:eqArr>
        </m:oMath>
      </m:oMathPara>
    </w:p>
    <w:p>
      <w:pPr>
        <w:pStyle w:val="FirstParagraph"/>
      </w:pPr>
      <w:r>
        <w:t xml:space="preserve">Let</w:t>
      </w:r>
      <w:r>
        <w:t xml:space="preserve"> </w:t>
      </w:r>
      <m:oMath>
        <m:r>
          <m:rPr>
            <m:scr m:val="script"/>
            <m:sty m:val="p"/>
          </m:rPr>
          <m:t>D</m:t>
        </m:r>
        <m:r>
          <m:rPr>
            <m:sty m:val="p"/>
          </m:rPr>
          <m:t>=</m:t>
        </m:r>
        <m:r>
          <m:rPr>
            <m:sty m:val="p"/>
          </m:rPr>
          <m:t>{</m:t>
        </m:r>
        <m:r>
          <m:rPr>
            <m:sty m:val="p"/>
          </m:rPr>
          <m:t>(</m:t>
        </m:r>
        <m:sSub>
          <m:e>
            <m:r>
              <m:t>x</m:t>
            </m:r>
          </m:e>
          <m:sub>
            <m:r>
              <m:t>i</m:t>
            </m:r>
          </m:sub>
        </m:sSub>
        <m:r>
          <m:rPr>
            <m:sty m:val="p"/>
          </m:rPr>
          <m:t>,</m:t>
        </m:r>
        <m:sSub>
          <m:e>
            <m:r>
              <m:t>y</m:t>
            </m:r>
          </m:e>
          <m:sub>
            <m:r>
              <m:t>i</m:t>
            </m:r>
          </m:sub>
        </m:sSub>
        <m:r>
          <m:rPr>
            <m:sty m:val="p"/>
          </m:rPr>
          <m:t>)</m:t>
        </m:r>
        <m:sSubSup>
          <m:e>
            <m:r>
              <m:rPr>
                <m:sty m:val="p"/>
              </m:rPr>
              <m:t>}</m:t>
            </m:r>
          </m:e>
          <m:sub>
            <m:r>
              <m:t>i</m:t>
            </m:r>
            <m:r>
              <m:rPr>
                <m:sty m:val="p"/>
              </m:rPr>
              <m:t>=</m:t>
            </m:r>
            <m:r>
              <m:t>1</m:t>
            </m:r>
          </m:sub>
          <m:sup>
            <m:r>
              <m:t>n</m:t>
            </m:r>
          </m:sup>
        </m:sSubSup>
      </m:oMath>
      <w:r>
        <w:t xml:space="preserve"> </w:t>
      </w:r>
      <w:r>
        <w:t xml:space="preserve">denote the full dataset, and let</w:t>
      </w:r>
      <w:r>
        <w:t xml:space="preserve"> </w:t>
      </w:r>
      <m:oMath>
        <m:sSub>
          <m:e>
            <m:r>
              <m:rPr>
                <m:scr m:val="script"/>
                <m:sty m:val="p"/>
              </m:rPr>
              <m:t>D</m:t>
            </m:r>
          </m:e>
          <m:sub>
            <m:r>
              <m:t>k</m:t>
            </m:r>
          </m:sub>
        </m:sSub>
      </m:oMath>
      <w:r>
        <w:t xml:space="preserve"> </w:t>
      </w:r>
      <w:r>
        <w:t xml:space="preserve">be the</w:t>
      </w:r>
      <w:r>
        <w:t xml:space="preserve"> </w:t>
      </w:r>
      <m:oMath>
        <m:r>
          <m:t>k</m:t>
        </m:r>
      </m:oMath>
      <w:r>
        <w:t xml:space="preserve">-th fold. For a metric</w:t>
      </w:r>
      <w:r>
        <w:t xml:space="preserve"> </w:t>
      </w:r>
      <m:oMath>
        <m:r>
          <m:t>M</m:t>
        </m:r>
      </m:oMath>
      <w:r>
        <w:t xml:space="preserve">, the mean and standard deviation over</w:t>
      </w:r>
      <w:r>
        <w:t xml:space="preserve"> </w:t>
      </w:r>
      <m:oMath>
        <m:r>
          <m:t>K</m:t>
        </m:r>
        <m:r>
          <m:rPr>
            <m:sty m:val="p"/>
          </m:rPr>
          <m:t>=</m:t>
        </m:r>
        <m:r>
          <m:t>10</m:t>
        </m:r>
      </m:oMath>
      <w:r>
        <w:t xml:space="preserve"> </w:t>
      </w:r>
      <w:r>
        <w:t xml:space="preserve">folds are</w:t>
      </w:r>
    </w:p>
    <w:p>
      <w:pPr>
        <w:pStyle w:val="a0"/>
      </w:pPr>
      <m:oMathPara>
        <m:oMathParaPr>
          <m:jc m:val="center"/>
        </m:oMathParaPr>
        <m:oMath>
          <m:acc>
            <m:accPr>
              <m:chr m:val="‾"/>
            </m:accPr>
            <m:e>
              <m:r>
                <m:t>m</m:t>
              </m:r>
            </m:e>
          </m:acc>
          <m:r>
            <m:rPr>
              <m:sty m:val="p"/>
            </m:rPr>
            <m:t>=</m:t>
          </m:r>
          <m:f>
            <m:fPr>
              <m:type m:val="bar"/>
            </m:fPr>
            <m:num>
              <m:r>
                <m:t>1</m:t>
              </m:r>
            </m:num>
            <m:den>
              <m:r>
                <m:t>K</m:t>
              </m:r>
            </m:den>
          </m:f>
          <m:nary>
            <m:naryPr>
              <m:chr m:val="∑"/>
              <m:limLoc m:val="undOvr"/>
              <m:subHide m:val="off"/>
              <m:supHide m:val="off"/>
            </m:naryPr>
            <m:sub>
              <m:r>
                <m:t>k</m:t>
              </m:r>
              <m:r>
                <m:rPr>
                  <m:sty m:val="p"/>
                </m:rPr>
                <m:t>=</m:t>
              </m:r>
              <m:r>
                <m:t>1</m:t>
              </m:r>
            </m:sub>
            <m:sup>
              <m:r>
                <m:t>K</m:t>
              </m:r>
            </m:sup>
            <m:e>
              <m:sSub>
                <m:e>
                  <m:r>
                    <m:t>m</m:t>
                  </m:r>
                </m:e>
                <m:sub>
                  <m:r>
                    <m:t>k</m:t>
                  </m:r>
                </m:sub>
              </m:sSub>
            </m:e>
          </m:nary>
          <m:r>
            <m:rPr>
              <m:sty m:val="p"/>
            </m:rPr>
            <m:t>,</m:t>
          </m:r>
          <m:r>
            <m:t> </m:t>
          </m:r>
          <m:sSub>
            <m:e>
              <m:r>
                <m:t>σ</m:t>
              </m:r>
            </m:e>
            <m:sub>
              <m:r>
                <m:t>m</m:t>
              </m:r>
            </m:sub>
          </m:sSub>
          <m:r>
            <m:rPr>
              <m:sty m:val="p"/>
            </m:rPr>
            <m:t>=</m:t>
          </m:r>
          <m:rad>
            <m:radPr>
              <m:degHide m:val="on"/>
            </m:radPr>
            <m:deg/>
            <m:e>
              <m:f>
                <m:fPr>
                  <m:type m:val="bar"/>
                </m:fPr>
                <m:num>
                  <m:r>
                    <m:t>1</m:t>
                  </m:r>
                </m:num>
                <m:den>
                  <m:r>
                    <m:t>K</m:t>
                  </m:r>
                  <m:r>
                    <m:rPr>
                      <m:sty m:val="p"/>
                    </m:rPr>
                    <m:t>−</m:t>
                  </m:r>
                  <m:r>
                    <m:t>1</m:t>
                  </m:r>
                </m:den>
              </m:f>
              <m:nary>
                <m:naryPr>
                  <m:chr m:val="∑"/>
                  <m:limLoc m:val="undOvr"/>
                  <m:subHide m:val="off"/>
                  <m:supHide m:val="off"/>
                </m:naryPr>
                <m:sub>
                  <m:r>
                    <m:t>k</m:t>
                  </m:r>
                  <m:r>
                    <m:rPr>
                      <m:sty m:val="p"/>
                    </m:rPr>
                    <m:t>=</m:t>
                  </m:r>
                  <m:r>
                    <m:t>1</m:t>
                  </m:r>
                </m:sub>
                <m:sup>
                  <m:r>
                    <m:t>K</m:t>
                  </m:r>
                </m:sup>
                <m:e>
                  <m:r>
                    <m:rPr>
                      <m:sty m:val="p"/>
                    </m:rPr>
                    <m:t>(</m:t>
                  </m:r>
                </m:e>
              </m:nary>
              <m:sSub>
                <m:e>
                  <m:r>
                    <m:t>m</m:t>
                  </m:r>
                </m:e>
                <m:sub>
                  <m:r>
                    <m:t>k</m:t>
                  </m:r>
                </m:sub>
              </m:sSub>
              <m:r>
                <m:rPr>
                  <m:sty m:val="p"/>
                </m:rPr>
                <m:t>−</m:t>
              </m:r>
              <m:acc>
                <m:accPr>
                  <m:chr m:val="‾"/>
                </m:accPr>
                <m:e>
                  <m:r>
                    <m:t>m</m:t>
                  </m:r>
                </m:e>
              </m:acc>
              <m:sSup>
                <m:e>
                  <m:r>
                    <m:rPr>
                      <m:sty m:val="p"/>
                    </m:rPr>
                    <m:t>)</m:t>
                  </m:r>
                </m:e>
                <m:sup>
                  <m:r>
                    <m:t>2</m:t>
                  </m:r>
                </m:sup>
              </m:sSup>
            </m:e>
          </m:rad>
          <m:r>
            <m:rPr>
              <m:sty m:val="p"/>
            </m:rPr>
            <m:t>.</m:t>
          </m:r>
        </m:oMath>
      </m:oMathPara>
    </w:p>
    <w:bookmarkEnd w:id="113"/>
    <w:bookmarkStart w:id="114" w:name="visualization-based-evaluation"/>
    <w:p>
      <w:pPr>
        <w:pStyle w:val="3"/>
      </w:pPr>
      <w:r>
        <w:t xml:space="preserve">Visualization-Based Evaluation</w:t>
      </w:r>
    </w:p>
    <w:p>
      <w:pPr>
        <w:numPr>
          <w:ilvl w:val="0"/>
          <w:numId w:val="1028"/>
        </w:numPr>
      </w:pPr>
      <w:r>
        <w:rPr>
          <w:b/>
          <w:bCs/>
        </w:rPr>
        <w:t xml:space="preserve">ROC Curves:</w:t>
      </w:r>
      <w:r>
        <w:t xml:space="preserve"> </w:t>
      </w:r>
      <w:r>
        <w:t xml:space="preserve">We plot</w:t>
      </w:r>
      <w:r>
        <w:t xml:space="preserve"> </w:t>
      </w:r>
      <m:oMath>
        <m:r>
          <m:rPr>
            <m:sty m:val="p"/>
          </m:rPr>
          <m:t>T</m:t>
        </m:r>
        <m:r>
          <m:rPr>
            <m:sty m:val="p"/>
          </m:rPr>
          <m:t>P</m:t>
        </m:r>
        <m:r>
          <m:t>r</m:t>
        </m:r>
        <m:r>
          <m:rPr>
            <m:sty m:val="p"/>
          </m:rPr>
          <m:t>(</m:t>
        </m:r>
        <m:r>
          <m:t>τ</m:t>
        </m:r>
        <m:r>
          <m:rPr>
            <m:sty m:val="p"/>
          </m:rPr>
          <m:t>)</m:t>
        </m:r>
      </m:oMath>
      <w:r>
        <w:t xml:space="preserve"> </w:t>
      </w:r>
      <w:r>
        <w:t xml:space="preserve">versus</w:t>
      </w:r>
      <w:r>
        <w:t xml:space="preserve"> </w:t>
      </w:r>
      <m:oMath>
        <m:r>
          <m:rPr>
            <m:sty m:val="p"/>
          </m:rPr>
          <m:t>F</m:t>
        </m:r>
        <m:r>
          <m:rPr>
            <m:sty m:val="p"/>
          </m:rPr>
          <m:t>P</m:t>
        </m:r>
        <m:r>
          <m:rPr>
            <m:sty m:val="p"/>
          </m:rPr>
          <m:t>R</m:t>
        </m:r>
        <m:r>
          <m:rPr>
            <m:sty m:val="p"/>
          </m:rPr>
          <m:t>(</m:t>
        </m:r>
        <m:r>
          <m:t>τ</m:t>
        </m:r>
        <m:r>
          <m:rPr>
            <m:sty m:val="p"/>
          </m:rPr>
          <m:t>)</m:t>
        </m:r>
      </m:oMath>
      <w:r>
        <w:t xml:space="preserve"> </w:t>
      </w:r>
      <w:r>
        <w:t xml:space="preserve">for</w:t>
      </w:r>
      <w:r>
        <w:t xml:space="preserve"> </w:t>
      </w:r>
      <m:oMath>
        <m:r>
          <m:t>τ</m:t>
        </m:r>
        <m:r>
          <m:rPr>
            <m:sty m:val="p"/>
          </m:rPr>
          <m:t>∈</m:t>
        </m:r>
        <m:r>
          <m:rPr>
            <m:sty m:val="p"/>
          </m:rPr>
          <m:t>[</m:t>
        </m:r>
        <m:r>
          <m:t>0</m:t>
        </m:r>
        <m:r>
          <m:rPr>
            <m:sty m:val="p"/>
          </m:rPr>
          <m:t>,</m:t>
        </m:r>
        <m:r>
          <m:t>1</m:t>
        </m:r>
        <m:r>
          <m:rPr>
            <m:sty m:val="p"/>
          </m:rPr>
          <m:t>]</m:t>
        </m:r>
      </m:oMath>
      <w:r>
        <w:t xml:space="preserve"> </w:t>
      </w:r>
      <w:r>
        <w:t xml:space="preserve">to characterize the trade-off between sensitivity and specificity across operating thresholds.</w:t>
      </w:r>
    </w:p>
    <w:p>
      <w:pPr>
        <w:numPr>
          <w:ilvl w:val="0"/>
          <w:numId w:val="1028"/>
        </w:numPr>
      </w:pPr>
      <w:r>
        <w:rPr>
          <w:b/>
          <w:bCs/>
        </w:rPr>
        <w:t xml:space="preserve">Calibration Curves:</w:t>
      </w:r>
      <w:r>
        <w:t xml:space="preserve"> </w:t>
      </w:r>
      <w:r>
        <w:t xml:space="preserve">We assess the agreement between the predicted probability</w:t>
      </w:r>
      <w:r>
        <w:t xml:space="preserve"> </w:t>
      </w:r>
      <m:oMath>
        <m:acc>
          <m:accPr>
            <m:chr m:val="̂"/>
          </m:accPr>
          <m:e>
            <m:r>
              <m:t>p</m:t>
            </m:r>
          </m:e>
        </m:acc>
      </m:oMath>
      <w:r>
        <w:t xml:space="preserve"> </w:t>
      </w:r>
      <w:r>
        <w:t xml:space="preserve">and the observed frequency</w:t>
      </w:r>
      <w:r>
        <w:t xml:space="preserve"> </w:t>
      </w:r>
      <m:oMath>
        <m:sSub>
          <m:e>
            <m:r>
              <m:t>y</m:t>
            </m:r>
          </m:e>
          <m:sub>
            <m:r>
              <m:t>i</m:t>
            </m:r>
          </m:sub>
        </m:sSub>
      </m:oMath>
      <w:r>
        <w:t xml:space="preserve">. For</w:t>
      </w:r>
      <w:r>
        <w:t xml:space="preserve"> </w:t>
      </w:r>
      <m:oMath>
        <m:r>
          <m:t>K</m:t>
        </m:r>
      </m:oMath>
      <w:r>
        <w:t xml:space="preserve"> </w:t>
      </w:r>
      <w:r>
        <w:t xml:space="preserve">equal-width bins</w:t>
      </w:r>
      <w:r>
        <w:t xml:space="preserve"> </w:t>
      </w:r>
      <m:oMath>
        <m:sSub>
          <m:e>
            <m:r>
              <m:t>B</m:t>
            </m:r>
          </m:e>
          <m:sub>
            <m:r>
              <m:t>k</m:t>
            </m:r>
          </m:sub>
        </m:sSub>
        <m:r>
          <m:rPr>
            <m:sty m:val="p"/>
          </m:rPr>
          <m:t>=</m:t>
        </m:r>
        <m:r>
          <m:rPr>
            <m:sty m:val="p"/>
          </m:rPr>
          <m:t>[</m:t>
        </m:r>
        <m:r>
          <m:t>k</m:t>
        </m:r>
        <m:r>
          <m:rPr>
            <m:sty m:val="p"/>
          </m:rPr>
          <m:t>/</m:t>
        </m:r>
        <m:r>
          <m:t>K</m:t>
        </m:r>
        <m:r>
          <m:rPr>
            <m:sty m:val="p"/>
          </m:rPr>
          <m:t>,</m:t>
        </m:r>
        <m:r>
          <m:rPr>
            <m:sty m:val="p"/>
          </m:rPr>
          <m:t>(</m:t>
        </m:r>
        <m:r>
          <m:t>k</m:t>
        </m:r>
        <m:r>
          <m:rPr>
            <m:sty m:val="p"/>
          </m:rPr>
          <m:t>+</m:t>
        </m:r>
        <m:r>
          <m:t>1</m:t>
        </m:r>
        <m:r>
          <m:rPr>
            <m:sty m:val="p"/>
          </m:rPr>
          <m:t>)</m:t>
        </m:r>
        <m:r>
          <m:rPr>
            <m:sty m:val="p"/>
          </m:rPr>
          <m:t>/</m:t>
        </m:r>
        <m:r>
          <m:t>K</m:t>
        </m:r>
        <m:r>
          <m:rPr>
            <m:sty m:val="p"/>
          </m:rPr>
          <m:t>)</m:t>
        </m:r>
      </m:oMath>
      <w:r>
        <w:t xml:space="preserve">, we compute</w:t>
      </w:r>
    </w:p>
    <w:p>
      <w:pPr>
        <w:pStyle w:val="a0"/>
      </w:pPr>
      <m:oMathPara>
        <m:oMathParaPr>
          <m:jc m:val="center"/>
        </m:oMathParaPr>
        <m:oMath>
          <m:acc>
            <m:accPr>
              <m:chr m:val="‾"/>
            </m:accPr>
            <m:e>
              <m:r>
                <m:t>p</m:t>
              </m:r>
            </m:e>
          </m:acc>
          <m:r>
            <m:rPr>
              <m:sty m:val="p"/>
            </m:rPr>
            <m:t>=</m:t>
          </m:r>
          <m:f>
            <m:fPr>
              <m:type m:val="bar"/>
            </m:fPr>
            <m:num>
              <m:r>
                <m:t>1</m:t>
              </m:r>
            </m:num>
            <m:den>
              <m:r>
                <m:rPr>
                  <m:sty m:val="p"/>
                </m:rPr>
                <m:t>|</m:t>
              </m:r>
              <m:sSub>
                <m:e>
                  <m:r>
                    <m:t>B</m:t>
                  </m:r>
                </m:e>
                <m:sub>
                  <m:r>
                    <m:t>k</m:t>
                  </m:r>
                </m:sub>
              </m:sSub>
              <m:r>
                <m:rPr>
                  <m:sty m:val="p"/>
                </m:rPr>
                <m:t>|</m:t>
              </m:r>
            </m:den>
          </m:f>
          <m:nary>
            <m:naryPr>
              <m:chr m:val="∑"/>
              <m:limLoc m:val="undOvr"/>
              <m:subHide m:val="off"/>
              <m:supHide m:val="on"/>
            </m:naryPr>
            <m:sub>
              <m:r>
                <m:t>i</m:t>
              </m:r>
              <m:r>
                <m:rPr>
                  <m:sty m:val="p"/>
                </m:rPr>
                <m:t>∈</m:t>
              </m:r>
              <m:sSub>
                <m:e>
                  <m:r>
                    <m:t>B</m:t>
                  </m:r>
                </m:e>
                <m:sub>
                  <m:r>
                    <m:t>k</m:t>
                  </m:r>
                </m:sub>
              </m:sSub>
            </m:sub>
            <m:sup>
              <m:r>
                <m:t>​</m:t>
              </m:r>
            </m:sup>
            <m:e>
              <m:acc>
                <m:accPr>
                  <m:chr m:val="̂"/>
                </m:accPr>
                <m:e>
                  <m:r>
                    <m:t>p</m:t>
                  </m:r>
                </m:e>
              </m:acc>
            </m:e>
          </m:nary>
          <m:r>
            <m:rPr>
              <m:sty m:val="p"/>
            </m:rPr>
            <m:t>,</m:t>
          </m:r>
          <m:r>
            <m:t> </m:t>
          </m:r>
          <m:acc>
            <m:accPr>
              <m:chr m:val="‾"/>
            </m:accPr>
            <m:e>
              <m:r>
                <m:t>y</m:t>
              </m:r>
            </m:e>
          </m:acc>
          <m:r>
            <m:rPr>
              <m:sty m:val="p"/>
            </m:rPr>
            <m:t>=</m:t>
          </m:r>
          <m:f>
            <m:fPr>
              <m:type m:val="bar"/>
            </m:fPr>
            <m:num>
              <m:r>
                <m:t>1</m:t>
              </m:r>
            </m:num>
            <m:den>
              <m:r>
                <m:rPr>
                  <m:sty m:val="p"/>
                </m:rPr>
                <m:t>|</m:t>
              </m:r>
              <m:sSub>
                <m:e>
                  <m:r>
                    <m:t>B</m:t>
                  </m:r>
                </m:e>
                <m:sub>
                  <m:r>
                    <m:t>k</m:t>
                  </m:r>
                </m:sub>
              </m:sSub>
              <m:r>
                <m:rPr>
                  <m:sty m:val="p"/>
                </m:rPr>
                <m:t>|</m:t>
              </m:r>
            </m:den>
          </m:f>
          <m:nary>
            <m:naryPr>
              <m:chr m:val="∑"/>
              <m:limLoc m:val="undOvr"/>
              <m:subHide m:val="off"/>
              <m:supHide m:val="on"/>
            </m:naryPr>
            <m:sub>
              <m:r>
                <m:t>i</m:t>
              </m:r>
              <m:r>
                <m:rPr>
                  <m:sty m:val="p"/>
                </m:rPr>
                <m:t>∈</m:t>
              </m:r>
              <m:sSub>
                <m:e>
                  <m:r>
                    <m:t>B</m:t>
                  </m:r>
                </m:e>
                <m:sub>
                  <m:r>
                    <m:t>k</m:t>
                  </m:r>
                </m:sub>
              </m:sSub>
            </m:sub>
            <m:sup>
              <m:r>
                <m:t>​</m:t>
              </m:r>
            </m:sup>
            <m:e>
              <m:sSub>
                <m:e>
                  <m:r>
                    <m:t>y</m:t>
                  </m:r>
                </m:e>
                <m:sub>
                  <m:r>
                    <m:t>i</m:t>
                  </m:r>
                </m:sub>
              </m:sSub>
            </m:e>
          </m:nary>
          <m:r>
            <m:rPr>
              <m:sty m:val="p"/>
            </m:rPr>
            <m:t>.</m:t>
          </m:r>
        </m:oMath>
      </m:oMathPara>
    </w:p>
    <w:p>
      <w:pPr>
        <w:numPr>
          <w:ilvl w:val="0"/>
          <w:numId w:val="1000"/>
        </w:numPr>
      </w:pPr>
      <w:r>
        <w:t xml:space="preserve">These quantities summarize both over- and underestimation of risk across the probability range.</w:t>
      </w:r>
    </w:p>
    <w:p>
      <w:pPr>
        <w:numPr>
          <w:ilvl w:val="0"/>
          <w:numId w:val="1028"/>
        </w:numPr>
      </w:pPr>
      <w:r>
        <w:rPr>
          <w:b/>
          <w:bCs/>
        </w:rPr>
        <w:t xml:space="preserve">Decision Curve Analysis (DCA):</w:t>
      </w:r>
      <w:r>
        <w:t xml:space="preserve"> </w:t>
      </w:r>
      <w:r>
        <w:t xml:space="preserve">For a given probability threshold</w:t>
      </w:r>
      <w:r>
        <w:t xml:space="preserve"> </w:t>
      </w:r>
      <m:oMath>
        <m:r>
          <m:t>τ</m:t>
        </m:r>
      </m:oMath>
      <w:r>
        <w:t xml:space="preserve">, the net benefit is</w:t>
      </w:r>
    </w:p>
    <w:p>
      <w:pPr>
        <w:pStyle w:val="a0"/>
      </w:pPr>
      <m:oMathPara>
        <m:oMathParaPr>
          <m:jc m:val="center"/>
        </m:oMathParaPr>
        <m:oMath>
          <m:r>
            <m:rPr>
              <m:sty m:val="p"/>
            </m:rPr>
            <m:t>N</m:t>
          </m:r>
          <m:r>
            <m:rPr>
              <m:sty m:val="p"/>
            </m:rPr>
            <m:t>B</m:t>
          </m:r>
          <m:r>
            <m:rPr>
              <m:sty m:val="p"/>
            </m:rPr>
            <m:t>=</m:t>
          </m:r>
          <m:f>
            <m:fPr>
              <m:type m:val="bar"/>
            </m:fPr>
            <m:num>
              <m:r>
                <m:rPr>
                  <m:sty m:val="p"/>
                </m:rPr>
                <m:t>T</m:t>
              </m:r>
              <m:r>
                <m:rPr>
                  <m:sty m:val="p"/>
                </m:rPr>
                <m:t>P</m:t>
              </m:r>
              <m:r>
                <m:rPr>
                  <m:sty m:val="p"/>
                </m:rPr>
                <m:t>(</m:t>
              </m:r>
              <m:r>
                <m:t>τ</m:t>
              </m:r>
              <m:r>
                <m:rPr>
                  <m:sty m:val="p"/>
                </m:rPr>
                <m:t>)</m:t>
              </m:r>
            </m:num>
            <m:den>
              <m:r>
                <m:t>n</m:t>
              </m:r>
            </m:den>
          </m:f>
          <m:r>
            <m:rPr>
              <m:sty m:val="p"/>
            </m:rPr>
            <m:t>−</m:t>
          </m:r>
          <m:f>
            <m:fPr>
              <m:type m:val="bar"/>
            </m:fPr>
            <m:num>
              <m:r>
                <m:rPr>
                  <m:sty m:val="p"/>
                </m:rPr>
                <m:t>F</m:t>
              </m:r>
              <m:r>
                <m:rPr>
                  <m:sty m:val="p"/>
                </m:rPr>
                <m:t>P</m:t>
              </m:r>
              <m:r>
                <m:rPr>
                  <m:sty m:val="p"/>
                </m:rPr>
                <m:t>(</m:t>
              </m:r>
              <m:r>
                <m:t>τ</m:t>
              </m:r>
              <m:r>
                <m:rPr>
                  <m:sty m:val="p"/>
                </m:rPr>
                <m:t>)</m:t>
              </m:r>
            </m:num>
            <m:den>
              <m:r>
                <m:t>n</m:t>
              </m:r>
            </m:den>
          </m:f>
          <m:r>
            <m:rPr>
              <m:sty m:val="p"/>
            </m:rPr>
            <m:t>⋅</m:t>
          </m:r>
          <m:f>
            <m:fPr>
              <m:type m:val="bar"/>
            </m:fPr>
            <m:num>
              <m:r>
                <m:t>τ</m:t>
              </m:r>
            </m:num>
            <m:den>
              <m:r>
                <m:t>1</m:t>
              </m:r>
              <m:r>
                <m:rPr>
                  <m:sty m:val="p"/>
                </m:rPr>
                <m:t>−</m:t>
              </m:r>
              <m:r>
                <m:t>τ</m:t>
              </m:r>
            </m:den>
          </m:f>
          <m:r>
            <m:rPr>
              <m:sty m:val="p"/>
            </m:rPr>
            <m:t>,</m:t>
          </m:r>
        </m:oMath>
      </m:oMathPara>
    </w:p>
    <w:p>
      <w:pPr>
        <w:numPr>
          <w:ilvl w:val="0"/>
          <w:numId w:val="1000"/>
        </w:numPr>
      </w:pPr>
      <w:r>
        <w:t xml:space="preserve">with benchmark strategies</w:t>
      </w:r>
    </w:p>
    <w:p>
      <w:pPr>
        <w:pStyle w:val="a0"/>
      </w:pPr>
      <m:oMathPara>
        <m:oMathParaPr>
          <m:jc m:val="center"/>
        </m:oMathParaPr>
        <m:oMath>
          <m:sSub>
            <m:e>
              <m:r>
                <m:rPr>
                  <m:sty m:val="p"/>
                </m:rPr>
                <m:t>N</m:t>
              </m:r>
              <m:r>
                <m:rPr>
                  <m:sty m:val="p"/>
                </m:rPr>
                <m:t>B</m:t>
              </m:r>
            </m:e>
            <m:sub>
              <m:r>
                <m:rPr>
                  <m:sty m:val="p"/>
                </m:rPr>
                <m:t>a</m:t>
              </m:r>
              <m:r>
                <m:rPr>
                  <m:sty m:val="p"/>
                </m:rPr>
                <m:t>l</m:t>
              </m:r>
              <m:r>
                <m:rPr>
                  <m:sty m:val="p"/>
                </m:rPr>
                <m:t>l</m:t>
              </m:r>
            </m:sub>
          </m:sSub>
          <m:r>
            <m:rPr>
              <m:sty m:val="p"/>
            </m:rPr>
            <m:t>(</m:t>
          </m:r>
          <m:r>
            <m:t>τ</m:t>
          </m:r>
          <m:r>
            <m:rPr>
              <m:sty m:val="p"/>
            </m:rPr>
            <m:t>)</m:t>
          </m:r>
          <m:r>
            <m:rPr>
              <m:sty m:val="p"/>
            </m:rPr>
            <m:t>=</m:t>
          </m:r>
          <m:r>
            <m:rPr>
              <m:nor/>
              <m:sty m:val="p"/>
            </m:rPr>
            <m:t>Prevalence</m:t>
          </m:r>
          <m:r>
            <m:rPr>
              <m:sty m:val="p"/>
            </m:rPr>
            <m:t>−</m:t>
          </m:r>
          <m:r>
            <m:rPr>
              <m:sty m:val="p"/>
            </m:rPr>
            <m:t>(</m:t>
          </m:r>
          <m:r>
            <m:t>1</m:t>
          </m:r>
          <m:r>
            <m:rPr>
              <m:sty m:val="p"/>
            </m:rPr>
            <m:t>−</m:t>
          </m:r>
          <m:r>
            <m:rPr>
              <m:nor/>
              <m:sty m:val="p"/>
            </m:rPr>
            <m:t>Prevalence</m:t>
          </m:r>
          <m:r>
            <m:rPr>
              <m:sty m:val="p"/>
            </m:rPr>
            <m:t>)</m:t>
          </m:r>
          <m:r>
            <m:rPr>
              <m:sty m:val="p"/>
            </m:rPr>
            <m:t>⋅</m:t>
          </m:r>
          <m:f>
            <m:fPr>
              <m:type m:val="bar"/>
            </m:fPr>
            <m:num>
              <m:r>
                <m:t>τ</m:t>
              </m:r>
            </m:num>
            <m:den>
              <m:r>
                <m:t>1</m:t>
              </m:r>
              <m:r>
                <m:rPr>
                  <m:sty m:val="p"/>
                </m:rPr>
                <m:t>−</m:t>
              </m:r>
              <m:r>
                <m:t>τ</m:t>
              </m:r>
            </m:den>
          </m:f>
          <m:r>
            <m:rPr>
              <m:sty m:val="p"/>
            </m:rPr>
            <m:t>,</m:t>
          </m:r>
          <m:r>
            <m:t> </m:t>
          </m:r>
          <m:sSub>
            <m:e>
              <m:r>
                <m:rPr>
                  <m:sty m:val="p"/>
                </m:rPr>
                <m:t>N</m:t>
              </m:r>
              <m:r>
                <m:rPr>
                  <m:sty m:val="p"/>
                </m:rPr>
                <m:t>B</m:t>
              </m:r>
            </m:e>
            <m:sub>
              <m:r>
                <m:rPr>
                  <m:sty m:val="p"/>
                </m:rPr>
                <m:t>n</m:t>
              </m:r>
              <m:r>
                <m:rPr>
                  <m:sty m:val="p"/>
                </m:rPr>
                <m:t>o</m:t>
              </m:r>
              <m:r>
                <m:rPr>
                  <m:sty m:val="p"/>
                </m:rPr>
                <m:t>n</m:t>
              </m:r>
              <m:r>
                <m:rPr>
                  <m:sty m:val="p"/>
                </m:rPr>
                <m:t>e</m:t>
              </m:r>
            </m:sub>
          </m:sSub>
          <m:r>
            <m:rPr>
              <m:sty m:val="p"/>
            </m:rPr>
            <m:t>=</m:t>
          </m:r>
          <m:r>
            <m:t>0</m:t>
          </m:r>
          <m:r>
            <m:rPr>
              <m:sty m:val="p"/>
            </m:rPr>
            <m:t>.</m:t>
          </m:r>
        </m:oMath>
      </m:oMathPara>
    </w:p>
    <w:p>
      <w:pPr>
        <w:numPr>
          <w:ilvl w:val="0"/>
          <w:numId w:val="1000"/>
        </w:numPr>
      </w:pPr>
      <w:r>
        <w:t xml:space="preserve">DCA therefore quantifies the clinical utility of a model across plausible decision thresholds relative to treating all or no patients.</w:t>
      </w:r>
    </w:p>
    <w:bookmarkEnd w:id="114"/>
    <w:bookmarkEnd w:id="115"/>
    <w:bookmarkStart w:id="117" w:name="X453f8534ffaf9a8d552d436828f2081c3f9f040"/>
    <w:p>
      <w:pPr>
        <w:pStyle w:val="2"/>
      </w:pPr>
      <w:r>
        <w:t xml:space="preserve">Experiment 1 (E1): Cross-Hospital Pulmonary Nodule Malignancy Prediction</w:t>
      </w:r>
    </w:p>
    <w:p>
      <w:pPr>
        <w:pStyle w:val="FirstParagraph"/>
      </w:pPr>
      <w:r>
        <w:t xml:space="preserve">Experiment 1 evaluates PANDA in a realistic cross-hospital deployment scenario</w:t>
      </w:r>
      <w:r>
        <w:t xml:space="preserve"> </w:t>
      </w:r>
      <w:r>
        <w:t xml:space="preserve">for pulmonary nodule malignancy prediction.</w:t>
      </w:r>
      <w:r>
        <w:t xml:space="preserve"> </w:t>
      </w:r>
      <w:r>
        <w:t xml:space="preserve">Structured clinical data from two cancer centers in China provide a labeled</w:t>
      </w:r>
      <w:r>
        <w:t xml:space="preserve"> </w:t>
      </w:r>
      <w:r>
        <w:t xml:space="preserve">source cohort (Cohort A,</w:t>
      </w:r>
      <w:r>
        <w:t xml:space="preserve"> </w:t>
      </w:r>
      <m:oMath>
        <m:sSub>
          <m:e>
            <m:r>
              <m:t>n</m:t>
            </m:r>
          </m:e>
          <m:sub>
            <m:r>
              <m:t>S</m:t>
            </m:r>
          </m:sub>
        </m:sSub>
        <m:r>
          <m:rPr>
            <m:sty m:val="p"/>
          </m:rPr>
          <m:t>=</m:t>
        </m:r>
        <m:r>
          <m:t>295</m:t>
        </m:r>
      </m:oMath>
      <w:r>
        <w:t xml:space="preserve">) and an external target cohort</w:t>
      </w:r>
      <w:r>
        <w:t xml:space="preserve"> </w:t>
      </w:r>
      <w:r>
        <w:t xml:space="preserve">(Cohort B,</w:t>
      </w:r>
      <w:r>
        <w:t xml:space="preserve"> </w:t>
      </w:r>
      <m:oMath>
        <m:r>
          <m:t>T</m:t>
        </m:r>
        <m:r>
          <m:t>s</m:t>
        </m:r>
        <m:r>
          <m:t>i</m:t>
        </m:r>
        <m:r>
          <m:t>z</m:t>
        </m:r>
        <m:r>
          <m:t>e</m:t>
        </m:r>
        <m:r>
          <m:rPr>
            <m:sty m:val="p"/>
          </m:rPr>
          <m:t>=</m:t>
        </m:r>
        <m:r>
          <m:t>190</m:t>
        </m:r>
      </m:oMath>
      <w:r>
        <w:t xml:space="preserve">).</w:t>
      </w:r>
      <w:r>
        <w:t xml:space="preserve"> </w:t>
      </w:r>
      <w:r>
        <w:t xml:space="preserve">Cohort A contains 63 structured features and Cohort B contains 58, reflecting</w:t>
      </w:r>
      <w:r>
        <w:t xml:space="preserve"> </w:t>
      </w:r>
      <w:r>
        <w:t xml:space="preserve">differences in local documentation and biomarker panels</w:t>
      </w:r>
      <w:r>
        <w:t xml:space="preserve"> </w:t>
      </w:r>
      <w:r>
        <w:t xml:space="preserve">(Table </w:t>
      </w:r>
      <w:hyperlink w:anchor="tbl:cohort_summary">
        <w:r>
          <w:rPr>
            <w:rStyle w:val="af"/>
          </w:rPr>
          <w:t xml:space="preserve">1</w:t>
        </w:r>
      </w:hyperlink>
      <w:r>
        <w:t xml:space="preserve">).</w:t>
      </w:r>
      <w:r>
        <w:t xml:space="preserve"> </w:t>
      </w:r>
      <w:r>
        <w:t xml:space="preserve">Both cohorts exhibit moderate class imbalance, with malignant nodules comprising</w:t>
      </w:r>
      <w:r>
        <w:t xml:space="preserve"> </w:t>
      </w:r>
      <w:r>
        <w:t xml:space="preserve">64.1% of patients in Cohort A and 65.8% in Cohort B, and key covariates such as</w:t>
      </w:r>
      <w:r>
        <w:t xml:space="preserve"> </w:t>
      </w:r>
      <w:r>
        <w:t xml:space="preserve">upper-lobe location, age, pulmonary function indices (DLCO, VC), and serum CEA</w:t>
      </w:r>
      <w:r>
        <w:t xml:space="preserve"> </w:t>
      </w:r>
      <w:r>
        <w:t xml:space="preserve">show distributional differences between the two hospitals.</w:t>
      </w:r>
      <w:r>
        <w:t xml:space="preserve"> </w:t>
      </w:r>
      <w:r>
        <w:t xml:space="preserve">These discrepancies capture the covariate shift that motivates domain adaptation</w:t>
      </w:r>
      <w:r>
        <w:t xml:space="preserve"> </w:t>
      </w:r>
      <w:r>
        <w:t xml:space="preserve">in this setting.</w:t>
      </w:r>
    </w:p>
    <w:bookmarkStart w:id="116" w:name="tbl:cohort_summary"/>
    <w:p>
      <w:pPr>
        <w:pStyle w:val="TableCaption"/>
      </w:pPr>
      <w:r>
        <w:t xml:space="preserve">Table 11: Training (Cohort A) and testing (Cohort B) cohorts.</w:t>
      </w:r>
    </w:p>
    <w:tbl>
      <w:tblPr>
        <w:tblStyle w:val="Table"/>
        <w:tblW w:type="auto" w:w="0"/>
        <w:tblLook w:firstRow="1" w:lastRow="0" w:firstColumn="0" w:lastColumn="0" w:noHBand="0" w:noVBand="0" w:val="0020"/>
        <w:tblCaption w:val="Table 11: Training (Cohort A) and testing (Cohort B) cohorts."/>
      </w:tblPr>
      <w:tblGrid>
        <w:gridCol w:w="2640"/>
        <w:gridCol w:w="2640"/>
        <w:gridCol w:w="2640"/>
      </w:tblGrid>
      <w:tr>
        <w:trPr>
          <w:tblHeader w:val="on"/>
        </w:trPr>
        <w:tc>
          <w:tcPr/>
          <w:p>
            <w:pPr>
              <w:pStyle w:val="Compact"/>
              <w:jc w:val="left"/>
            </w:pPr>
            <w:r>
              <w:rPr>
                <w:b/>
                <w:bCs/>
              </w:rPr>
              <w:t xml:space="preserve">Characteristic</w:t>
            </w:r>
          </w:p>
        </w:tc>
        <w:tc>
          <w:tcPr/>
          <w:p>
            <w:pPr>
              <w:pStyle w:val="Compact"/>
              <w:jc w:val="center"/>
            </w:pPr>
            <w:r>
              <w:rPr>
                <w:b/>
                <w:bCs/>
              </w:rPr>
              <w:t xml:space="preserve">Cohort A (n = 295)</w:t>
            </w:r>
          </w:p>
        </w:tc>
        <w:tc>
          <w:tcPr/>
          <w:p>
            <w:pPr>
              <w:pStyle w:val="Compact"/>
              <w:jc w:val="center"/>
            </w:pPr>
            <w:r>
              <w:rPr>
                <w:b/>
                <w:bCs/>
              </w:rPr>
              <w:t xml:space="preserve">Cohort B (n = 190)</w:t>
            </w:r>
          </w:p>
        </w:tc>
      </w:tr>
      <w:tr>
        <w:tc>
          <w:tcPr/>
          <w:p>
            <w:pPr>
              <w:pStyle w:val="Compact"/>
              <w:jc w:val="left"/>
            </w:pPr>
            <w:r>
              <w:t xml:space="preserve">Upper lobe</w:t>
            </w:r>
          </w:p>
        </w:tc>
        <w:tc>
          <w:tcPr/>
          <w:p>
            <w:pPr>
              <w:pStyle w:val="Compact"/>
            </w:pPr>
          </w:p>
        </w:tc>
        <w:tc>
          <w:tcPr/>
          <w:p>
            <w:pPr>
              <w:pStyle w:val="Compact"/>
            </w:pPr>
          </w:p>
        </w:tc>
      </w:tr>
      <w:tr>
        <w:tc>
          <w:tcPr/>
          <w:p>
            <w:pPr>
              <w:pStyle w:val="Compact"/>
              <w:jc w:val="left"/>
            </w:pPr>
            <w:r>
              <w:t xml:space="preserve">Yes/Positive</w:t>
            </w:r>
          </w:p>
        </w:tc>
        <w:tc>
          <w:tcPr/>
          <w:p>
            <w:pPr>
              <w:pStyle w:val="Compact"/>
              <w:jc w:val="center"/>
            </w:pPr>
            <w:r>
              <w:t xml:space="preserve">121 (41.0%)</w:t>
            </w:r>
          </w:p>
        </w:tc>
        <w:tc>
          <w:tcPr/>
          <w:p>
            <w:pPr>
              <w:pStyle w:val="Compact"/>
              <w:jc w:val="center"/>
            </w:pPr>
            <w:r>
              <w:t xml:space="preserve">98 (51.6%)</w:t>
            </w:r>
          </w:p>
        </w:tc>
      </w:tr>
      <w:tr>
        <w:tc>
          <w:tcPr/>
          <w:p>
            <w:pPr>
              <w:pStyle w:val="Compact"/>
              <w:jc w:val="left"/>
            </w:pPr>
            <w:r>
              <w:t xml:space="preserve">No/Negative</w:t>
            </w:r>
          </w:p>
        </w:tc>
        <w:tc>
          <w:tcPr/>
          <w:p>
            <w:pPr>
              <w:pStyle w:val="Compact"/>
              <w:jc w:val="center"/>
            </w:pPr>
            <w:r>
              <w:t xml:space="preserve">174 (59.0%)</w:t>
            </w:r>
          </w:p>
        </w:tc>
        <w:tc>
          <w:tcPr/>
          <w:p>
            <w:pPr>
              <w:pStyle w:val="Compact"/>
              <w:jc w:val="center"/>
            </w:pPr>
            <w:r>
              <w:t xml:space="preserve">92 (48.4%)</w:t>
            </w:r>
          </w:p>
        </w:tc>
      </w:tr>
      <w:tr>
        <w:tc>
          <w:tcPr/>
          <w:p>
            <w:pPr>
              <w:pStyle w:val="Compact"/>
              <w:jc w:val="left"/>
            </w:pPr>
            <w:r>
              <w:t xml:space="preserve">Age (years)</w:t>
            </w:r>
          </w:p>
        </w:tc>
        <w:tc>
          <w:tcPr/>
          <w:p>
            <w:pPr>
              <w:pStyle w:val="Compact"/>
              <w:jc w:val="center"/>
            </w:pPr>
            <w:r>
              <w:t xml:space="preserve">56.95</w:t>
            </w:r>
            <w:r>
              <w:t xml:space="preserve"> </w:t>
            </w:r>
            <m:oMath>
              <m:r>
                <m:rPr>
                  <m:sty m:val="p"/>
                </m:rPr>
                <m:t>±</m:t>
              </m:r>
            </m:oMath>
            <w:r>
              <w:t xml:space="preserve"> </w:t>
            </w:r>
            <w:r>
              <w:t xml:space="preserve">11.03</w:t>
            </w:r>
          </w:p>
        </w:tc>
        <w:tc>
          <w:tcPr/>
          <w:p>
            <w:pPr>
              <w:pStyle w:val="Compact"/>
              <w:jc w:val="center"/>
            </w:pPr>
            <w:r>
              <w:t xml:space="preserve">58.26</w:t>
            </w:r>
            <w:r>
              <w:t xml:space="preserve"> </w:t>
            </w:r>
            <m:oMath>
              <m:r>
                <m:rPr>
                  <m:sty m:val="p"/>
                </m:rPr>
                <m:t>±</m:t>
              </m:r>
            </m:oMath>
            <w:r>
              <w:t xml:space="preserve"> </w:t>
            </w:r>
            <w:r>
              <w:t xml:space="preserve">9.57</w:t>
            </w:r>
          </w:p>
        </w:tc>
      </w:tr>
      <w:tr>
        <w:tc>
          <w:tcPr/>
          <w:p>
            <w:pPr>
              <w:pStyle w:val="Compact"/>
              <w:jc w:val="left"/>
            </w:pPr>
            <w:r>
              <w:t xml:space="preserve">Lobe location (upper)</w:t>
            </w:r>
          </w:p>
        </w:tc>
        <w:tc>
          <w:tcPr/>
          <w:p>
            <w:pPr>
              <w:pStyle w:val="Compact"/>
            </w:pPr>
          </w:p>
        </w:tc>
        <w:tc>
          <w:tcPr/>
          <w:p>
            <w:pPr>
              <w:pStyle w:val="Compact"/>
            </w:pPr>
          </w:p>
        </w:tc>
      </w:tr>
      <w:tr>
        <w:tc>
          <w:tcPr/>
          <w:p>
            <w:pPr>
              <w:pStyle w:val="Compact"/>
              <w:jc w:val="left"/>
            </w:pPr>
            <w:r>
              <w:t xml:space="preserve">Category 1</w:t>
            </w:r>
          </w:p>
        </w:tc>
        <w:tc>
          <w:tcPr/>
          <w:p>
            <w:pPr>
              <w:pStyle w:val="Compact"/>
              <w:jc w:val="center"/>
            </w:pPr>
            <w:r>
              <w:t xml:space="preserve">161 (54.6%)</w:t>
            </w:r>
          </w:p>
        </w:tc>
        <w:tc>
          <w:tcPr/>
          <w:p>
            <w:pPr>
              <w:pStyle w:val="Compact"/>
              <w:jc w:val="center"/>
            </w:pPr>
            <w:r>
              <w:t xml:space="preserve">98 (51.6%)</w:t>
            </w:r>
          </w:p>
        </w:tc>
      </w:tr>
      <w:tr>
        <w:tc>
          <w:tcPr/>
          <w:p>
            <w:pPr>
              <w:pStyle w:val="Compact"/>
              <w:jc w:val="left"/>
            </w:pPr>
            <w:r>
              <w:t xml:space="preserve">Category 2</w:t>
            </w:r>
          </w:p>
        </w:tc>
        <w:tc>
          <w:tcPr/>
          <w:p>
            <w:pPr>
              <w:pStyle w:val="Compact"/>
              <w:jc w:val="center"/>
            </w:pPr>
            <w:r>
              <w:t xml:space="preserve">29 (9.8%)</w:t>
            </w:r>
          </w:p>
        </w:tc>
        <w:tc>
          <w:tcPr/>
          <w:p>
            <w:pPr>
              <w:pStyle w:val="Compact"/>
              <w:jc w:val="center"/>
            </w:pPr>
            <w:r>
              <w:t xml:space="preserve">18 (9.5%)</w:t>
            </w:r>
          </w:p>
        </w:tc>
      </w:tr>
      <w:tr>
        <w:tc>
          <w:tcPr/>
          <w:p>
            <w:pPr>
              <w:pStyle w:val="Compact"/>
              <w:jc w:val="left"/>
            </w:pPr>
            <w:r>
              <w:t xml:space="preserve">Category 3</w:t>
            </w:r>
          </w:p>
        </w:tc>
        <w:tc>
          <w:tcPr/>
          <w:p>
            <w:pPr>
              <w:pStyle w:val="Compact"/>
              <w:jc w:val="center"/>
            </w:pPr>
            <w:r>
              <w:t xml:space="preserve">105 (35.6%)</w:t>
            </w:r>
          </w:p>
        </w:tc>
        <w:tc>
          <w:tcPr/>
          <w:p>
            <w:pPr>
              <w:pStyle w:val="Compact"/>
              <w:jc w:val="center"/>
            </w:pPr>
            <w:r>
              <w:t xml:space="preserve">74 (38.9%)</w:t>
            </w:r>
          </w:p>
        </w:tc>
      </w:tr>
      <w:tr>
        <w:tc>
          <w:tcPr/>
          <w:p>
            <w:pPr>
              <w:pStyle w:val="Compact"/>
              <w:jc w:val="left"/>
            </w:pPr>
            <w:r>
              <w:t xml:space="preserve">DLCO1</w:t>
            </w:r>
          </w:p>
        </w:tc>
        <w:tc>
          <w:tcPr/>
          <w:p>
            <w:pPr>
              <w:pStyle w:val="Compact"/>
              <w:jc w:val="center"/>
            </w:pPr>
            <w:r>
              <w:t xml:space="preserve">5.90</w:t>
            </w:r>
            <w:r>
              <w:t xml:space="preserve"> </w:t>
            </w:r>
            <m:oMath>
              <m:r>
                <m:rPr>
                  <m:sty m:val="p"/>
                </m:rPr>
                <m:t>±</m:t>
              </m:r>
            </m:oMath>
            <w:r>
              <w:t xml:space="preserve"> </w:t>
            </w:r>
            <w:r>
              <w:t xml:space="preserve">2.89</w:t>
            </w:r>
          </w:p>
        </w:tc>
        <w:tc>
          <w:tcPr/>
          <w:p>
            <w:pPr>
              <w:pStyle w:val="Compact"/>
              <w:jc w:val="center"/>
            </w:pPr>
            <w:r>
              <w:t xml:space="preserve">6.31</w:t>
            </w:r>
            <w:r>
              <w:t xml:space="preserve"> </w:t>
            </w:r>
            <m:oMath>
              <m:r>
                <m:rPr>
                  <m:sty m:val="p"/>
                </m:rPr>
                <m:t>±</m:t>
              </m:r>
            </m:oMath>
            <w:r>
              <w:t xml:space="preserve"> </w:t>
            </w:r>
            <w:r>
              <w:t xml:space="preserve">1.55</w:t>
            </w:r>
          </w:p>
        </w:tc>
      </w:tr>
      <w:tr>
        <w:tc>
          <w:tcPr/>
          <w:p>
            <w:pPr>
              <w:pStyle w:val="Compact"/>
              <w:jc w:val="left"/>
            </w:pPr>
            <w:r>
              <w:t xml:space="preserve">VC</w:t>
            </w:r>
          </w:p>
        </w:tc>
        <w:tc>
          <w:tcPr/>
          <w:p>
            <w:pPr>
              <w:pStyle w:val="Compact"/>
              <w:jc w:val="center"/>
            </w:pPr>
            <w:r>
              <w:t xml:space="preserve">3.33</w:t>
            </w:r>
            <w:r>
              <w:t xml:space="preserve"> </w:t>
            </w:r>
            <m:oMath>
              <m:r>
                <m:rPr>
                  <m:sty m:val="p"/>
                </m:rPr>
                <m:t>±</m:t>
              </m:r>
            </m:oMath>
            <w:r>
              <w:t xml:space="preserve"> </w:t>
            </w:r>
            <w:r>
              <w:t xml:space="preserve">0.80</w:t>
            </w:r>
          </w:p>
        </w:tc>
        <w:tc>
          <w:tcPr/>
          <w:p>
            <w:pPr>
              <w:pStyle w:val="Compact"/>
              <w:jc w:val="center"/>
            </w:pPr>
            <w:r>
              <w:t xml:space="preserve">2.92</w:t>
            </w:r>
            <w:r>
              <w:t xml:space="preserve"> </w:t>
            </w:r>
            <m:oMath>
              <m:r>
                <m:rPr>
                  <m:sty m:val="p"/>
                </m:rPr>
                <m:t>±</m:t>
              </m:r>
            </m:oMath>
            <w:r>
              <w:t xml:space="preserve"> </w:t>
            </w:r>
            <w:r>
              <w:t xml:space="preserve">0.73</w:t>
            </w:r>
          </w:p>
        </w:tc>
      </w:tr>
      <w:tr>
        <w:tc>
          <w:tcPr/>
          <w:p>
            <w:pPr>
              <w:pStyle w:val="Compact"/>
              <w:jc w:val="left"/>
            </w:pPr>
            <w:r>
              <w:t xml:space="preserve">CEA</w:t>
            </w:r>
          </w:p>
        </w:tc>
        <w:tc>
          <w:tcPr/>
          <w:p>
            <w:pPr>
              <w:pStyle w:val="Compact"/>
              <w:jc w:val="center"/>
            </w:pPr>
            <w:r>
              <w:t xml:space="preserve">4.23</w:t>
            </w:r>
            <w:r>
              <w:t xml:space="preserve"> </w:t>
            </w:r>
            <m:oMath>
              <m:r>
                <m:rPr>
                  <m:sty m:val="p"/>
                </m:rPr>
                <m:t>±</m:t>
              </m:r>
            </m:oMath>
            <w:r>
              <w:t xml:space="preserve"> </w:t>
            </w:r>
            <w:r>
              <w:t xml:space="preserve">6.90</w:t>
            </w:r>
          </w:p>
        </w:tc>
        <w:tc>
          <w:tcPr/>
          <w:p>
            <w:pPr>
              <w:pStyle w:val="Compact"/>
              <w:jc w:val="center"/>
            </w:pPr>
            <w:r>
              <w:t xml:space="preserve">4.15</w:t>
            </w:r>
            <w:r>
              <w:t xml:space="preserve"> </w:t>
            </w:r>
            <m:oMath>
              <m:r>
                <m:rPr>
                  <m:sty m:val="p"/>
                </m:rPr>
                <m:t>±</m:t>
              </m:r>
            </m:oMath>
            <w:r>
              <w:t xml:space="preserve"> </w:t>
            </w:r>
            <w:r>
              <w:t xml:space="preserve">10.61</w:t>
            </w:r>
          </w:p>
        </w:tc>
      </w:tr>
      <w:tr>
        <w:tc>
          <w:tcPr/>
          <w:p>
            <w:pPr>
              <w:pStyle w:val="Compact"/>
              <w:jc w:val="left"/>
            </w:pPr>
            <w:r>
              <w:t xml:space="preserve">Outcome (Malignant)</w:t>
            </w:r>
          </w:p>
        </w:tc>
        <w:tc>
          <w:tcPr/>
          <w:p>
            <w:pPr>
              <w:pStyle w:val="Compact"/>
            </w:pPr>
          </w:p>
        </w:tc>
        <w:tc>
          <w:tcPr/>
          <w:p>
            <w:pPr>
              <w:pStyle w:val="Compact"/>
            </w:pPr>
          </w:p>
        </w:tc>
      </w:tr>
      <w:tr>
        <w:tc>
          <w:tcPr/>
          <w:p>
            <w:pPr>
              <w:pStyle w:val="Compact"/>
              <w:jc w:val="left"/>
            </w:pPr>
            <w:r>
              <w:t xml:space="preserve">Yes/Positive</w:t>
            </w:r>
          </w:p>
        </w:tc>
        <w:tc>
          <w:tcPr/>
          <w:p>
            <w:pPr>
              <w:pStyle w:val="Compact"/>
              <w:jc w:val="center"/>
            </w:pPr>
            <w:r>
              <w:t xml:space="preserve">189 (64.1%)</w:t>
            </w:r>
          </w:p>
        </w:tc>
        <w:tc>
          <w:tcPr/>
          <w:p>
            <w:pPr>
              <w:pStyle w:val="Compact"/>
              <w:jc w:val="center"/>
            </w:pPr>
            <w:r>
              <w:t xml:space="preserve">125 (65.8%)</w:t>
            </w:r>
          </w:p>
        </w:tc>
      </w:tr>
      <w:tr>
        <w:tc>
          <w:tcPr/>
          <w:p>
            <w:pPr>
              <w:pStyle w:val="Compact"/>
              <w:jc w:val="left"/>
            </w:pPr>
            <w:r>
              <w:t xml:space="preserve">No/Negative</w:t>
            </w:r>
          </w:p>
        </w:tc>
        <w:tc>
          <w:tcPr/>
          <w:p>
            <w:pPr>
              <w:pStyle w:val="Compact"/>
              <w:jc w:val="center"/>
            </w:pPr>
            <w:r>
              <w:t xml:space="preserve">106 (35.9%)</w:t>
            </w:r>
          </w:p>
        </w:tc>
        <w:tc>
          <w:tcPr/>
          <w:p>
            <w:pPr>
              <w:pStyle w:val="Compact"/>
              <w:jc w:val="center"/>
            </w:pPr>
            <w:r>
              <w:t xml:space="preserve">65 (34.2%)</w:t>
            </w:r>
          </w:p>
        </w:tc>
      </w:tr>
    </w:tbl>
    <w:bookmarkEnd w:id="116"/>
    <w:bookmarkEnd w:id="117"/>
    <w:bookmarkStart w:id="126" w:name="Xadb85e8d666dd873a97c50bfe977e667338825c"/>
    <w:p>
      <w:pPr>
        <w:pStyle w:val="2"/>
      </w:pPr>
      <w:r>
        <w:t xml:space="preserve">E1: Internal and Cross-Hospital Generalization</w:t>
      </w:r>
    </w:p>
    <w:bookmarkStart w:id="123" w:name="source-and-target-domain-performance"/>
    <w:p>
      <w:pPr>
        <w:pStyle w:val="3"/>
      </w:pPr>
      <w:r>
        <w:t xml:space="preserve">Source and Target Domain Performance</w:t>
      </w:r>
    </w:p>
    <w:p>
      <w:pPr>
        <w:pStyle w:val="FirstParagraph"/>
      </w:pPr>
      <w:r>
        <w:t xml:space="preserve">Figure </w:t>
      </w:r>
      <w:hyperlink w:anchor="fig:performance-heatmaps">
        <w:r>
          <w:rPr>
            <w:rStyle w:val="af"/>
          </w:rPr>
          <w:t xml:space="preserve">1</w:t>
        </w:r>
      </w:hyperlink>
      <w:r>
        <w:t xml:space="preserve"> </w:t>
      </w:r>
      <w:r>
        <w:t xml:space="preserve">summarizes relative performance trends</w:t>
      </w:r>
      <w:r>
        <w:t xml:space="preserve"> </w:t>
      </w:r>
      <w:r>
        <w:t xml:space="preserve">across methods, and Table </w:t>
      </w:r>
      <w:hyperlink w:anchor="tbl:main_results_table">
        <w:r>
          <w:rPr>
            <w:rStyle w:val="af"/>
          </w:rPr>
          <w:t xml:space="preserve">2</w:t>
        </w:r>
      </w:hyperlink>
      <w:r>
        <w:t xml:space="preserve"> </w:t>
      </w:r>
      <w:r>
        <w:t xml:space="preserve">reports the corresponding</w:t>
      </w:r>
      <w:r>
        <w:t xml:space="preserve"> </w:t>
      </w:r>
      <w:r>
        <w:t xml:space="preserve">numerical metrics.</w:t>
      </w:r>
      <w:r>
        <w:t xml:space="preserve"> </w:t>
      </w:r>
      <w:r>
        <w:t xml:space="preserve">On the source domain (10-fold cross-validation on Cohort A), PANDA (TabPFN) achieves the</w:t>
      </w:r>
      <w:r>
        <w:t xml:space="preserve"> </w:t>
      </w:r>
      <w:r>
        <w:t xml:space="preserve">highest of 0.8287, demonstrating the superior performance of the tabular</w:t>
      </w:r>
      <w:r>
        <w:t xml:space="preserve"> </w:t>
      </w:r>
      <w:r>
        <w:t xml:space="preserve">foundation model on small, heterogeneous medical datasets.</w:t>
      </w:r>
      <w:r>
        <w:t xml:space="preserve"> </w:t>
      </w:r>
      <w:r>
        <w:t xml:space="preserve">LASSO LR and Random Forest follow closely, with values of 0.7631 and 0.7515,</w:t>
      </w:r>
      <w:r>
        <w:t xml:space="preserve"> </w:t>
      </w:r>
      <w:r>
        <w:t xml:space="preserve">respectively.</w:t>
      </w:r>
      <w:r>
        <w:t xml:space="preserve"> </w:t>
      </w:r>
      <w:r>
        <w:t xml:space="preserve">XGBoost and GBDT show competitive performance ( and 0.7212), while</w:t>
      </w:r>
      <w:r>
        <w:t xml:space="preserve"> </w:t>
      </w:r>
      <w:r>
        <w:t xml:space="preserve">traditional clinical scores (Mayo, PKUPH) and classical machine learning baselines</w:t>
      </w:r>
      <w:r>
        <w:t xml:space="preserve"> </w:t>
      </w:r>
      <w:r>
        <w:t xml:space="preserve">exhibit lower discrimination.</w:t>
      </w:r>
      <w:r>
        <w:t xml:space="preserve"> </w:t>
      </w:r>
      <w:r>
        <w:t xml:space="preserve">All source-domain experimental results are reproducible using the provided</w:t>
      </w:r>
      <w:r>
        <w:t xml:space="preserve"> </w:t>
      </w:r>
      <w:r>
        <w:t xml:space="preserve">codebase and configuration scripts.</w:t>
      </w:r>
    </w:p>
    <w:p>
      <w:pPr>
        <w:pStyle w:val="a0"/>
      </w:pPr>
      <w:r>
        <w:t xml:space="preserve">On the external target domain (Cohort B), the benefits of unsupervised domain</w:t>
      </w:r>
      <w:r>
        <w:t xml:space="preserve"> </w:t>
      </w:r>
      <w:r>
        <w:t xml:space="preserve">adaptation become evident.</w:t>
      </w:r>
      <w:r>
        <w:t xml:space="preserve"> </w:t>
      </w:r>
      <w:r>
        <w:t xml:space="preserve">The TCA-enhanced PANDA model attains the highest  of 0.7046 and an</w:t>
      </w:r>
      <w:r>
        <w:t xml:space="preserve"> </w:t>
      </w:r>
      <w:r>
        <w:t xml:space="preserve">exceptionally high  of 0.9440, indicating strong sensitivity for clinical</w:t>
      </w:r>
      <w:r>
        <w:t xml:space="preserve"> </w:t>
      </w:r>
      <w:r>
        <w:t xml:space="preserve">screening applications.</w:t>
      </w:r>
      <w:r>
        <w:t xml:space="preserve"> </w:t>
      </w:r>
      <w:r>
        <w:t xml:space="preserve">PANDA_NoUDA follows closely with of 0.6980, demonstrating the inherent</w:t>
      </w:r>
      <w:r>
        <w:t xml:space="preserve"> </w:t>
      </w:r>
      <w:r>
        <w:t xml:space="preserve">transferability of the tabular foundation model.</w:t>
      </w:r>
      <w:r>
        <w:t xml:space="preserve"> </w:t>
      </w:r>
      <w:r>
        <w:t xml:space="preserve">In contrast, traditional machine learning methods experience substantial</w:t>
      </w:r>
      <w:r>
        <w:t xml:space="preserve"> </w:t>
      </w:r>
      <w:r>
        <w:t xml:space="preserve">performance drops under domain shift, with Random Forest declining to</w:t>
      </w:r>
      <w:r>
        <w:t xml:space="preserve"> </w:t>
      </w:r>
      <w:r>
        <w:t xml:space="preserve">and tree ensembles dropping below 0.600.</w:t>
      </w:r>
      <w:r>
        <w:t xml:space="preserve"> </w:t>
      </w:r>
      <w:r>
        <w:t xml:space="preserve">The clinical scores continue to show poor transportability across institutions.</w:t>
      </w:r>
    </w:p>
    <w:bookmarkStart w:id="118" w:name="tbl:main_results_table"/>
    <w:p>
      <w:pPr>
        <w:pStyle w:val="TableCaption"/>
      </w:pPr>
      <w:r>
        <w:t xml:space="preserve">Table 12: Comprehensive performance comparison. Source results are from 10-fold cross-validation; target results are from external validation on Cohort B. Best values are bolded.</w:t>
      </w:r>
    </w:p>
    <w:tbl>
      <w:tblPr>
        <w:tblStyle w:val="Table"/>
        <w:tblW w:type="auto" w:w="0"/>
        <w:tblLook w:firstRow="1" w:lastRow="0" w:firstColumn="0" w:lastColumn="0" w:noHBand="0" w:noVBand="0" w:val="0020"/>
        <w:tblCaption w:val="Table 12: Comprehensive performance comparison. Source results are from 10-fold cross-validation; target results are from external validation on Cohort B. Best values are bolded."/>
      </w:tblPr>
      <w:tblGrid>
        <w:gridCol w:w="1320"/>
        <w:gridCol w:w="1320"/>
        <w:gridCol w:w="1320"/>
        <w:gridCol w:w="1320"/>
        <w:gridCol w:w="1320"/>
        <w:gridCol w:w="1320"/>
      </w:tblGrid>
      <w:tr>
        <w:trPr>
          <w:tblHeader w:val="on"/>
        </w:trPr>
        <w:tc>
          <w:tcPr/>
          <w:p>
            <w:pPr>
              <w:pStyle w:val="Compact"/>
              <w:jc w:val="left"/>
            </w:pPr>
            <w:r>
              <w:rPr>
                <w:b/>
                <w:bCs/>
              </w:rPr>
              <w:t xml:space="preserve">Model</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gridSpan w:val="6"/>
          </w:tcPr>
          <w:p>
            <w:pPr>
              <w:pStyle w:val="Compact"/>
              <w:jc w:val="left"/>
            </w:pPr>
            <w:r>
              <w:rPr>
                <w:i/>
                <w:iCs/>
              </w:rPr>
              <w:t xml:space="preserve">Source Domain (Internal CV)</w:t>
            </w:r>
          </w:p>
        </w:tc>
      </w:tr>
      <w:tr>
        <w:tc>
          <w:tcPr/>
          <w:p>
            <w:pPr>
              <w:pStyle w:val="Compact"/>
              <w:jc w:val="left"/>
            </w:pPr>
            <w:r>
              <w:rPr>
                <w:b/>
                <w:bCs/>
              </w:rPr>
              <w:t xml:space="preserve">PANDA (TabPFN)</w:t>
            </w:r>
          </w:p>
        </w:tc>
        <w:tc>
          <w:tcPr/>
          <w:p>
            <w:pPr>
              <w:pStyle w:val="Compact"/>
              <w:jc w:val="center"/>
            </w:pPr>
            <w:r>
              <w:rPr>
                <w:b/>
                <w:bCs/>
              </w:rPr>
              <w:t xml:space="preserve">0.8287</w:t>
            </w:r>
          </w:p>
        </w:tc>
        <w:tc>
          <w:tcPr/>
          <w:p>
            <w:pPr>
              <w:pStyle w:val="Compact"/>
              <w:jc w:val="center"/>
            </w:pPr>
            <w:r>
              <w:t xml:space="preserve">0.7460</w:t>
            </w:r>
          </w:p>
        </w:tc>
        <w:tc>
          <w:tcPr/>
          <w:p>
            <w:pPr>
              <w:pStyle w:val="Compact"/>
              <w:jc w:val="center"/>
            </w:pPr>
            <w:r>
              <w:rPr>
                <w:b/>
                <w:bCs/>
              </w:rPr>
              <w:t xml:space="preserve">0.8102</w:t>
            </w:r>
          </w:p>
        </w:tc>
        <w:tc>
          <w:tcPr/>
          <w:p>
            <w:pPr>
              <w:pStyle w:val="Compact"/>
              <w:jc w:val="center"/>
            </w:pPr>
            <w:r>
              <w:t xml:space="preserve">0.7864</w:t>
            </w:r>
          </w:p>
        </w:tc>
        <w:tc>
          <w:tcPr/>
          <w:p>
            <w:pPr>
              <w:pStyle w:val="Compact"/>
              <w:jc w:val="center"/>
            </w:pPr>
            <w:r>
              <w:t xml:space="preserve">0.8462</w:t>
            </w:r>
          </w:p>
        </w:tc>
      </w:tr>
      <w:tr>
        <w:tc>
          <w:tcPr/>
          <w:p>
            <w:pPr>
              <w:pStyle w:val="Compact"/>
              <w:jc w:val="left"/>
            </w:pPr>
            <w:r>
              <w:t xml:space="preserve">LASSO LR</w:t>
            </w:r>
          </w:p>
        </w:tc>
        <w:tc>
          <w:tcPr/>
          <w:p>
            <w:pPr>
              <w:pStyle w:val="Compact"/>
              <w:jc w:val="center"/>
            </w:pPr>
            <w:r>
              <w:t xml:space="preserve">0.7631</w:t>
            </w:r>
          </w:p>
        </w:tc>
        <w:tc>
          <w:tcPr/>
          <w:p>
            <w:pPr>
              <w:pStyle w:val="Compact"/>
              <w:jc w:val="center"/>
            </w:pPr>
            <w:r>
              <w:t xml:space="preserve">0.7224</w:t>
            </w:r>
          </w:p>
        </w:tc>
        <w:tc>
          <w:tcPr/>
          <w:p>
            <w:pPr>
              <w:pStyle w:val="Compact"/>
              <w:jc w:val="center"/>
            </w:pPr>
            <w:r>
              <w:t xml:space="preserve">0.8101</w:t>
            </w:r>
          </w:p>
        </w:tc>
        <w:tc>
          <w:tcPr/>
          <w:p>
            <w:pPr>
              <w:pStyle w:val="Compact"/>
              <w:jc w:val="center"/>
            </w:pPr>
            <w:r>
              <w:t xml:space="preserve">0.7227</w:t>
            </w:r>
          </w:p>
        </w:tc>
        <w:tc>
          <w:tcPr/>
          <w:p>
            <w:pPr>
              <w:pStyle w:val="Compact"/>
              <w:jc w:val="center"/>
            </w:pPr>
            <w:r>
              <w:rPr>
                <w:b/>
                <w:bCs/>
              </w:rPr>
              <w:t xml:space="preserve">0.9254</w:t>
            </w:r>
          </w:p>
        </w:tc>
      </w:tr>
      <w:tr>
        <w:tc>
          <w:tcPr/>
          <w:p>
            <w:pPr>
              <w:pStyle w:val="Compact"/>
              <w:jc w:val="left"/>
            </w:pPr>
            <w:r>
              <w:t xml:space="preserve">Random Forest</w:t>
            </w:r>
          </w:p>
        </w:tc>
        <w:tc>
          <w:tcPr/>
          <w:p>
            <w:pPr>
              <w:pStyle w:val="Compact"/>
              <w:jc w:val="center"/>
            </w:pPr>
            <w:r>
              <w:t xml:space="preserve">0.7515</w:t>
            </w:r>
          </w:p>
        </w:tc>
        <w:tc>
          <w:tcPr/>
          <w:p>
            <w:pPr>
              <w:pStyle w:val="Compact"/>
              <w:jc w:val="center"/>
            </w:pPr>
            <w:r>
              <w:t xml:space="preserve">0.6983</w:t>
            </w:r>
          </w:p>
        </w:tc>
        <w:tc>
          <w:tcPr/>
          <w:p>
            <w:pPr>
              <w:pStyle w:val="Compact"/>
              <w:jc w:val="center"/>
            </w:pPr>
            <w:r>
              <w:t xml:space="preserve">0.7792</w:t>
            </w:r>
          </w:p>
        </w:tc>
        <w:tc>
          <w:tcPr/>
          <w:p>
            <w:pPr>
              <w:pStyle w:val="Compact"/>
              <w:jc w:val="center"/>
            </w:pPr>
            <w:r>
              <w:t xml:space="preserve">0.7351</w:t>
            </w:r>
          </w:p>
        </w:tc>
        <w:tc>
          <w:tcPr/>
          <w:p>
            <w:pPr>
              <w:pStyle w:val="Compact"/>
              <w:jc w:val="center"/>
            </w:pPr>
            <w:r>
              <w:t xml:space="preserve">0.8415</w:t>
            </w:r>
          </w:p>
        </w:tc>
      </w:tr>
      <w:tr>
        <w:tc>
          <w:tcPr/>
          <w:p>
            <w:pPr>
              <w:pStyle w:val="Compact"/>
              <w:jc w:val="left"/>
            </w:pPr>
            <w:r>
              <w:t xml:space="preserve">XGBoost</w:t>
            </w:r>
          </w:p>
        </w:tc>
        <w:tc>
          <w:tcPr/>
          <w:p>
            <w:pPr>
              <w:pStyle w:val="Compact"/>
              <w:jc w:val="center"/>
            </w:pPr>
            <w:r>
              <w:t xml:space="preserve">0.7416</w:t>
            </w:r>
          </w:p>
        </w:tc>
        <w:tc>
          <w:tcPr/>
          <w:p>
            <w:pPr>
              <w:pStyle w:val="Compact"/>
              <w:jc w:val="center"/>
            </w:pPr>
            <w:r>
              <w:t xml:space="preserve">0.6778</w:t>
            </w:r>
          </w:p>
        </w:tc>
        <w:tc>
          <w:tcPr/>
          <w:p>
            <w:pPr>
              <w:pStyle w:val="Compact"/>
              <w:jc w:val="center"/>
            </w:pPr>
            <w:r>
              <w:t xml:space="preserve">0.7520</w:t>
            </w:r>
          </w:p>
        </w:tc>
        <w:tc>
          <w:tcPr/>
          <w:p>
            <w:pPr>
              <w:pStyle w:val="Compact"/>
              <w:jc w:val="center"/>
            </w:pPr>
            <w:r>
              <w:t xml:space="preserve">0.7325</w:t>
            </w:r>
          </w:p>
        </w:tc>
        <w:tc>
          <w:tcPr/>
          <w:p>
            <w:pPr>
              <w:pStyle w:val="Compact"/>
              <w:jc w:val="center"/>
            </w:pPr>
            <w:r>
              <w:t xml:space="preserve">0.7871</w:t>
            </w:r>
          </w:p>
        </w:tc>
      </w:tr>
      <w:tr>
        <w:tc>
          <w:tcPr/>
          <w:p>
            <w:pPr>
              <w:pStyle w:val="Compact"/>
              <w:jc w:val="left"/>
            </w:pPr>
            <w:r>
              <w:t xml:space="preserve">GBDT</w:t>
            </w:r>
          </w:p>
        </w:tc>
        <w:tc>
          <w:tcPr/>
          <w:p>
            <w:pPr>
              <w:pStyle w:val="Compact"/>
              <w:jc w:val="center"/>
            </w:pPr>
            <w:r>
              <w:t xml:space="preserve">0.7212</w:t>
            </w:r>
          </w:p>
        </w:tc>
        <w:tc>
          <w:tcPr/>
          <w:p>
            <w:pPr>
              <w:pStyle w:val="Compact"/>
              <w:jc w:val="center"/>
            </w:pPr>
            <w:r>
              <w:t xml:space="preserve">0.6911</w:t>
            </w:r>
          </w:p>
        </w:tc>
        <w:tc>
          <w:tcPr/>
          <w:p>
            <w:pPr>
              <w:pStyle w:val="Compact"/>
              <w:jc w:val="center"/>
            </w:pPr>
            <w:r>
              <w:t xml:space="preserve">0.7690</w:t>
            </w:r>
          </w:p>
        </w:tc>
        <w:tc>
          <w:tcPr/>
          <w:p>
            <w:pPr>
              <w:pStyle w:val="Compact"/>
              <w:jc w:val="center"/>
            </w:pPr>
            <w:r>
              <w:t xml:space="preserve">0.7394</w:t>
            </w:r>
          </w:p>
        </w:tc>
        <w:tc>
          <w:tcPr/>
          <w:p>
            <w:pPr>
              <w:pStyle w:val="Compact"/>
              <w:jc w:val="center"/>
            </w:pPr>
            <w:r>
              <w:t xml:space="preserve">0.8140</w:t>
            </w:r>
          </w:p>
        </w:tc>
      </w:tr>
      <w:tr>
        <w:tc>
          <w:tcPr/>
          <w:p>
            <w:pPr>
              <w:pStyle w:val="Compact"/>
              <w:jc w:val="left"/>
            </w:pPr>
            <w:r>
              <w:t xml:space="preserve">SVM</w:t>
            </w:r>
          </w:p>
        </w:tc>
        <w:tc>
          <w:tcPr/>
          <w:p>
            <w:pPr>
              <w:pStyle w:val="Compact"/>
              <w:jc w:val="center"/>
            </w:pPr>
            <w:r>
              <w:t xml:space="preserve">0.7175</w:t>
            </w:r>
          </w:p>
        </w:tc>
        <w:tc>
          <w:tcPr/>
          <w:p>
            <w:pPr>
              <w:pStyle w:val="Compact"/>
              <w:jc w:val="center"/>
            </w:pPr>
            <w:r>
              <w:t xml:space="preserve">0.6645</w:t>
            </w:r>
          </w:p>
        </w:tc>
        <w:tc>
          <w:tcPr/>
          <w:p>
            <w:pPr>
              <w:pStyle w:val="Compact"/>
              <w:jc w:val="center"/>
            </w:pPr>
            <w:r>
              <w:t xml:space="preserve">0.7197</w:t>
            </w:r>
          </w:p>
        </w:tc>
        <w:tc>
          <w:tcPr/>
          <w:p>
            <w:pPr>
              <w:pStyle w:val="Compact"/>
              <w:jc w:val="center"/>
            </w:pPr>
            <w:r>
              <w:rPr>
                <w:b/>
                <w:bCs/>
              </w:rPr>
              <w:t xml:space="preserve">0.7794</w:t>
            </w:r>
          </w:p>
        </w:tc>
        <w:tc>
          <w:tcPr/>
          <w:p>
            <w:pPr>
              <w:pStyle w:val="Compact"/>
              <w:jc w:val="center"/>
            </w:pPr>
            <w:r>
              <w:t xml:space="preserve">0.6769</w:t>
            </w:r>
          </w:p>
        </w:tc>
      </w:tr>
      <w:tr>
        <w:tc>
          <w:tcPr/>
          <w:p>
            <w:pPr>
              <w:pStyle w:val="Compact"/>
              <w:jc w:val="left"/>
            </w:pPr>
            <w:r>
              <w:t xml:space="preserve">PKUPH</w:t>
            </w:r>
          </w:p>
        </w:tc>
        <w:tc>
          <w:tcPr/>
          <w:p>
            <w:pPr>
              <w:pStyle w:val="Compact"/>
              <w:jc w:val="center"/>
            </w:pPr>
            <w:r>
              <w:t xml:space="preserve">0.6640</w:t>
            </w:r>
          </w:p>
        </w:tc>
        <w:tc>
          <w:tcPr/>
          <w:p>
            <w:pPr>
              <w:pStyle w:val="Compact"/>
              <w:jc w:val="center"/>
            </w:pPr>
            <w:r>
              <w:rPr>
                <w:b/>
                <w:bCs/>
              </w:rPr>
              <w:t xml:space="preserve">0.6782</w:t>
            </w:r>
          </w:p>
        </w:tc>
        <w:tc>
          <w:tcPr/>
          <w:p>
            <w:pPr>
              <w:pStyle w:val="Compact"/>
              <w:jc w:val="center"/>
            </w:pPr>
            <w:r>
              <w:t xml:space="preserve">0.7672</w:t>
            </w:r>
          </w:p>
        </w:tc>
        <w:tc>
          <w:tcPr/>
          <w:p>
            <w:pPr>
              <w:pStyle w:val="Compact"/>
              <w:jc w:val="center"/>
            </w:pPr>
            <w:r>
              <w:t xml:space="preserve">0.7148</w:t>
            </w:r>
          </w:p>
        </w:tc>
        <w:tc>
          <w:tcPr/>
          <w:p>
            <w:pPr>
              <w:pStyle w:val="Compact"/>
              <w:jc w:val="center"/>
            </w:pPr>
            <w:r>
              <w:t xml:space="preserve">0.8354</w:t>
            </w:r>
          </w:p>
        </w:tc>
      </w:tr>
      <w:tr>
        <w:tc>
          <w:tcPr/>
          <w:p>
            <w:pPr>
              <w:pStyle w:val="Compact"/>
              <w:jc w:val="left"/>
            </w:pPr>
            <w:r>
              <w:t xml:space="preserve">Mayo</w:t>
            </w:r>
          </w:p>
        </w:tc>
        <w:tc>
          <w:tcPr/>
          <w:p>
            <w:pPr>
              <w:pStyle w:val="Compact"/>
              <w:jc w:val="center"/>
            </w:pPr>
            <w:r>
              <w:t xml:space="preserve">0.6049</w:t>
            </w:r>
          </w:p>
        </w:tc>
        <w:tc>
          <w:tcPr/>
          <w:p>
            <w:pPr>
              <w:pStyle w:val="Compact"/>
              <w:jc w:val="center"/>
            </w:pPr>
            <w:r>
              <w:t xml:space="preserve">0.3592</w:t>
            </w:r>
          </w:p>
        </w:tc>
        <w:tc>
          <w:tcPr/>
          <w:p>
            <w:pPr>
              <w:pStyle w:val="Compact"/>
              <w:jc w:val="center"/>
            </w:pPr>
            <w:r>
              <w:t xml:space="preserve">0.0000</w:t>
            </w:r>
          </w:p>
        </w:tc>
        <w:tc>
          <w:tcPr/>
          <w:p>
            <w:pPr>
              <w:pStyle w:val="Compact"/>
              <w:jc w:val="center"/>
            </w:pPr>
            <w:r>
              <w:t xml:space="preserve">0.0000</w:t>
            </w:r>
          </w:p>
        </w:tc>
        <w:tc>
          <w:tcPr/>
          <w:p>
            <w:pPr>
              <w:pStyle w:val="Compact"/>
              <w:jc w:val="center"/>
            </w:pPr>
            <w:r>
              <w:t xml:space="preserve">0.0000</w:t>
            </w:r>
          </w:p>
        </w:tc>
      </w:tr>
      <w:tr>
        <w:tc>
          <w:tcPr/>
          <w:p>
            <w:pPr>
              <w:pStyle w:val="Compact"/>
              <w:jc w:val="left"/>
            </w:pPr>
            <w:r>
              <w:t xml:space="preserve">Decision Tree</w:t>
            </w:r>
          </w:p>
        </w:tc>
        <w:tc>
          <w:tcPr/>
          <w:p>
            <w:pPr>
              <w:pStyle w:val="Compact"/>
              <w:jc w:val="center"/>
            </w:pPr>
            <w:r>
              <w:t xml:space="preserve">0.5764</w:t>
            </w:r>
          </w:p>
        </w:tc>
        <w:tc>
          <w:tcPr/>
          <w:p>
            <w:pPr>
              <w:pStyle w:val="Compact"/>
              <w:jc w:val="center"/>
            </w:pPr>
            <w:r>
              <w:t xml:space="preserve">0.6099</w:t>
            </w:r>
          </w:p>
        </w:tc>
        <w:tc>
          <w:tcPr/>
          <w:p>
            <w:pPr>
              <w:pStyle w:val="Compact"/>
              <w:jc w:val="center"/>
            </w:pPr>
            <w:r>
              <w:t xml:space="preserve">0.6929</w:t>
            </w:r>
          </w:p>
        </w:tc>
        <w:tc>
          <w:tcPr/>
          <w:p>
            <w:pPr>
              <w:pStyle w:val="Compact"/>
              <w:jc w:val="center"/>
            </w:pPr>
            <w:r>
              <w:t xml:space="preserve">0.6997</w:t>
            </w:r>
          </w:p>
        </w:tc>
        <w:tc>
          <w:tcPr/>
          <w:p>
            <w:pPr>
              <w:pStyle w:val="Compact"/>
              <w:jc w:val="center"/>
            </w:pPr>
            <w:r>
              <w:t xml:space="preserve">0.6974</w:t>
            </w:r>
          </w:p>
        </w:tc>
      </w:tr>
      <w:tr>
        <w:tc>
          <w:tcPr>
            <w:gridSpan w:val="6"/>
          </w:tcPr>
          <w:p>
            <w:pPr>
              <w:pStyle w:val="Compact"/>
              <w:jc w:val="left"/>
            </w:pPr>
            <w:r>
              <w:rPr>
                <w:i/>
                <w:iCs/>
              </w:rPr>
              <w:t xml:space="preserve">Target Domain (External Validation)</w:t>
            </w:r>
          </w:p>
        </w:tc>
      </w:tr>
      <w:tr>
        <w:tc>
          <w:tcPr/>
          <w:p>
            <w:pPr>
              <w:pStyle w:val="Compact"/>
              <w:jc w:val="left"/>
            </w:pPr>
            <w:r>
              <w:rPr>
                <w:b/>
                <w:bCs/>
              </w:rPr>
              <w:t xml:space="preserve">TCA</w:t>
            </w:r>
          </w:p>
        </w:tc>
        <w:tc>
          <w:tcPr/>
          <w:p>
            <w:pPr>
              <w:pStyle w:val="Compact"/>
              <w:jc w:val="center"/>
            </w:pPr>
            <w:r>
              <w:rPr>
                <w:b/>
                <w:bCs/>
              </w:rPr>
              <w:t xml:space="preserve">0.7046</w:t>
            </w:r>
          </w:p>
        </w:tc>
        <w:tc>
          <w:tcPr/>
          <w:p>
            <w:pPr>
              <w:pStyle w:val="Compact"/>
              <w:jc w:val="center"/>
            </w:pPr>
            <w:r>
              <w:rPr>
                <w:b/>
                <w:bCs/>
              </w:rPr>
              <w:t xml:space="preserve">0.7053</w:t>
            </w:r>
          </w:p>
        </w:tc>
        <w:tc>
          <w:tcPr/>
          <w:p>
            <w:pPr>
              <w:pStyle w:val="Compact"/>
              <w:jc w:val="center"/>
            </w:pPr>
            <w:r>
              <w:rPr>
                <w:b/>
                <w:bCs/>
              </w:rPr>
              <w:t xml:space="preserve">0.8082</w:t>
            </w:r>
          </w:p>
        </w:tc>
        <w:tc>
          <w:tcPr/>
          <w:p>
            <w:pPr>
              <w:pStyle w:val="Compact"/>
              <w:jc w:val="center"/>
            </w:pPr>
            <w:r>
              <w:t xml:space="preserve">0.7066</w:t>
            </w:r>
          </w:p>
        </w:tc>
        <w:tc>
          <w:tcPr/>
          <w:p>
            <w:pPr>
              <w:pStyle w:val="Compact"/>
              <w:jc w:val="center"/>
            </w:pPr>
            <w:r>
              <w:rPr>
                <w:b/>
                <w:bCs/>
              </w:rPr>
              <w:t xml:space="preserve">0.9440</w:t>
            </w:r>
          </w:p>
        </w:tc>
      </w:tr>
      <w:tr>
        <w:tc>
          <w:tcPr/>
          <w:p>
            <w:pPr>
              <w:pStyle w:val="Compact"/>
              <w:jc w:val="left"/>
            </w:pPr>
            <w:r>
              <w:t xml:space="preserve">PANDA_NoUDA</w:t>
            </w:r>
          </w:p>
        </w:tc>
        <w:tc>
          <w:tcPr/>
          <w:p>
            <w:pPr>
              <w:pStyle w:val="Compact"/>
              <w:jc w:val="center"/>
            </w:pPr>
            <w:r>
              <w:t xml:space="preserve">0.6980</w:t>
            </w:r>
          </w:p>
        </w:tc>
        <w:tc>
          <w:tcPr/>
          <w:p>
            <w:pPr>
              <w:pStyle w:val="Compact"/>
              <w:jc w:val="center"/>
            </w:pPr>
            <w:r>
              <w:t xml:space="preserve">0.6632</w:t>
            </w:r>
          </w:p>
        </w:tc>
        <w:tc>
          <w:tcPr/>
          <w:p>
            <w:pPr>
              <w:pStyle w:val="Compact"/>
              <w:jc w:val="center"/>
            </w:pPr>
            <w:r>
              <w:t xml:space="preserve">0.7762</w:t>
            </w:r>
          </w:p>
        </w:tc>
        <w:tc>
          <w:tcPr/>
          <w:p>
            <w:pPr>
              <w:pStyle w:val="Compact"/>
              <w:jc w:val="center"/>
            </w:pPr>
            <w:r>
              <w:t xml:space="preserve">0.6894</w:t>
            </w:r>
          </w:p>
        </w:tc>
        <w:tc>
          <w:tcPr/>
          <w:p>
            <w:pPr>
              <w:pStyle w:val="Compact"/>
              <w:jc w:val="center"/>
            </w:pPr>
            <w:r>
              <w:t xml:space="preserve">0.8880</w:t>
            </w:r>
          </w:p>
        </w:tc>
      </w:tr>
      <w:tr>
        <w:tc>
          <w:tcPr/>
          <w:p>
            <w:pPr>
              <w:pStyle w:val="Compact"/>
              <w:jc w:val="left"/>
            </w:pPr>
            <w:r>
              <w:t xml:space="preserve">Random Forest</w:t>
            </w:r>
          </w:p>
        </w:tc>
        <w:tc>
          <w:tcPr/>
          <w:p>
            <w:pPr>
              <w:pStyle w:val="Compact"/>
              <w:jc w:val="center"/>
            </w:pPr>
            <w:r>
              <w:t xml:space="preserve">0.6324</w:t>
            </w:r>
          </w:p>
        </w:tc>
        <w:tc>
          <w:tcPr/>
          <w:p>
            <w:pPr>
              <w:pStyle w:val="Compact"/>
              <w:jc w:val="center"/>
            </w:pPr>
            <w:r>
              <w:t xml:space="preserve">0.6789</w:t>
            </w:r>
          </w:p>
        </w:tc>
        <w:tc>
          <w:tcPr/>
          <w:p>
            <w:pPr>
              <w:pStyle w:val="Compact"/>
              <w:jc w:val="center"/>
            </w:pPr>
            <w:r>
              <w:t xml:space="preserve">0.7753</w:t>
            </w:r>
          </w:p>
        </w:tc>
        <w:tc>
          <w:tcPr/>
          <w:p>
            <w:pPr>
              <w:pStyle w:val="Compact"/>
              <w:jc w:val="center"/>
            </w:pPr>
            <w:r>
              <w:t xml:space="preserve">0.7128</w:t>
            </w:r>
          </w:p>
        </w:tc>
        <w:tc>
          <w:tcPr/>
          <w:p>
            <w:pPr>
              <w:pStyle w:val="Compact"/>
              <w:jc w:val="center"/>
            </w:pPr>
            <w:r>
              <w:t xml:space="preserve">0.8538</w:t>
            </w:r>
          </w:p>
        </w:tc>
      </w:tr>
      <w:tr>
        <w:tc>
          <w:tcPr/>
          <w:p>
            <w:pPr>
              <w:pStyle w:val="Compact"/>
              <w:jc w:val="left"/>
            </w:pPr>
            <w:r>
              <w:t xml:space="preserve">PKUPH</w:t>
            </w:r>
          </w:p>
        </w:tc>
        <w:tc>
          <w:tcPr/>
          <w:p>
            <w:pPr>
              <w:pStyle w:val="Compact"/>
              <w:jc w:val="center"/>
            </w:pPr>
            <w:r>
              <w:t xml:space="preserve">0.6356</w:t>
            </w:r>
          </w:p>
        </w:tc>
        <w:tc>
          <w:tcPr/>
          <w:p>
            <w:pPr>
              <w:pStyle w:val="Compact"/>
              <w:jc w:val="center"/>
            </w:pPr>
            <w:r>
              <w:t xml:space="preserve">0.6947</w:t>
            </w:r>
          </w:p>
        </w:tc>
        <w:tc>
          <w:tcPr/>
          <w:p>
            <w:pPr>
              <w:pStyle w:val="Compact"/>
              <w:jc w:val="center"/>
            </w:pPr>
            <w:r>
              <w:t xml:space="preserve">0.7838</w:t>
            </w:r>
          </w:p>
        </w:tc>
        <w:tc>
          <w:tcPr/>
          <w:p>
            <w:pPr>
              <w:pStyle w:val="Compact"/>
              <w:jc w:val="center"/>
            </w:pPr>
            <w:r>
              <w:rPr>
                <w:b/>
                <w:bCs/>
              </w:rPr>
              <w:t xml:space="preserve">0.7329</w:t>
            </w:r>
          </w:p>
        </w:tc>
        <w:tc>
          <w:tcPr/>
          <w:p>
            <w:pPr>
              <w:pStyle w:val="Compact"/>
              <w:jc w:val="center"/>
            </w:pPr>
            <w:r>
              <w:t xml:space="preserve">0.8474</w:t>
            </w:r>
          </w:p>
        </w:tc>
      </w:tr>
      <w:tr>
        <w:tc>
          <w:tcPr/>
          <w:p>
            <w:pPr>
              <w:pStyle w:val="Compact"/>
              <w:jc w:val="left"/>
            </w:pPr>
            <w:r>
              <w:t xml:space="preserve">LASSO LR</w:t>
            </w:r>
          </w:p>
        </w:tc>
        <w:tc>
          <w:tcPr/>
          <w:p>
            <w:pPr>
              <w:pStyle w:val="Compact"/>
              <w:jc w:val="center"/>
            </w:pPr>
            <w:r>
              <w:t xml:space="preserve">0.6678</w:t>
            </w:r>
          </w:p>
        </w:tc>
        <w:tc>
          <w:tcPr/>
          <w:p>
            <w:pPr>
              <w:pStyle w:val="Compact"/>
              <w:jc w:val="center"/>
            </w:pPr>
            <w:r>
              <w:t xml:space="preserve">0.6737</w:t>
            </w:r>
          </w:p>
        </w:tc>
        <w:tc>
          <w:tcPr/>
          <w:p>
            <w:pPr>
              <w:pStyle w:val="Compact"/>
              <w:jc w:val="center"/>
            </w:pPr>
            <w:r>
              <w:t xml:space="preserve">0.7911</w:t>
            </w:r>
          </w:p>
        </w:tc>
        <w:tc>
          <w:tcPr/>
          <w:p>
            <w:pPr>
              <w:pStyle w:val="Compact"/>
              <w:jc w:val="center"/>
            </w:pPr>
            <w:r>
              <w:t xml:space="preserve">0.6825</w:t>
            </w:r>
          </w:p>
        </w:tc>
        <w:tc>
          <w:tcPr/>
          <w:p>
            <w:pPr>
              <w:pStyle w:val="Compact"/>
              <w:jc w:val="center"/>
            </w:pPr>
            <w:r>
              <w:t xml:space="preserve">0.9429</w:t>
            </w:r>
          </w:p>
        </w:tc>
      </w:tr>
      <w:tr>
        <w:tc>
          <w:tcPr/>
          <w:p>
            <w:pPr>
              <w:pStyle w:val="Compact"/>
              <w:jc w:val="left"/>
            </w:pPr>
            <w:r>
              <w:t xml:space="preserve">SVM</w:t>
            </w:r>
          </w:p>
        </w:tc>
        <w:tc>
          <w:tcPr/>
          <w:p>
            <w:pPr>
              <w:pStyle w:val="Compact"/>
              <w:jc w:val="center"/>
            </w:pPr>
            <w:r>
              <w:t xml:space="preserve">0.6285</w:t>
            </w:r>
          </w:p>
        </w:tc>
        <w:tc>
          <w:tcPr/>
          <w:p>
            <w:pPr>
              <w:pStyle w:val="Compact"/>
              <w:jc w:val="center"/>
            </w:pPr>
            <w:r>
              <w:t xml:space="preserve">0.5684</w:t>
            </w:r>
          </w:p>
        </w:tc>
        <w:tc>
          <w:tcPr/>
          <w:p>
            <w:pPr>
              <w:pStyle w:val="Compact"/>
              <w:jc w:val="center"/>
            </w:pPr>
            <w:r>
              <w:t xml:space="preserve">0.6468</w:t>
            </w:r>
          </w:p>
        </w:tc>
        <w:tc>
          <w:tcPr/>
          <w:p>
            <w:pPr>
              <w:pStyle w:val="Compact"/>
              <w:jc w:val="center"/>
            </w:pPr>
            <w:r>
              <w:t xml:space="preserve">0.6950</w:t>
            </w:r>
          </w:p>
        </w:tc>
        <w:tc>
          <w:tcPr/>
          <w:p>
            <w:pPr>
              <w:pStyle w:val="Compact"/>
              <w:jc w:val="center"/>
            </w:pPr>
            <w:r>
              <w:t xml:space="preserve">0.6064</w:t>
            </w:r>
          </w:p>
        </w:tc>
      </w:tr>
      <w:tr>
        <w:tc>
          <w:tcPr/>
          <w:p>
            <w:pPr>
              <w:pStyle w:val="Compact"/>
              <w:jc w:val="left"/>
            </w:pPr>
            <w:r>
              <w:t xml:space="preserve">GBDT</w:t>
            </w:r>
          </w:p>
        </w:tc>
        <w:tc>
          <w:tcPr/>
          <w:p>
            <w:pPr>
              <w:pStyle w:val="Compact"/>
              <w:jc w:val="center"/>
            </w:pPr>
            <w:r>
              <w:t xml:space="preserve">0.5906</w:t>
            </w:r>
          </w:p>
        </w:tc>
        <w:tc>
          <w:tcPr/>
          <w:p>
            <w:pPr>
              <w:pStyle w:val="Compact"/>
              <w:jc w:val="center"/>
            </w:pPr>
            <w:r>
              <w:t xml:space="preserve">0.5842</w:t>
            </w:r>
          </w:p>
        </w:tc>
        <w:tc>
          <w:tcPr/>
          <w:p>
            <w:pPr>
              <w:pStyle w:val="Compact"/>
              <w:jc w:val="center"/>
            </w:pPr>
            <w:r>
              <w:t xml:space="preserve">0.6834</w:t>
            </w:r>
          </w:p>
        </w:tc>
        <w:tc>
          <w:tcPr/>
          <w:p>
            <w:pPr>
              <w:pStyle w:val="Compact"/>
              <w:jc w:val="center"/>
            </w:pPr>
            <w:r>
              <w:t xml:space="preserve">0.6689</w:t>
            </w:r>
          </w:p>
        </w:tc>
        <w:tc>
          <w:tcPr/>
          <w:p>
            <w:pPr>
              <w:pStyle w:val="Compact"/>
              <w:jc w:val="center"/>
            </w:pPr>
            <w:r>
              <w:t xml:space="preserve">0.7109</w:t>
            </w:r>
          </w:p>
        </w:tc>
      </w:tr>
      <w:tr>
        <w:tc>
          <w:tcPr/>
          <w:p>
            <w:pPr>
              <w:pStyle w:val="Compact"/>
              <w:jc w:val="left"/>
            </w:pPr>
            <w:r>
              <w:t xml:space="preserve">XGBoost</w:t>
            </w:r>
          </w:p>
        </w:tc>
        <w:tc>
          <w:tcPr/>
          <w:p>
            <w:pPr>
              <w:pStyle w:val="Compact"/>
              <w:jc w:val="center"/>
            </w:pPr>
            <w:r>
              <w:t xml:space="preserve">0.5672</w:t>
            </w:r>
          </w:p>
        </w:tc>
        <w:tc>
          <w:tcPr/>
          <w:p>
            <w:pPr>
              <w:pStyle w:val="Compact"/>
              <w:jc w:val="center"/>
            </w:pPr>
            <w:r>
              <w:t xml:space="preserve">0.5947</w:t>
            </w:r>
          </w:p>
        </w:tc>
        <w:tc>
          <w:tcPr/>
          <w:p>
            <w:pPr>
              <w:pStyle w:val="Compact"/>
              <w:jc w:val="center"/>
            </w:pPr>
            <w:r>
              <w:t xml:space="preserve">0.6937</w:t>
            </w:r>
          </w:p>
        </w:tc>
        <w:tc>
          <w:tcPr/>
          <w:p>
            <w:pPr>
              <w:pStyle w:val="Compact"/>
              <w:jc w:val="center"/>
            </w:pPr>
            <w:r>
              <w:t xml:space="preserve">0.6701</w:t>
            </w:r>
          </w:p>
        </w:tc>
        <w:tc>
          <w:tcPr/>
          <w:p>
            <w:pPr>
              <w:pStyle w:val="Compact"/>
              <w:jc w:val="center"/>
            </w:pPr>
            <w:r>
              <w:t xml:space="preserve">0.7244</w:t>
            </w:r>
          </w:p>
        </w:tc>
      </w:tr>
      <w:tr>
        <w:tc>
          <w:tcPr/>
          <w:p>
            <w:pPr>
              <w:pStyle w:val="Compact"/>
              <w:jc w:val="left"/>
            </w:pPr>
            <w:r>
              <w:t xml:space="preserve">Decision Tree</w:t>
            </w:r>
          </w:p>
        </w:tc>
        <w:tc>
          <w:tcPr/>
          <w:p>
            <w:pPr>
              <w:pStyle w:val="Compact"/>
              <w:jc w:val="center"/>
            </w:pPr>
            <w:r>
              <w:t xml:space="preserve">0.5090</w:t>
            </w:r>
          </w:p>
        </w:tc>
        <w:tc>
          <w:tcPr/>
          <w:p>
            <w:pPr>
              <w:pStyle w:val="Compact"/>
              <w:jc w:val="center"/>
            </w:pPr>
            <w:r>
              <w:t xml:space="preserve">0.5684</w:t>
            </w:r>
          </w:p>
        </w:tc>
        <w:tc>
          <w:tcPr/>
          <w:p>
            <w:pPr>
              <w:pStyle w:val="Compact"/>
              <w:jc w:val="center"/>
            </w:pPr>
            <w:r>
              <w:t xml:space="preserve">0.6759</w:t>
            </w:r>
          </w:p>
        </w:tc>
        <w:tc>
          <w:tcPr/>
          <w:p>
            <w:pPr>
              <w:pStyle w:val="Compact"/>
              <w:jc w:val="center"/>
            </w:pPr>
            <w:r>
              <w:t xml:space="preserve">0.6650</w:t>
            </w:r>
          </w:p>
        </w:tc>
        <w:tc>
          <w:tcPr/>
          <w:p>
            <w:pPr>
              <w:pStyle w:val="Compact"/>
              <w:jc w:val="center"/>
            </w:pPr>
            <w:r>
              <w:t xml:space="preserve">0.6942</w:t>
            </w:r>
          </w:p>
        </w:tc>
      </w:tr>
      <w:tr>
        <w:tc>
          <w:tcPr/>
          <w:p>
            <w:pPr>
              <w:pStyle w:val="Compact"/>
              <w:jc w:val="left"/>
            </w:pPr>
            <w:r>
              <w:t xml:space="preserve">Mayo</w:t>
            </w:r>
          </w:p>
        </w:tc>
        <w:tc>
          <w:tcPr/>
          <w:p>
            <w:pPr>
              <w:pStyle w:val="Compact"/>
              <w:jc w:val="center"/>
            </w:pPr>
            <w:r>
              <w:t xml:space="preserve">0.5837</w:t>
            </w:r>
          </w:p>
        </w:tc>
        <w:tc>
          <w:tcPr/>
          <w:p>
            <w:pPr>
              <w:pStyle w:val="Compact"/>
              <w:jc w:val="center"/>
            </w:pPr>
            <w:r>
              <w:t xml:space="preserve">0.3421</w:t>
            </w:r>
          </w:p>
        </w:tc>
        <w:tc>
          <w:tcPr/>
          <w:p>
            <w:pPr>
              <w:pStyle w:val="Compact"/>
              <w:jc w:val="center"/>
            </w:pPr>
            <w:r>
              <w:t xml:space="preserve">0.0000</w:t>
            </w:r>
          </w:p>
        </w:tc>
        <w:tc>
          <w:tcPr/>
          <w:p>
            <w:pPr>
              <w:pStyle w:val="Compact"/>
              <w:jc w:val="center"/>
            </w:pPr>
            <w:r>
              <w:t xml:space="preserve">0.0000</w:t>
            </w:r>
          </w:p>
        </w:tc>
        <w:tc>
          <w:tcPr/>
          <w:p>
            <w:pPr>
              <w:pStyle w:val="Compact"/>
              <w:jc w:val="center"/>
            </w:pPr>
            <w:r>
              <w:t xml:space="preserve">0.0000</w:t>
            </w:r>
          </w:p>
        </w:tc>
      </w:tr>
    </w:tbl>
    <w:bookmarkEnd w:id="118"/>
    <w:bookmarkStart w:id="122" w:name="fig:performance-heatmaps"/>
    <w:p>
      <w:pPr>
        <w:pStyle w:val="CaptionedFigure"/>
      </w:pPr>
      <w:r>
        <w:drawing>
          <wp:inline>
            <wp:extent cx="5486400" cy="7190814"/>
            <wp:effectExtent b="0" l="0" r="0" t="0"/>
            <wp:docPr descr="Figure 2: Performance comparison across domains. a Source-domain 10-fold cross-validation heatmap over five metrics, showing PANDA’s leading performance in AUC, accuracy, and precision. b Cross-domain external validation heatmap; the TCA-enhanced PANDA model maintains the highest AUC and recall, highlighting its stability under domain shift." title="" id="120" name="Picture"/>
            <a:graphic>
              <a:graphicData uri="http://schemas.openxmlformats.org/drawingml/2006/picture">
                <pic:pic>
                  <pic:nvPicPr>
                    <pic:cNvPr descr="img/cross_hospital/combined_heatmaps_nature.pdf" id="121" name="Picture"/>
                    <pic:cNvPicPr>
                      <a:picLocks noChangeArrowheads="1" noChangeAspect="1"/>
                    </pic:cNvPicPr>
                  </pic:nvPicPr>
                  <pic:blipFill>
                    <a:blip r:embed="rId119"/>
                    <a:stretch>
                      <a:fillRect/>
                    </a:stretch>
                  </pic:blipFill>
                  <pic:spPr bwMode="auto">
                    <a:xfrm>
                      <a:off x="0" y="0"/>
                      <a:ext cx="5486400" cy="7190814"/>
                    </a:xfrm>
                    <a:prstGeom prst="rect">
                      <a:avLst/>
                    </a:prstGeom>
                    <a:noFill/>
                    <a:ln w="9525">
                      <a:noFill/>
                      <a:headEnd/>
                      <a:tailEnd/>
                    </a:ln>
                  </pic:spPr>
                </pic:pic>
              </a:graphicData>
            </a:graphic>
          </wp:inline>
        </w:drawing>
      </w:r>
    </w:p>
    <w:p>
      <w:pPr>
        <w:pStyle w:val="ImageCaption"/>
      </w:pPr>
      <w:r>
        <w:t xml:space="preserve">Figure 2:</w:t>
      </w:r>
      <w:r>
        <w:t xml:space="preserve"> </w:t>
      </w:r>
      <w:r>
        <w:rPr>
          <w:b/>
          <w:bCs/>
        </w:rPr>
        <w:t xml:space="preserve">Performance comparison across domains.</w:t>
      </w:r>
      <w:r>
        <w:t xml:space="preserve"> </w:t>
      </w:r>
      <w:r>
        <w:rPr>
          <w:b/>
          <w:bCs/>
        </w:rPr>
        <w:t xml:space="preserve">a</w:t>
      </w:r>
      <w:r>
        <w:t xml:space="preserve"> </w:t>
      </w:r>
      <w:r>
        <w:t xml:space="preserve">Source-domain 10-fold cross-validation heatmap over five metrics, showing PANDA’s leading performance in AUC, accuracy, and precision.</w:t>
      </w:r>
      <w:r>
        <w:t xml:space="preserve"> </w:t>
      </w:r>
      <w:r>
        <w:rPr>
          <w:b/>
          <w:bCs/>
        </w:rPr>
        <w:t xml:space="preserve">b</w:t>
      </w:r>
      <w:r>
        <w:t xml:space="preserve"> </w:t>
      </w:r>
      <w:r>
        <w:t xml:space="preserve">Cross-domain external validation heatmap; the TCA-enhanced PANDA model maintains the highest AUC and recall, highlighting its stability under domain shift.</w:t>
      </w:r>
    </w:p>
    <w:bookmarkEnd w:id="122"/>
    <w:bookmarkEnd w:id="123"/>
    <w:bookmarkStart w:id="125" w:name="stratified-analysis"/>
    <w:p>
      <w:pPr>
        <w:pStyle w:val="3"/>
      </w:pPr>
      <w:r>
        <w:t xml:space="preserve">Stratified Analysis</w:t>
      </w:r>
    </w:p>
    <w:p>
      <w:pPr>
        <w:pStyle w:val="FirstParagraph"/>
      </w:pPr>
      <w:r>
        <w:t xml:space="preserve">To examine potential biases and subgroup robustness, we evaluated PANDA’s performance across key subgroups (Table </w:t>
      </w:r>
      <w:hyperlink w:anchor="tbl:stratified_analysis">
        <w:r>
          <w:rPr>
            <w:rStyle w:val="af"/>
          </w:rPr>
          <w:t xml:space="preserve">3</w:t>
        </w:r>
      </w:hyperlink>
      <w:r>
        <w:t xml:space="preserve">).</w:t>
      </w:r>
    </w:p>
    <w:p>
      <w:pPr>
        <w:numPr>
          <w:ilvl w:val="0"/>
          <w:numId w:val="1029"/>
        </w:numPr>
      </w:pPr>
      <w:r>
        <w:rPr>
          <w:b/>
          <w:bCs/>
        </w:rPr>
        <w:t xml:space="preserve">Nodule Size</w:t>
      </w:r>
      <w:r>
        <w:t xml:space="preserve">: Performance remains strong for large nodules (</w:t>
      </w:r>
      <m:oMath>
        <m:r>
          <m:rPr>
            <m:sty m:val="p"/>
          </m:rPr>
          <m:t>&gt;</m:t>
        </m:r>
        <m:r>
          <m:t>8</m:t>
        </m:r>
      </m:oMath>
      <w:r>
        <w:t xml:space="preserve"> </w:t>
      </w:r>
      <w:r>
        <w:t xml:space="preserve">mm, ) but declines for sub-centimeter nodules (), reflecting the inherent difficulty of radiological characterization for small lesions.</w:t>
      </w:r>
    </w:p>
    <w:p>
      <w:pPr>
        <w:numPr>
          <w:ilvl w:val="0"/>
          <w:numId w:val="1029"/>
        </w:numPr>
      </w:pPr>
      <w:r>
        <w:rPr>
          <w:b/>
          <w:bCs/>
        </w:rPr>
        <w:t xml:space="preserve">Smoking Status</w:t>
      </w:r>
      <w:r>
        <w:t xml:space="preserve">: The model performs better in smokers () than in non-smokers (), likely because smoking provides a strong prior for malignancy that the model can exploit.</w:t>
      </w:r>
    </w:p>
    <w:p>
      <w:pPr>
        <w:numPr>
          <w:ilvl w:val="0"/>
          <w:numId w:val="1029"/>
        </w:numPr>
      </w:pPr>
      <w:r>
        <w:rPr>
          <w:b/>
          <w:bCs/>
        </w:rPr>
        <w:t xml:space="preserve">Gender</w:t>
      </w:r>
      <w:r>
        <w:t xml:space="preserve">: We observe comparable performance across gender ( vs 0.71), suggesting no substantial gender-specific bias at the current sample size.</w:t>
      </w:r>
    </w:p>
    <w:bookmarkStart w:id="124" w:name="tbl:stratified_analysis"/>
    <w:p>
      <w:pPr>
        <w:pStyle w:val="TableCaption"/>
      </w:pPr>
      <w:r>
        <w:t xml:space="preserve">Table 13: Stratified performance of PANDA+TCA on the target cohort.</w:t>
      </w:r>
    </w:p>
    <w:tbl>
      <w:tblPr>
        <w:tblStyle w:val="Table"/>
        <w:tblW w:type="auto" w:w="0"/>
        <w:tblLook w:firstRow="1" w:lastRow="0" w:firstColumn="0" w:lastColumn="0" w:noHBand="0" w:noVBand="0" w:val="0020"/>
        <w:tblCaption w:val="Table 13: Stratified performance of PANDA+TCA on the target cohort."/>
      </w:tblPr>
      <w:tblGrid>
        <w:gridCol w:w="1980"/>
        <w:gridCol w:w="1980"/>
        <w:gridCol w:w="1980"/>
        <w:gridCol w:w="1980"/>
      </w:tblGrid>
      <w:tr>
        <w:trPr>
          <w:tblHeader w:val="on"/>
        </w:trPr>
        <w:tc>
          <w:tcPr/>
          <w:p>
            <w:pPr>
              <w:pStyle w:val="Compact"/>
              <w:jc w:val="left"/>
            </w:pPr>
            <w:r>
              <w:rPr>
                <w:b/>
                <w:bCs/>
              </w:rPr>
              <w:t xml:space="preserve">Subgroup</w:t>
            </w:r>
          </w:p>
        </w:tc>
        <w:tc>
          <w:tcPr/>
          <w:p>
            <w:pPr>
              <w:pStyle w:val="Compact"/>
              <w:jc w:val="center"/>
            </w:pPr>
            <w:r>
              <w:rPr>
                <w:b/>
                <w:bCs/>
              </w:rPr>
              <w:t xml:space="preserve">n</w:t>
            </w:r>
          </w:p>
        </w:tc>
        <w:tc>
          <w:tcPr/>
          <w:p>
            <w:pPr>
              <w:pStyle w:val="Compact"/>
              <w:jc w:val="center"/>
            </w:pPr>
          </w:p>
        </w:tc>
        <w:tc>
          <w:tcPr/>
          <w:p>
            <w:pPr>
              <w:pStyle w:val="Compact"/>
              <w:jc w:val="center"/>
            </w:pPr>
            <w:r>
              <w:rPr>
                <w:b/>
                <w:bCs/>
              </w:rPr>
              <w:t xml:space="preserve">Sensitivity</w:t>
            </w:r>
          </w:p>
        </w:tc>
      </w:tr>
      <w:tr>
        <w:tc>
          <w:tcPr/>
          <w:p>
            <w:pPr>
              <w:pStyle w:val="Compact"/>
              <w:jc w:val="left"/>
            </w:pPr>
            <w:r>
              <w:rPr>
                <w:b/>
                <w:bCs/>
              </w:rPr>
              <w:t xml:space="preserve">Nodule Size</w:t>
            </w:r>
          </w:p>
        </w:tc>
        <w:tc>
          <w:tcPr/>
          <w:p>
            <w:pPr>
              <w:pStyle w:val="Compact"/>
            </w:pPr>
          </w:p>
        </w:tc>
        <w:tc>
          <w:tcPr/>
          <w:p>
            <w:pPr>
              <w:pStyle w:val="Compact"/>
            </w:pPr>
          </w:p>
        </w:tc>
        <w:tc>
          <w:tcPr/>
          <w:p>
            <w:pPr>
              <w:pStyle w:val="Compact"/>
            </w:pPr>
          </w:p>
        </w:tc>
      </w:tr>
      <w:tr>
        <w:tc>
          <w:tcPr/>
          <w:p>
            <w:pPr>
              <w:pStyle w:val="Compact"/>
              <w:jc w:val="left"/>
            </w:pPr>
            <m:oMath>
              <m:r>
                <m:rPr>
                  <m:sty m:val="p"/>
                </m:rPr>
                <m:t>≤</m:t>
              </m:r>
              <m:r>
                <m:t>8</m:t>
              </m:r>
            </m:oMath>
            <w:r>
              <w:t xml:space="preserve"> </w:t>
            </w:r>
            <w:r>
              <w:t xml:space="preserve">mm</w:t>
            </w:r>
          </w:p>
        </w:tc>
        <w:tc>
          <w:tcPr/>
          <w:p>
            <w:pPr>
              <w:pStyle w:val="Compact"/>
              <w:jc w:val="center"/>
            </w:pPr>
            <w:r>
              <w:t xml:space="preserve">72</w:t>
            </w:r>
          </w:p>
        </w:tc>
        <w:tc>
          <w:tcPr/>
          <w:p>
            <w:pPr>
              <w:pStyle w:val="Compact"/>
              <w:jc w:val="center"/>
            </w:pPr>
            <w:r>
              <w:t xml:space="preserve">0.65</w:t>
            </w:r>
          </w:p>
        </w:tc>
        <w:tc>
          <w:tcPr/>
          <w:p>
            <w:pPr>
              <w:pStyle w:val="Compact"/>
              <w:jc w:val="center"/>
            </w:pPr>
            <w:r>
              <w:t xml:space="preserve">0.88</w:t>
            </w:r>
          </w:p>
        </w:tc>
      </w:tr>
      <w:tr>
        <w:tc>
          <w:tcPr/>
          <w:p>
            <w:pPr>
              <w:pStyle w:val="Compact"/>
              <w:jc w:val="left"/>
            </w:pPr>
            <m:oMath>
              <m:r>
                <m:rPr>
                  <m:sty m:val="p"/>
                </m:rPr>
                <m:t>&gt;</m:t>
              </m:r>
              <m:r>
                <m:t>8</m:t>
              </m:r>
            </m:oMath>
            <w:r>
              <w:t xml:space="preserve"> </w:t>
            </w:r>
            <w:r>
              <w:t xml:space="preserve">mm</w:t>
            </w:r>
          </w:p>
        </w:tc>
        <w:tc>
          <w:tcPr/>
          <w:p>
            <w:pPr>
              <w:pStyle w:val="Compact"/>
              <w:jc w:val="center"/>
            </w:pPr>
            <w:r>
              <w:t xml:space="preserve">118</w:t>
            </w:r>
          </w:p>
        </w:tc>
        <w:tc>
          <w:tcPr/>
          <w:p>
            <w:pPr>
              <w:pStyle w:val="Compact"/>
              <w:jc w:val="center"/>
            </w:pPr>
            <w:r>
              <w:t xml:space="preserve">0.74</w:t>
            </w:r>
          </w:p>
        </w:tc>
        <w:tc>
          <w:tcPr/>
          <w:p>
            <w:pPr>
              <w:pStyle w:val="Compact"/>
              <w:jc w:val="center"/>
            </w:pPr>
            <w:r>
              <w:t xml:space="preserve">0.96</w:t>
            </w:r>
          </w:p>
        </w:tc>
      </w:tr>
      <w:tr>
        <w:tc>
          <w:tcPr/>
          <w:p>
            <w:pPr>
              <w:pStyle w:val="Compact"/>
              <w:jc w:val="left"/>
            </w:pPr>
            <w:r>
              <w:rPr>
                <w:b/>
                <w:bCs/>
              </w:rPr>
              <w:t xml:space="preserve">Smoking History</w:t>
            </w:r>
          </w:p>
        </w:tc>
        <w:tc>
          <w:tcPr/>
          <w:p>
            <w:pPr>
              <w:pStyle w:val="Compact"/>
            </w:pPr>
          </w:p>
        </w:tc>
        <w:tc>
          <w:tcPr/>
          <w:p>
            <w:pPr>
              <w:pStyle w:val="Compact"/>
            </w:pPr>
          </w:p>
        </w:tc>
        <w:tc>
          <w:tcPr/>
          <w:p>
            <w:pPr>
              <w:pStyle w:val="Compact"/>
            </w:pPr>
          </w:p>
        </w:tc>
      </w:tr>
      <w:tr>
        <w:tc>
          <w:tcPr/>
          <w:p>
            <w:pPr>
              <w:pStyle w:val="Compact"/>
              <w:jc w:val="left"/>
            </w:pPr>
            <w:r>
              <w:t xml:space="preserve">Never Smoker</w:t>
            </w:r>
          </w:p>
        </w:tc>
        <w:tc>
          <w:tcPr/>
          <w:p>
            <w:pPr>
              <w:pStyle w:val="Compact"/>
              <w:jc w:val="center"/>
            </w:pPr>
            <w:r>
              <w:t xml:space="preserve">105</w:t>
            </w:r>
          </w:p>
        </w:tc>
        <w:tc>
          <w:tcPr/>
          <w:p>
            <w:pPr>
              <w:pStyle w:val="Compact"/>
              <w:jc w:val="center"/>
            </w:pPr>
            <w:r>
              <w:t xml:space="preserve">0.68</w:t>
            </w:r>
          </w:p>
        </w:tc>
        <w:tc>
          <w:tcPr/>
          <w:p>
            <w:pPr>
              <w:pStyle w:val="Compact"/>
              <w:jc w:val="center"/>
            </w:pPr>
            <w:r>
              <w:t xml:space="preserve">0.92</w:t>
            </w:r>
          </w:p>
        </w:tc>
      </w:tr>
      <w:tr>
        <w:tc>
          <w:tcPr/>
          <w:p>
            <w:pPr>
              <w:pStyle w:val="Compact"/>
              <w:jc w:val="left"/>
            </w:pPr>
            <w:r>
              <w:t xml:space="preserve">Current/Former</w:t>
            </w:r>
          </w:p>
        </w:tc>
        <w:tc>
          <w:tcPr/>
          <w:p>
            <w:pPr>
              <w:pStyle w:val="Compact"/>
              <w:jc w:val="center"/>
            </w:pPr>
            <w:r>
              <w:t xml:space="preserve">85</w:t>
            </w:r>
          </w:p>
        </w:tc>
        <w:tc>
          <w:tcPr/>
          <w:p>
            <w:pPr>
              <w:pStyle w:val="Compact"/>
              <w:jc w:val="center"/>
            </w:pPr>
            <w:r>
              <w:t xml:space="preserve">0.72</w:t>
            </w:r>
          </w:p>
        </w:tc>
        <w:tc>
          <w:tcPr/>
          <w:p>
            <w:pPr>
              <w:pStyle w:val="Compact"/>
              <w:jc w:val="center"/>
            </w:pPr>
            <w:r>
              <w:t xml:space="preserve">0.97</w:t>
            </w:r>
          </w:p>
        </w:tc>
      </w:tr>
      <w:tr>
        <w:tc>
          <w:tcPr/>
          <w:p>
            <w:pPr>
              <w:pStyle w:val="Compact"/>
              <w:jc w:val="left"/>
            </w:pPr>
            <w:r>
              <w:rPr>
                <w:b/>
                <w:bCs/>
              </w:rPr>
              <w:t xml:space="preserve">Gender</w:t>
            </w:r>
          </w:p>
        </w:tc>
        <w:tc>
          <w:tcPr/>
          <w:p>
            <w:pPr>
              <w:pStyle w:val="Compact"/>
            </w:pPr>
          </w:p>
        </w:tc>
        <w:tc>
          <w:tcPr/>
          <w:p>
            <w:pPr>
              <w:pStyle w:val="Compact"/>
            </w:pPr>
          </w:p>
        </w:tc>
        <w:tc>
          <w:tcPr/>
          <w:p>
            <w:pPr>
              <w:pStyle w:val="Compact"/>
            </w:pPr>
          </w:p>
        </w:tc>
      </w:tr>
      <w:tr>
        <w:tc>
          <w:tcPr/>
          <w:p>
            <w:pPr>
              <w:pStyle w:val="Compact"/>
              <w:jc w:val="left"/>
            </w:pPr>
            <w:r>
              <w:t xml:space="preserve">Male</w:t>
            </w:r>
          </w:p>
        </w:tc>
        <w:tc>
          <w:tcPr/>
          <w:p>
            <w:pPr>
              <w:pStyle w:val="Compact"/>
              <w:jc w:val="center"/>
            </w:pPr>
            <w:r>
              <w:t xml:space="preserve">110</w:t>
            </w:r>
          </w:p>
        </w:tc>
        <w:tc>
          <w:tcPr/>
          <w:p>
            <w:pPr>
              <w:pStyle w:val="Compact"/>
              <w:jc w:val="center"/>
            </w:pPr>
            <w:r>
              <w:t xml:space="preserve">0.71</w:t>
            </w:r>
          </w:p>
        </w:tc>
        <w:tc>
          <w:tcPr/>
          <w:p>
            <w:pPr>
              <w:pStyle w:val="Compact"/>
              <w:jc w:val="center"/>
            </w:pPr>
            <w:r>
              <w:t xml:space="preserve">0.95</w:t>
            </w:r>
          </w:p>
        </w:tc>
      </w:tr>
      <w:tr>
        <w:tc>
          <w:tcPr/>
          <w:p>
            <w:pPr>
              <w:pStyle w:val="Compact"/>
              <w:jc w:val="left"/>
            </w:pPr>
            <w:r>
              <w:t xml:space="preserve">Female</w:t>
            </w:r>
          </w:p>
        </w:tc>
        <w:tc>
          <w:tcPr/>
          <w:p>
            <w:pPr>
              <w:pStyle w:val="Compact"/>
              <w:jc w:val="center"/>
            </w:pPr>
            <w:r>
              <w:t xml:space="preserve">80</w:t>
            </w:r>
          </w:p>
        </w:tc>
        <w:tc>
          <w:tcPr/>
          <w:p>
            <w:pPr>
              <w:pStyle w:val="Compact"/>
              <w:jc w:val="center"/>
            </w:pPr>
            <w:r>
              <w:t xml:space="preserve">0.70</w:t>
            </w:r>
          </w:p>
        </w:tc>
        <w:tc>
          <w:tcPr/>
          <w:p>
            <w:pPr>
              <w:pStyle w:val="Compact"/>
              <w:jc w:val="center"/>
            </w:pPr>
            <w:r>
              <w:t xml:space="preserve">0.93</w:t>
            </w:r>
          </w:p>
        </w:tc>
      </w:tr>
    </w:tbl>
    <w:bookmarkEnd w:id="124"/>
    <w:bookmarkEnd w:id="125"/>
    <w:bookmarkEnd w:id="126"/>
    <w:bookmarkStart w:id="135" w:name="X947f653010c8723ef45b14a88c42fbf2d042e34"/>
    <w:p>
      <w:pPr>
        <w:pStyle w:val="2"/>
      </w:pPr>
      <w:r>
        <w:t xml:space="preserve">Experiment 2 (E2): Cross-Population Validation on TableShift</w:t>
      </w:r>
    </w:p>
    <w:p>
      <w:pPr>
        <w:pStyle w:val="FirstParagraph"/>
      </w:pPr>
      <w:r>
        <w:t xml:space="preserve">We further evaluated PANDA on the TableShift BRFSS Diabetes benchmark, which introduces a race-driven shift by training on one demographic group and evaluating on another (White</w:t>
      </w:r>
      <w:r>
        <w:t xml:space="preserve"> </w:t>
      </w:r>
      <m:oMath>
        <m:r>
          <m:rPr>
            <m:sty m:val="p"/>
          </m:rPr>
          <m:t>→</m:t>
        </m:r>
      </m:oMath>
      <w:r>
        <w:t xml:space="preserve"> </w:t>
      </w:r>
      <w:r>
        <w:t xml:space="preserve">Non-White). This benchmark provides a complementary stress test to the cross-hospital shift in the pulmonary nodule experiment and mimics realistic deployment across heterogeneous populations in population-health applications.</w:t>
      </w:r>
    </w:p>
    <w:p>
      <w:pPr>
        <w:pStyle w:val="a0"/>
      </w:pPr>
      <w:r>
        <w:t xml:space="preserve">In this setting, our goal is to assess whether a tabular foundation model with lightweight domain alignment can remain stable when the covariate distribution changes along demographic axes. Qualitatively, PANDA (with and without TCA) achieves discrimination and calibration that are competitive with well-tuned tree ensembles, while avoiding the severe performance collapse that would be concerning in a cross-population deployment. This behavior supports the view that the inductive biases learned by the foundation model transfer beyond the pulmonary nodule task and remain useful under a distinct form of distribution shift.</w:t>
      </w:r>
    </w:p>
    <w:p>
      <w:pPr>
        <w:pStyle w:val="a0"/>
      </w:pPr>
      <w:r>
        <w:t xml:space="preserve">Figure </w:t>
      </w:r>
      <w:hyperlink w:anchor="fig:tableshift-heatmaps">
        <w:r>
          <w:rPr>
            <w:rStyle w:val="af"/>
          </w:rPr>
          <w:t xml:space="preserve">2</w:t>
        </w:r>
      </w:hyperlink>
      <w:r>
        <w:t xml:space="preserve"> </w:t>
      </w:r>
      <w:r>
        <w:t xml:space="preserve">summarizes the behavior of different models across the training and race-shifted evaluation splits, and Figure </w:t>
      </w:r>
      <w:hyperlink w:anchor="fig:brfss-roc">
        <w:r>
          <w:rPr>
            <w:rStyle w:val="af"/>
          </w:rPr>
          <w:t xml:space="preserve">3</w:t>
        </w:r>
      </w:hyperlink>
      <w:r>
        <w:t xml:space="preserve"> </w:t>
      </w:r>
      <w:r>
        <w:t xml:space="preserve">reports ROC, calibration, and decision curves. Together, these visualizations indicate that PANDA’s score distributions and decision boundaries can be adapted to new demographic groups without sacrificing overall screening utility.</w:t>
      </w:r>
    </w:p>
    <w:bookmarkStart w:id="130" w:name="fig:tableshift-heatmaps"/>
    <w:p>
      <w:pPr>
        <w:pStyle w:val="CaptionedFigure"/>
      </w:pPr>
      <w:r>
        <w:drawing>
          <wp:inline>
            <wp:extent cx="5212080" cy="6843854"/>
            <wp:effectExtent b="0" l="0" r="0" t="0"/>
            <wp:docPr descr="Figure 3: Performance comparison on the TableShift BRFSS Diabetes benchmark. Heatmaps summarize multiple metrics for PANDA and baseline models across the training split and the race-shifted evaluation split. PANDA with TCA remains competitive with strong tree ensembles and does not exhibit pronounced degradation under race shift." title="" id="128" name="Picture"/>
            <a:graphic>
              <a:graphicData uri="http://schemas.openxmlformats.org/drawingml/2006/picture">
                <pic:pic>
                  <pic:nvPicPr>
                    <pic:cNvPr descr="img/tableshift/combined_heatmaps_nature.pdf" id="129" name="Picture"/>
                    <pic:cNvPicPr>
                      <a:picLocks noChangeArrowheads="1" noChangeAspect="1"/>
                    </pic:cNvPicPr>
                  </pic:nvPicPr>
                  <pic:blipFill>
                    <a:blip r:embed="rId127"/>
                    <a:stretch>
                      <a:fillRect/>
                    </a:stretch>
                  </pic:blipFill>
                  <pic:spPr bwMode="auto">
                    <a:xfrm>
                      <a:off x="0" y="0"/>
                      <a:ext cx="5212080" cy="6843854"/>
                    </a:xfrm>
                    <a:prstGeom prst="rect">
                      <a:avLst/>
                    </a:prstGeom>
                    <a:noFill/>
                    <a:ln w="9525">
                      <a:noFill/>
                      <a:headEnd/>
                      <a:tailEnd/>
                    </a:ln>
                  </pic:spPr>
                </pic:pic>
              </a:graphicData>
            </a:graphic>
          </wp:inline>
        </w:drawing>
      </w:r>
    </w:p>
    <w:p>
      <w:pPr>
        <w:pStyle w:val="ImageCaption"/>
      </w:pPr>
      <w:r>
        <w:t xml:space="preserve">Figure 3:</w:t>
      </w:r>
      <w:r>
        <w:t xml:space="preserve"> </w:t>
      </w:r>
      <w:r>
        <w:rPr>
          <w:b/>
          <w:bCs/>
        </w:rPr>
        <w:t xml:space="preserve">Performance comparison on the TableShift BRFSS Diabetes benchmark.</w:t>
      </w:r>
      <w:r>
        <w:t xml:space="preserve"> </w:t>
      </w:r>
      <w:r>
        <w:t xml:space="preserve">Heatmaps summarize multiple metrics for PANDA and baseline models across the training split and the race-shifted evaluation split. PANDA with TCA remains competitive with strong tree ensembles and does not exhibit pronounced degradation under race shift.</w:t>
      </w:r>
    </w:p>
    <w:bookmarkEnd w:id="130"/>
    <w:p>
      <w:pPr>
        <w:pStyle w:val="a0"/>
      </w:pPr>
      <w:r>
        <w:rPr>
          <w:b/>
          <w:bCs/>
        </w:rPr>
        <w:t xml:space="preserve">Discussion on Precision/Recall</w:t>
      </w:r>
      <w:r>
        <w:t xml:space="preserve">: Readers may observe low</w:t>
      </w:r>
      <w:r>
        <w:t xml:space="preserve"> </w:t>
      </w:r>
      <m:oMath>
        <m:sSub>
          <m:e>
            <m:r>
              <m:t>F</m:t>
            </m:r>
          </m:e>
          <m:sub>
            <m:r>
              <m:t>1</m:t>
            </m:r>
          </m:sub>
        </m:sSub>
      </m:oMath>
      <w:r>
        <w:t xml:space="preserve"> </w:t>
      </w:r>
      <w:r>
        <w:t xml:space="preserve">values in BRFSS despite high</w:t>
      </w:r>
      <w:r>
        <w:t xml:space="preserve"> </w:t>
      </w:r>
      <m:oMath>
        <m:r>
          <m:rPr>
            <m:sty m:val="p"/>
          </m:rPr>
          <m:t>A</m:t>
        </m:r>
        <m:r>
          <m:rPr>
            <m:sty m:val="p"/>
          </m:rPr>
          <m:t>c</m:t>
        </m:r>
        <m:r>
          <m:rPr>
            <m:sty m:val="p"/>
          </m:rPr>
          <m:t>c</m:t>
        </m:r>
      </m:oMath>
      <w:r>
        <w:t xml:space="preserve"> </w:t>
      </w:r>
      <w:r>
        <w:t xml:space="preserve">(Fig. </w:t>
      </w:r>
      <w:hyperlink w:anchor="fig:brfss-roc">
        <w:r>
          <w:rPr>
            <w:rStyle w:val="af"/>
          </w:rPr>
          <w:t xml:space="preserve">3</w:t>
        </w:r>
      </w:hyperlink>
      <w:r>
        <w:t xml:space="preserve">). This pattern arises from the low positive-class prevalence</w:t>
      </w:r>
      <w:r>
        <w:t xml:space="preserve"> </w:t>
      </w:r>
      <m:oMath>
        <m:r>
          <m:t>π</m:t>
        </m:r>
        <m:r>
          <m:rPr>
            <m:sty m:val="p"/>
          </m:rPr>
          <m:t>=</m:t>
        </m:r>
        <m:r>
          <m:t>P</m:t>
        </m:r>
        <m:r>
          <m:rPr>
            <m:sty m:val="p"/>
          </m:rPr>
          <m:t>(</m:t>
        </m:r>
        <m:r>
          <m:t>Y</m:t>
        </m:r>
        <m:r>
          <m:rPr>
            <m:sty m:val="p"/>
          </m:rPr>
          <m:t>=</m:t>
        </m:r>
        <m:r>
          <m:t>1</m:t>
        </m:r>
        <m:r>
          <m:rPr>
            <m:sty m:val="p"/>
          </m:rPr>
          <m:t>)</m:t>
        </m:r>
      </m:oMath>
      <w:r>
        <w:t xml:space="preserve"> </w:t>
      </w:r>
      <w:r>
        <w:t xml:space="preserve">(17.4%) and the default 0.5 threshold: the model correctly identifies most negatives (high</w:t>
      </w:r>
      <w:r>
        <w:t xml:space="preserve"> </w:t>
      </w:r>
      <m:oMath>
        <m:r>
          <m:rPr>
            <m:sty m:val="p"/>
          </m:rPr>
          <m:t>A</m:t>
        </m:r>
        <m:r>
          <m:rPr>
            <m:sty m:val="p"/>
          </m:rPr>
          <m:t>c</m:t>
        </m:r>
        <m:r>
          <m:rPr>
            <m:sty m:val="p"/>
          </m:rPr>
          <m:t>c</m:t>
        </m:r>
      </m:oMath>
      <w:r>
        <w:t xml:space="preserve">) but, without class re-weighting, yields moderate</w:t>
      </w:r>
      <w:r>
        <w:t xml:space="preserve"> </w:t>
      </w:r>
      <m:oMath>
        <m:r>
          <m:rPr>
            <m:sty m:val="p"/>
          </m:rPr>
          <m:t>P</m:t>
        </m:r>
        <m:r>
          <m:rPr>
            <m:sty m:val="p"/>
          </m:rPr>
          <m:t>r</m:t>
        </m:r>
        <m:r>
          <m:rPr>
            <m:sty m:val="p"/>
          </m:rPr>
          <m:t>e</m:t>
        </m:r>
        <m:r>
          <m:rPr>
            <m:sty m:val="p"/>
          </m:rPr>
          <m:t>c</m:t>
        </m:r>
      </m:oMath>
      <w:r>
        <w:t xml:space="preserve"> </w:t>
      </w:r>
      <w:r>
        <w:t xml:space="preserve">on the minority positive class. For screening purposes, the ROC curves indicate adequate discriminative ability; the operating point can be adjusted via threshold tuning to prioritize</w:t>
      </w:r>
      <w:r>
        <w:t xml:space="preserve"> </w:t>
      </w:r>
      <m:oMath>
        <m:r>
          <m:rPr>
            <m:sty m:val="p"/>
          </m:rPr>
          <m:t>R</m:t>
        </m:r>
        <m:r>
          <m:rPr>
            <m:sty m:val="p"/>
          </m:rPr>
          <m:t>e</m:t>
        </m:r>
        <m:r>
          <m:rPr>
            <m:sty m:val="p"/>
          </m:rPr>
          <m:t>c</m:t>
        </m:r>
      </m:oMath>
      <w:r>
        <w:t xml:space="preserve"> </w:t>
      </w:r>
      <w:r>
        <w:t xml:space="preserve">when desired.</w:t>
      </w:r>
    </w:p>
    <w:bookmarkStart w:id="134" w:name="fig:brfss-roc"/>
    <w:p>
      <w:pPr>
        <w:pStyle w:val="CaptionedFigure"/>
      </w:pPr>
      <w:r>
        <w:drawing>
          <wp:inline>
            <wp:extent cx="5212080" cy="5814527"/>
            <wp:effectExtent b="0" l="0" r="0" t="0"/>
            <wp:docPr descr="Figure 4: TableShift BRFSS Diabetes analysis. a,b ROC curves showing PANDA’s robustness under race-driven shift. c,d Calibration curves assessing probability estimates. e,f Decision curves illustrating net benefit across clinical thresholds." title="" id="132" name="Picture"/>
            <a:graphic>
              <a:graphicData uri="http://schemas.openxmlformats.org/drawingml/2006/picture">
                <pic:pic>
                  <pic:nvPicPr>
                    <pic:cNvPr descr="img/tableshift/combined_analysis_figure.pdf" id="133" name="Picture"/>
                    <pic:cNvPicPr>
                      <a:picLocks noChangeArrowheads="1" noChangeAspect="1"/>
                    </pic:cNvPicPr>
                  </pic:nvPicPr>
                  <pic:blipFill>
                    <a:blip r:embed="rId131"/>
                    <a:stretch>
                      <a:fillRect/>
                    </a:stretch>
                  </pic:blipFill>
                  <pic:spPr bwMode="auto">
                    <a:xfrm>
                      <a:off x="0" y="0"/>
                      <a:ext cx="5212080" cy="5814527"/>
                    </a:xfrm>
                    <a:prstGeom prst="rect">
                      <a:avLst/>
                    </a:prstGeom>
                    <a:noFill/>
                    <a:ln w="9525">
                      <a:noFill/>
                      <a:headEnd/>
                      <a:tailEnd/>
                    </a:ln>
                  </pic:spPr>
                </pic:pic>
              </a:graphicData>
            </a:graphic>
          </wp:inline>
        </w:drawing>
      </w:r>
    </w:p>
    <w:p>
      <w:pPr>
        <w:pStyle w:val="ImageCaption"/>
      </w:pPr>
      <w:r>
        <w:t xml:space="preserve">Figure 4:</w:t>
      </w:r>
      <w:r>
        <w:t xml:space="preserve"> </w:t>
      </w:r>
      <w:r>
        <w:rPr>
          <w:b/>
          <w:bCs/>
        </w:rPr>
        <w:t xml:space="preserve">TableShift BRFSS Diabetes analysis.</w:t>
      </w:r>
      <w:r>
        <w:t xml:space="preserve"> </w:t>
      </w:r>
      <w:r>
        <w:rPr>
          <w:b/>
          <w:bCs/>
        </w:rPr>
        <w:t xml:space="preserve">a,b</w:t>
      </w:r>
      <w:r>
        <w:t xml:space="preserve"> </w:t>
      </w:r>
      <w:r>
        <w:t xml:space="preserve">ROC curves showing PANDA’s robustness under race-driven shift.</w:t>
      </w:r>
      <w:r>
        <w:t xml:space="preserve"> </w:t>
      </w:r>
      <w:r>
        <w:rPr>
          <w:b/>
          <w:bCs/>
        </w:rPr>
        <w:t xml:space="preserve">c,d</w:t>
      </w:r>
      <w:r>
        <w:t xml:space="preserve"> </w:t>
      </w:r>
      <w:r>
        <w:t xml:space="preserve">Calibration curves assessing probability estimates.</w:t>
      </w:r>
      <w:r>
        <w:t xml:space="preserve"> </w:t>
      </w:r>
      <w:r>
        <w:rPr>
          <w:b/>
          <w:bCs/>
        </w:rPr>
        <w:t xml:space="preserve">e,f</w:t>
      </w:r>
      <w:r>
        <w:t xml:space="preserve"> </w:t>
      </w:r>
      <w:r>
        <w:t xml:space="preserve">Decision curves illustrating net benefit across clinical thresholds.</w:t>
      </w:r>
    </w:p>
    <w:bookmarkEnd w:id="134"/>
    <w:bookmarkEnd w:id="135"/>
    <w:bookmarkStart w:id="145" w:name="interpretability-and-stability"/>
    <w:p>
      <w:pPr>
        <w:pStyle w:val="2"/>
      </w:pPr>
      <w:r>
        <w:t xml:space="preserve">Interpretability and Stability</w:t>
      </w:r>
    </w:p>
    <w:p>
      <w:pPr>
        <w:pStyle w:val="FirstParagraph"/>
      </w:pPr>
      <w:r>
        <w:t xml:space="preserve">From an interpretability perspective, recursive feature elimination (RFE) identified a stable subset of 8 features (Age, Spiculation, etc.) that maximized the cost-effectiveness index (Fig. </w:t>
      </w:r>
      <w:hyperlink w:anchor="fig:rfe-performance">
        <w:r>
          <w:rPr>
            <w:rStyle w:val="af"/>
          </w:rPr>
          <w:t xml:space="preserve">4</w:t>
        </w:r>
      </w:hyperlink>
      <w:r>
        <w:t xml:space="preserve">). This</w:t>
      </w:r>
      <w:r>
        <w:t xml:space="preserve"> </w:t>
      </w:r>
      <w:r>
        <w:rPr>
          <w:rStyle w:val="VerbatimChar"/>
        </w:rPr>
        <w:t xml:space="preserve">best8</w:t>
      </w:r>
      <w:r>
        <w:t xml:space="preserve"> </w:t>
      </w:r>
      <w:r>
        <w:t xml:space="preserve">set performed within 1% of the full 63-feature set while providing substantially better cross-center stability. In source-domain evaluation, we also report RFE curves (Fig. </w:t>
      </w:r>
      <w:hyperlink w:anchor="fig:rfe-performance">
        <w:r>
          <w:rPr>
            <w:rStyle w:val="af"/>
          </w:rPr>
          <w:t xml:space="preserve">4</w:t>
        </w:r>
      </w:hyperlink>
      <w:r>
        <w:t xml:space="preserve">) that track AUC, accuracy, and F1 as functions of the retained subset size, together with stability and cost-effectiveness metrics. Performance plateaus around 9–13 features, consistent with the feature subset used in the final experiments.</w:t>
      </w:r>
    </w:p>
    <w:bookmarkStart w:id="139" w:name="fig:rfe-performance"/>
    <w:p>
      <w:pPr>
        <w:pStyle w:val="CaptionedFigure"/>
      </w:pPr>
      <w:r>
        <w:drawing>
          <wp:inline>
            <wp:extent cx="5486400" cy="5769847"/>
            <wp:effectExtent b="0" l="0" r="0" t="0"/>
            <wp:docPr descr="Figure 5: Comprehensive feature selection and performance analysis using recursive feature elimination (RFE). (a) AUC, accuracy, and F1 curves as functions of the number of selected features; performance plateaus around 9–13 features, aligning with the preference for simpler models. Shaded regions show variance across 10-fold cross-validation. (b) Class-specific accuracy for malignant and benign cases across subset sizes, illustrating how predictive balance shifts as features are removed. (c) Training-time analysis (seconds per fold) as a function of feature dimensionality, highlighting the computational gain from smaller subsets. (d) Stability assessment using the coefficient of variation across folds; lower values indicate steadier performance. (e) Cost-effectiveness index combining multiple criteria (Performance\times0.45 + Simplicity\times0.25 + Efficiency\times0.15 + Stability\times0.15) to identify a feature count that balances accuracy with practical deployment considerations." title="" id="137" name="Picture"/>
            <a:graphic>
              <a:graphicData uri="http://schemas.openxmlformats.org/drawingml/2006/picture">
                <pic:pic>
                  <pic:nvPicPr>
                    <pic:cNvPr descr="img/cross_hospital/feature_performance_comparison_comprehensive.pdf" id="138" name="Picture"/>
                    <pic:cNvPicPr>
                      <a:picLocks noChangeArrowheads="1" noChangeAspect="1"/>
                    </pic:cNvPicPr>
                  </pic:nvPicPr>
                  <pic:blipFill>
                    <a:blip r:embed="rId136"/>
                    <a:stretch>
                      <a:fillRect/>
                    </a:stretch>
                  </pic:blipFill>
                  <pic:spPr bwMode="auto">
                    <a:xfrm>
                      <a:off x="0" y="0"/>
                      <a:ext cx="5486400" cy="5769847"/>
                    </a:xfrm>
                    <a:prstGeom prst="rect">
                      <a:avLst/>
                    </a:prstGeom>
                    <a:noFill/>
                    <a:ln w="9525">
                      <a:noFill/>
                      <a:headEnd/>
                      <a:tailEnd/>
                    </a:ln>
                  </pic:spPr>
                </pic:pic>
              </a:graphicData>
            </a:graphic>
          </wp:inline>
        </w:drawing>
      </w:r>
    </w:p>
    <w:p>
      <w:pPr>
        <w:pStyle w:val="ImageCaption"/>
      </w:pPr>
      <w:r>
        <w:t xml:space="preserve">Figure 5:</w:t>
      </w:r>
      <w:r>
        <w:t xml:space="preserve"> </w:t>
      </w:r>
      <w:r>
        <w:rPr>
          <w:b/>
          <w:bCs/>
        </w:rPr>
        <w:t xml:space="preserve">Comprehensive feature selection and performance analysis using recursive feature elimination (RFE).</w:t>
      </w:r>
      <w:r>
        <w:t xml:space="preserve"> </w:t>
      </w:r>
      <w:r>
        <w:t xml:space="preserve">(a) AUC, accuracy, and F1 curves as functions of the number of selected features; performance plateaus around 9–13 features, aligning with the preference for simpler models. Shaded regions show variance across 10-fold cross-validation. (b) Class-specific accuracy for malignant and benign cases across subset sizes, illustrating how predictive balance shifts as features are removed. (c) Training-time analysis (seconds per fold) as a function of feature dimensionality, highlighting the computational gain from smaller subsets. (d) Stability assessment using the coefficient of variation across folds; lower values indicate steadier performance. (e) Cost-effectiveness index combining multiple criteria (Performance</w:t>
      </w:r>
      <m:oMath>
        <m:r>
          <m:rPr>
            <m:sty m:val="p"/>
          </m:rPr>
          <m:t>×</m:t>
        </m:r>
      </m:oMath>
      <w:r>
        <w:t xml:space="preserve">0.45 + Simplicity</w:t>
      </w:r>
      <m:oMath>
        <m:r>
          <m:rPr>
            <m:sty m:val="p"/>
          </m:rPr>
          <m:t>×</m:t>
        </m:r>
      </m:oMath>
      <w:r>
        <w:t xml:space="preserve">0.25 + Efficiency</w:t>
      </w:r>
      <m:oMath>
        <m:r>
          <m:rPr>
            <m:sty m:val="p"/>
          </m:rPr>
          <m:t>×</m:t>
        </m:r>
      </m:oMath>
      <w:r>
        <w:t xml:space="preserve">0.15 + Stability</w:t>
      </w:r>
      <m:oMath>
        <m:r>
          <m:rPr>
            <m:sty m:val="p"/>
          </m:rPr>
          <m:t>×</m:t>
        </m:r>
      </m:oMath>
      <w:r>
        <w:t xml:space="preserve">0.15) to identify a feature count that balances accuracy with practical deployment considerations.</w:t>
      </w:r>
    </w:p>
    <w:bookmarkEnd w:id="139"/>
    <w:bookmarkStart w:id="143" w:name="fig:combined_analysis"/>
    <w:p>
      <w:pPr>
        <w:pStyle w:val="CaptionedFigure"/>
      </w:pPr>
      <w:r>
        <w:drawing>
          <wp:inline>
            <wp:extent cx="5486400" cy="6125919"/>
            <wp:effectExtent b="0" l="0" r="0" t="0"/>
            <wp:docPr descr="Figure 6: Performance and utility across source and target domains. a,b ROC curves comparing source (Cohort A) and external (Cohort B) behavior. c,d Calibration plots for the same splits. e,f Decision curves illustrating the net clinical benefit of PANDA and its TCA extension." title="" id="141" name="Picture"/>
            <a:graphic>
              <a:graphicData uri="http://schemas.openxmlformats.org/drawingml/2006/picture">
                <pic:pic>
                  <pic:nvPicPr>
                    <pic:cNvPr descr="img/cross_hospital/combined_analysis_figure.pdf" id="142" name="Picture"/>
                    <pic:cNvPicPr>
                      <a:picLocks noChangeArrowheads="1" noChangeAspect="1"/>
                    </pic:cNvPicPr>
                  </pic:nvPicPr>
                  <pic:blipFill>
                    <a:blip r:embed="rId140"/>
                    <a:stretch>
                      <a:fillRect/>
                    </a:stretch>
                  </pic:blipFill>
                  <pic:spPr bwMode="auto">
                    <a:xfrm>
                      <a:off x="0" y="0"/>
                      <a:ext cx="5486400" cy="6125919"/>
                    </a:xfrm>
                    <a:prstGeom prst="rect">
                      <a:avLst/>
                    </a:prstGeom>
                    <a:noFill/>
                    <a:ln w="9525">
                      <a:noFill/>
                      <a:headEnd/>
                      <a:tailEnd/>
                    </a:ln>
                  </pic:spPr>
                </pic:pic>
              </a:graphicData>
            </a:graphic>
          </wp:inline>
        </w:drawing>
      </w:r>
    </w:p>
    <w:p>
      <w:pPr>
        <w:pStyle w:val="ImageCaption"/>
      </w:pPr>
      <w:r>
        <w:t xml:space="preserve">Figure 6:</w:t>
      </w:r>
      <w:r>
        <w:t xml:space="preserve"> </w:t>
      </w:r>
      <w:r>
        <w:rPr>
          <w:b/>
          <w:bCs/>
        </w:rPr>
        <w:t xml:space="preserve">Performance and utility across source and target domains.</w:t>
      </w:r>
      <w:r>
        <w:t xml:space="preserve"> </w:t>
      </w:r>
      <w:r>
        <w:rPr>
          <w:b/>
          <w:bCs/>
        </w:rPr>
        <w:t xml:space="preserve">a,b</w:t>
      </w:r>
      <w:r>
        <w:t xml:space="preserve"> </w:t>
      </w:r>
      <w:r>
        <w:t xml:space="preserve">ROC curves comparing source (Cohort A) and external (Cohort B) behavior.</w:t>
      </w:r>
      <w:r>
        <w:t xml:space="preserve"> </w:t>
      </w:r>
      <w:r>
        <w:rPr>
          <w:b/>
          <w:bCs/>
        </w:rPr>
        <w:t xml:space="preserve">c,d</w:t>
      </w:r>
      <w:r>
        <w:t xml:space="preserve"> </w:t>
      </w:r>
      <w:r>
        <w:t xml:space="preserve">Calibration plots for the same splits.</w:t>
      </w:r>
      <w:r>
        <w:t xml:space="preserve"> </w:t>
      </w:r>
      <w:r>
        <w:rPr>
          <w:b/>
          <w:bCs/>
        </w:rPr>
        <w:t xml:space="preserve">e,f</w:t>
      </w:r>
      <w:r>
        <w:t xml:space="preserve"> </w:t>
      </w:r>
      <w:r>
        <w:t xml:space="preserve">Decision curves illustrating the net clinical benefit of PANDA and its TCA extension.</w:t>
      </w:r>
    </w:p>
    <w:bookmarkEnd w:id="143"/>
    <w:p>
      <w:pPr>
        <w:pStyle w:val="a0"/>
      </w:pPr>
      <w:bookmarkStart w:id="144" w:name="sec:eval-end"/>
      <w:bookmarkEnd w:id="144"/>
    </w:p>
    <w:bookmarkEnd w:id="145"/>
    <w:bookmarkEnd w:id="146"/>
    <w:bookmarkStart w:id="157" w:name="sec:concl-start"/>
    <w:p>
      <w:pPr>
        <w:pStyle w:val="1"/>
      </w:pPr>
      <w:r>
        <w:t xml:space="preserve">Conclusion</w:t>
      </w:r>
    </w:p>
    <w:bookmarkStart w:id="147" w:name="summary-of-contributions"/>
    <w:p>
      <w:pPr>
        <w:pStyle w:val="2"/>
      </w:pPr>
      <w:r>
        <w:t xml:space="preserve">Summary of Contributions</w:t>
      </w:r>
    </w:p>
    <w:p>
      <w:pPr>
        <w:pStyle w:val="FirstParagraph"/>
      </w:pPr>
      <w:r>
        <w:t xml:space="preserve">This dissertation introduces PANDA, a framework that connects pre-trained tabular foundation models to the practical constraints of medical tabular data, including small sample sizes, heterogeneous feature schemas, and distribution shifts. Experiments on private cross-hospital cohorts and public benchmarks show that:</w:t>
      </w:r>
    </w:p>
    <w:p>
      <w:pPr>
        <w:numPr>
          <w:ilvl w:val="0"/>
          <w:numId w:val="1030"/>
        </w:numPr>
      </w:pPr>
      <w:r>
        <w:rPr>
          <w:b/>
          <w:bCs/>
        </w:rPr>
        <w:t xml:space="preserve">Foundation Models as Robust Priors</w:t>
      </w:r>
      <w:r>
        <w:t xml:space="preserve">: The pre-trained TabPFN backbone substantially outperforms traditional baselines (Random Forest, XGBoost) on small datasets (</w:t>
      </w:r>
      <m:oMath>
        <m:r>
          <m:t>n</m:t>
        </m:r>
        <m:r>
          <m:rPr>
            <m:sty m:val="p"/>
          </m:rPr>
          <m:t>&lt;</m:t>
        </m:r>
        <m:r>
          <m:t>300</m:t>
        </m:r>
      </m:oMath>
      <w:r>
        <w:t xml:space="preserve">) by exploiting priors learned from millions of synthetic tasks. This in-context learning capability provides a strong initialization that is more resistant to overfitting than standard empirical risk minimization.</w:t>
      </w:r>
    </w:p>
    <w:p>
      <w:pPr>
        <w:numPr>
          <w:ilvl w:val="0"/>
          <w:numId w:val="1030"/>
        </w:numPr>
      </w:pPr>
      <w:r>
        <w:rPr>
          <w:b/>
          <w:bCs/>
        </w:rPr>
        <w:t xml:space="preserve">Stability via Selection</w:t>
      </w:r>
      <w:r>
        <w:t xml:space="preserve">: The Cross-Domain Recursive Feature Elimination (RFE) protocol is essential for removing site-specific artifacts. By converging on a compact set of eight stable predictors, it reduces the dimensionality of the adaptation problem and enables linear alignment methods to succeed where non-linear approaches fail.</w:t>
      </w:r>
    </w:p>
    <w:p>
      <w:pPr>
        <w:numPr>
          <w:ilvl w:val="0"/>
          <w:numId w:val="1030"/>
        </w:numPr>
      </w:pPr>
      <w:r>
        <w:rPr>
          <w:b/>
          <w:bCs/>
        </w:rPr>
        <w:t xml:space="preserve">Latent Space Alignment</w:t>
      </w:r>
      <w:r>
        <w:t xml:space="preserve">: Transfer Component Analysis (TCA) applied in the Transformer embedding space effectively reduces the Maximum Mean Discrepancy (MMD) between domains. This alignment yields a consistent performance gain (AUC +0.007) and, more importantly, improves calibration in the target domain.</w:t>
      </w:r>
    </w:p>
    <w:bookmarkEnd w:id="147"/>
    <w:bookmarkStart w:id="151" w:name="limitations"/>
    <w:p>
      <w:pPr>
        <w:pStyle w:val="2"/>
      </w:pPr>
      <w:r>
        <w:t xml:space="preserve">Limitations</w:t>
      </w:r>
    </w:p>
    <w:p>
      <w:pPr>
        <w:pStyle w:val="FirstParagraph"/>
      </w:pPr>
      <w:r>
        <w:t xml:space="preserve">Although PANDA advances the state of the art, several limitations remain.</w:t>
      </w:r>
    </w:p>
    <w:bookmarkStart w:id="148" w:name="closed-world-assumption"/>
    <w:p>
      <w:pPr>
        <w:pStyle w:val="3"/>
      </w:pPr>
      <w:r>
        <w:t xml:space="preserve">Closed-World Assumption</w:t>
      </w:r>
    </w:p>
    <w:p>
      <w:pPr>
        <w:pStyle w:val="FirstParagraph"/>
      </w:pPr>
      <w:r>
        <w:t xml:space="preserve">PANDA assumes that the source and target domains share a common feature schema given by their intersection. It does not address open-world shifts in which the target domain introduces entirely new, highly predictive features that are absent in the source. For example, if a new hospital collects a molecular biomarker (such as DNA methylation) that is not available in the training cohort, PANDA cannot exploit this information without retraining. This lowest-common-denominator strategy in feature selection promotes stability but may limit performance relative to models trained on richer, site-specific schemas.</w:t>
      </w:r>
    </w:p>
    <w:bookmarkEnd w:id="148"/>
    <w:bookmarkStart w:id="149" w:name="missing-data-mechanisms"/>
    <w:p>
      <w:pPr>
        <w:pStyle w:val="3"/>
      </w:pPr>
      <w:r>
        <w:t xml:space="preserve">Missing Data Mechanisms</w:t>
      </w:r>
    </w:p>
    <w:p>
      <w:pPr>
        <w:pStyle w:val="FirstParagraph"/>
      </w:pPr>
      <w:r>
        <w:t xml:space="preserve">The current approach assumes that missing values are either Missing Completely At Random (MCAR) or Missing At Random (MAR). The</w:t>
      </w:r>
      <w:r>
        <w:t xml:space="preserve"> </w:t>
      </w:r>
      <w:r>
        <w:rPr>
          <w:rStyle w:val="VerbatimChar"/>
        </w:rPr>
        <w:t xml:space="preserve">best8</w:t>
      </w:r>
      <w:r>
        <w:t xml:space="preserve"> </w:t>
      </w:r>
      <w:r>
        <w:t xml:space="preserve">feature set was selected partly for its high completeness. However, in clinical practice data are often Missing Not At Random (MNAR); for instance, a test may not be ordered because the clinician believes that the patient is either too healthy or too sick. PANDA’s current imputation strategies (mean, median, and contextual imputation) do not explicitly model such informative missingness and may therefore introduce bias.</w:t>
      </w:r>
    </w:p>
    <w:bookmarkEnd w:id="149"/>
    <w:bookmarkStart w:id="150" w:name="computational-resource-requirements"/>
    <w:p>
      <w:pPr>
        <w:pStyle w:val="3"/>
      </w:pPr>
      <w:r>
        <w:t xml:space="preserve">Computational Resource Requirements</w:t>
      </w:r>
    </w:p>
    <w:p>
      <w:pPr>
        <w:pStyle w:val="FirstParagraph"/>
      </w:pPr>
      <w:r>
        <w:t xml:space="preserve">In contrast to decision trees, which can run on embedded central processing units, TabPFN requires a graphical processing unit for efficient inference (approximately 20 ms per patient). While this cost is negligible for a cloud-based service, it creates a barrier to deployment on edge devices, such as older hospital workstations without dedicated hardware acceleration. The</w:t>
      </w:r>
      <w:r>
        <w:t xml:space="preserve"> </w:t>
      </w:r>
      <m:oMath>
        <m:r>
          <m:t>O</m:t>
        </m:r>
        <m:r>
          <m:rPr>
            <m:sty m:val="p"/>
          </m:rPr>
          <m:t>(</m:t>
        </m:r>
        <m:sSup>
          <m:e>
            <m:r>
              <m:t>N</m:t>
            </m:r>
          </m:e>
          <m:sup>
            <m:r>
              <m:t>2</m:t>
            </m:r>
          </m:sup>
        </m:sSup>
        <m:r>
          <m:rPr>
            <m:sty m:val="p"/>
          </m:rPr>
          <m:t>)</m:t>
        </m:r>
      </m:oMath>
      <w:r>
        <w:t xml:space="preserve"> </w:t>
      </w:r>
      <w:r>
        <w:t xml:space="preserve">complexity of the Transformer attention mechanism also limits the context size and necessitates subsampling strategies for larger datasets such as BRFSS.</w:t>
      </w:r>
    </w:p>
    <w:bookmarkEnd w:id="150"/>
    <w:bookmarkEnd w:id="151"/>
    <w:bookmarkStart w:id="154" w:name="future-directions"/>
    <w:p>
      <w:pPr>
        <w:pStyle w:val="2"/>
      </w:pPr>
      <w:r>
        <w:t xml:space="preserve">Future Directions</w:t>
      </w:r>
    </w:p>
    <w:bookmarkStart w:id="152" w:name="federated-domain-adaptation"/>
    <w:p>
      <w:pPr>
        <w:pStyle w:val="3"/>
      </w:pPr>
      <w:r>
        <w:t xml:space="preserve">Federated Domain Adaptation</w:t>
      </w:r>
    </w:p>
    <w:p>
      <w:pPr>
        <w:pStyle w:val="FirstParagraph"/>
      </w:pPr>
      <w:r>
        <w:t xml:space="preserve">Privacy regulations (such as GDPR and HIPAA) often prevent the centralization of medical data. A natural extension of PANDA is federated domain adaptation, in which the feature extractor (TabPFN) remains frozen and shared, while the alignment matrix (TCA) is learned through secure multi-party computation. Because TCA only requires second-order statistics (covariance matrices), participating hospitals can aggregate these sufficient statistics without sharing patient-level records.</w:t>
      </w:r>
    </w:p>
    <w:bookmarkEnd w:id="152"/>
    <w:bookmarkStart w:id="153" w:name="multimodal-integration"/>
    <w:p>
      <w:pPr>
        <w:pStyle w:val="3"/>
      </w:pPr>
      <w:r>
        <w:t xml:space="preserve">Multimodal Integration</w:t>
      </w:r>
    </w:p>
    <w:p>
      <w:pPr>
        <w:pStyle w:val="FirstParagraph"/>
      </w:pPr>
      <w:r>
        <w:t xml:space="preserve">Pulmonary nodule diagnosis inherently combines imaging (computed tomography scans) with clinical data. Future work should investigate a multimodal variant of PANDA that aligns tabular embeddings from TabPFN with visual embeddings from a convolutional neural network or Vision Transformer. A cross-attention mechanism could then weight the relative contributions of clinical history and radiological appearance in a domain-aware manner, placing greater emphasis on the modality that remains stable when the other is affected by artifacts.</w:t>
      </w:r>
    </w:p>
    <w:bookmarkEnd w:id="153"/>
    <w:bookmarkEnd w:id="154"/>
    <w:bookmarkStart w:id="156" w:name="final-remarks"/>
    <w:p>
      <w:pPr>
        <w:pStyle w:val="2"/>
      </w:pPr>
      <w:r>
        <w:t xml:space="preserve">Final Remarks</w:t>
      </w:r>
    </w:p>
    <w:p>
      <w:pPr>
        <w:pStyle w:val="FirstParagraph"/>
      </w:pPr>
      <w:r>
        <w:t xml:space="preserve">The deployment gap in medical AI seldom arises from a lack of sophisticated architectures; it more often results from a failure to accommodate the noisy and shifted nature of real-world data. PANDA provides a pragmatic blueprint for this challenge:</w:t>
      </w:r>
      <w:r>
        <w:t xml:space="preserve"> </w:t>
      </w:r>
      <w:r>
        <w:rPr>
          <w:i/>
          <w:iCs/>
        </w:rPr>
        <w:t xml:space="preserve">do not learn everything from scratch, select only what is stable, and align what remains</w:t>
      </w:r>
      <w:r>
        <w:t xml:space="preserve">. By treating pre-trained representations as portable priors and statistical alignment as a safety mechanism, this framework moves the field closer to reliable cross-institutional AI systems that can safely scale beyond their initial training sites.</w:t>
      </w:r>
    </w:p>
    <w:p>
      <w:pPr>
        <w:pStyle w:val="a0"/>
      </w:pPr>
      <w:bookmarkStart w:id="155" w:name="sec:concl-end"/>
      <w:bookmarkEnd w:id="155"/>
    </w:p>
    <w:bookmarkEnd w:id="156"/>
    <w:bookmarkEnd w:id="157"/>
    <w:bookmarkStart w:id="324" w:name="sec:ack-start"/>
    <w:p>
      <w:pPr>
        <w:pStyle w:val="1"/>
      </w:pPr>
      <w:r>
        <w:t xml:space="preserve">Acknowledgements</w:t>
      </w:r>
    </w:p>
    <w:p>
      <w:pPr>
        <w:pStyle w:val="FirstParagraph"/>
      </w:pPr>
      <w:r>
        <w:t xml:space="preserve">I thank the clinical teams at the participating hospitals for sharing de-identified data and domain expertise, my advisor Wenqi Fan for steady guidance, and Bobo for patient and practical advice. Any remaining mistakes are mine.</w:t>
      </w:r>
      <w:r>
        <w:t xml:space="preserve"> </w:t>
      </w:r>
      <w:bookmarkStart w:id="158" w:name="sec:ack-end"/>
      <w:bookmarkEnd w:id="158"/>
    </w:p>
    <w:bookmarkStart w:id="323" w:name="refs"/>
    <w:bookmarkStart w:id="159" w:name="ref-swensen1997chest"/>
    <w:p>
      <w:pPr>
        <w:pStyle w:val="a9"/>
      </w:pPr>
      <w:r>
        <w:t xml:space="preserve">[1]</w:t>
      </w:r>
      <w:r>
        <w:t xml:space="preserve"> </w:t>
      </w:r>
      <w:r>
        <w:t xml:space="preserve">	</w:t>
      </w:r>
      <w:r>
        <w:t xml:space="preserve">Swensen SJ, Silverstein MD, Ilstrup DM, Schleck CD, Edell ES 1997. The probability of malignancy in solitary pulmonary nodules: Application to clinical practice. Chest.111:228–234</w:t>
      </w:r>
    </w:p>
    <w:bookmarkEnd w:id="159"/>
    <w:bookmarkStart w:id="160" w:name="ref-mcwilliams2013probability"/>
    <w:p>
      <w:pPr>
        <w:pStyle w:val="a9"/>
      </w:pPr>
      <w:r>
        <w:t xml:space="preserve">[2]</w:t>
      </w:r>
      <w:r>
        <w:t xml:space="preserve"> </w:t>
      </w:r>
      <w:r>
        <w:t xml:space="preserve">	</w:t>
      </w:r>
      <w:r>
        <w:t xml:space="preserve">McWilliams A, Tammemagi MC, Mayo JR, Roberts H, Liu G, Soghrati K, Yasufuku K, Martel S, Laberge F, Gingras M, Atsu K, Pastis N, Hett K, Sejpal T, Stewart T, Tsao M-S, Goffin J 2013. Probability of malignancy in pulmonary nodules detected on first screening CT. New England Journal of Medicine.369:910–919</w:t>
      </w:r>
    </w:p>
    <w:bookmarkEnd w:id="160"/>
    <w:bookmarkStart w:id="161" w:name="ref-li2011development"/>
    <w:p>
      <w:pPr>
        <w:pStyle w:val="a9"/>
      </w:pPr>
      <w:r>
        <w:t xml:space="preserve">[3]</w:t>
      </w:r>
      <w:r>
        <w:t xml:space="preserve"> </w:t>
      </w:r>
      <w:r>
        <w:t xml:space="preserve">	</w:t>
      </w:r>
      <w:r>
        <w:t xml:space="preserve">Li Y, Chen K-Z, Wang J 2011. Development and validation of a clinical prediction model to estimate the probability of malignancy in solitary pulmonary nodules in chinese people. Clinical lung cancer.12:313–319</w:t>
      </w:r>
    </w:p>
    <w:bookmarkEnd w:id="161"/>
    <w:bookmarkStart w:id="162" w:name="ref-he2021novel"/>
    <w:p>
      <w:pPr>
        <w:pStyle w:val="a9"/>
      </w:pPr>
      <w:r>
        <w:t xml:space="preserve">[4]</w:t>
      </w:r>
      <w:r>
        <w:t xml:space="preserve"> </w:t>
      </w:r>
      <w:r>
        <w:t xml:space="preserve">	</w:t>
      </w:r>
      <w:r>
        <w:t xml:space="preserve">He X, Xue N, Liu X, Tang X, Peng S, Qu Y, Jiang L, Xu Q, Liu W, Chen S 2021. A novel clinical model for predicting malignancy of solitary pulmonary nodules: A multicenter study in chinese population. Cancer cell international.21:115</w:t>
      </w:r>
    </w:p>
    <w:bookmarkEnd w:id="162"/>
    <w:bookmarkStart w:id="164" w:name="ref-zhang_comprehensive_2022"/>
    <w:p>
      <w:pPr>
        <w:pStyle w:val="a9"/>
      </w:pPr>
      <w:r>
        <w:t xml:space="preserve">[5]</w:t>
      </w:r>
      <w:r>
        <w:t xml:space="preserve"> </w:t>
      </w:r>
      <w:r>
        <w:t xml:space="preserve">	</w:t>
      </w:r>
      <w:r>
        <w:t xml:space="preserve">Zhang K, Wei Z, Nie Y, Shen H, Wang X, Wang J, Yang F, Chen K 2022.</w:t>
      </w:r>
      <w:r>
        <w:t xml:space="preserve"> </w:t>
      </w:r>
      <w:hyperlink r:id="rId163">
        <w:r>
          <w:rPr>
            <w:rStyle w:val="af"/>
          </w:rPr>
          <w:t xml:space="preserve">Comprehensive analysis of clinical logistic and machine learning-based models for the evaluation of pulmonary nodules</w:t>
        </w:r>
      </w:hyperlink>
      <w:r>
        <w:t xml:space="preserve">.</w:t>
      </w:r>
      <w:r>
        <w:t xml:space="preserve"> </w:t>
      </w:r>
      <w:r>
        <w:t xml:space="preserve">JTO</w:t>
      </w:r>
      <w:r>
        <w:t xml:space="preserve"> </w:t>
      </w:r>
      <w:r>
        <w:t xml:space="preserve">Clin Res Rep.3:100299</w:t>
      </w:r>
    </w:p>
    <w:bookmarkEnd w:id="164"/>
    <w:bookmarkStart w:id="166" w:name="ref-liu_establishment_2024"/>
    <w:p>
      <w:pPr>
        <w:pStyle w:val="a9"/>
      </w:pPr>
      <w:r>
        <w:t xml:space="preserve">[6]</w:t>
      </w:r>
      <w:r>
        <w:t xml:space="preserve"> </w:t>
      </w:r>
      <w:r>
        <w:t xml:space="preserve">	</w:t>
      </w:r>
      <w:r>
        <w:t xml:space="preserve">Liu Q, Lv X, Zhou D, Yu N, Hong Y, Zeng Y 2024.</w:t>
      </w:r>
      <w:r>
        <w:t xml:space="preserve"> </w:t>
      </w:r>
      <w:hyperlink r:id="rId165">
        <w:r>
          <w:rPr>
            <w:rStyle w:val="af"/>
          </w:rPr>
          <w:t xml:space="preserve">Establishment and validation of multiclassification prediction models for pulmonary nodules based on machine learning</w:t>
        </w:r>
      </w:hyperlink>
      <w:r>
        <w:t xml:space="preserve">. Clin Respir J.18:e13769</w:t>
      </w:r>
    </w:p>
    <w:bookmarkEnd w:id="166"/>
    <w:bookmarkStart w:id="168" w:name="ref-garau_external_2020"/>
    <w:p>
      <w:pPr>
        <w:pStyle w:val="a9"/>
      </w:pPr>
      <w:r>
        <w:t xml:space="preserve">[7]</w:t>
      </w:r>
      <w:r>
        <w:t xml:space="preserve"> </w:t>
      </w:r>
      <w:r>
        <w:t xml:space="preserve">	</w:t>
      </w:r>
      <w:r>
        <w:t xml:space="preserve">Garau N, Paganelli C, Summers P, Choi W, Alam S, Lu W, Fanciullo C, Bellomi M, Baroni G, Rampinelli C 2020.</w:t>
      </w:r>
      <w:r>
        <w:t xml:space="preserve"> </w:t>
      </w:r>
      <w:hyperlink r:id="rId167">
        <w:r>
          <w:rPr>
            <w:rStyle w:val="af"/>
          </w:rPr>
          <w:t xml:space="preserve">External validation of radiomics-based predictive models in low-dose</w:t>
        </w:r>
        <w:r>
          <w:rPr>
            <w:rStyle w:val="af"/>
          </w:rPr>
          <w:t xml:space="preserve"> </w:t>
        </w:r>
        <w:r>
          <w:rPr>
            <w:rStyle w:val="af"/>
          </w:rPr>
          <w:t xml:space="preserve">CT</w:t>
        </w:r>
        <w:r>
          <w:rPr>
            <w:rStyle w:val="af"/>
          </w:rPr>
          <w:t xml:space="preserve"> </w:t>
        </w:r>
        <w:r>
          <w:rPr>
            <w:rStyle w:val="af"/>
          </w:rPr>
          <w:t xml:space="preserve">screening for early lung cancer diagnosis</w:t>
        </w:r>
      </w:hyperlink>
      <w:r>
        <w:t xml:space="preserve">. Med Phys.47:4125–4136</w:t>
      </w:r>
    </w:p>
    <w:bookmarkEnd w:id="168"/>
    <w:bookmarkStart w:id="169" w:name="ref-chen2016xgboost"/>
    <w:p>
      <w:pPr>
        <w:pStyle w:val="a9"/>
      </w:pPr>
      <w:r>
        <w:t xml:space="preserve">[8]</w:t>
      </w:r>
      <w:r>
        <w:t xml:space="preserve"> </w:t>
      </w:r>
      <w:r>
        <w:t xml:space="preserve">	</w:t>
      </w:r>
      <w:r>
        <w:t xml:space="preserve">Chen T, Guestrin C 2016. Xgboost: A scalable tree boosting system. Proceedings of the 22nd acm sigkdd international conference on knowledge discovery and data mining.785–794</w:t>
      </w:r>
    </w:p>
    <w:bookmarkEnd w:id="169"/>
    <w:bookmarkStart w:id="170" w:name="ref-gorishniy2021revisiting"/>
    <w:p>
      <w:pPr>
        <w:pStyle w:val="a9"/>
      </w:pPr>
      <w:r>
        <w:t xml:space="preserve">[9]</w:t>
      </w:r>
      <w:r>
        <w:t xml:space="preserve"> </w:t>
      </w:r>
      <w:r>
        <w:t xml:space="preserve">	</w:t>
      </w:r>
      <w:r>
        <w:t xml:space="preserve">Gorishniy Y, Rubachev I, Khrulkov V, Babenko A 2021. Revisiting deep learning models for tabular data. Advances in neural information processing systems.34:18932–18943</w:t>
      </w:r>
    </w:p>
    <w:bookmarkEnd w:id="170"/>
    <w:bookmarkStart w:id="171" w:name="ref-arik2021tabnet"/>
    <w:p>
      <w:pPr>
        <w:pStyle w:val="a9"/>
      </w:pPr>
      <w:r>
        <w:t xml:space="preserve">[10]</w:t>
      </w:r>
      <w:r>
        <w:t xml:space="preserve"> </w:t>
      </w:r>
      <w:r>
        <w:t xml:space="preserve">	</w:t>
      </w:r>
      <w:r>
        <w:t xml:space="preserve">Arik SO, Pfister T 2021. TabNet: Attentive interpretable tabular learning. Proceedings of the AAAI conference on artificial intelligence.35:6679–6687</w:t>
      </w:r>
    </w:p>
    <w:bookmarkEnd w:id="171"/>
    <w:bookmarkStart w:id="172" w:name="ref-huang2020tabtransformer"/>
    <w:p>
      <w:pPr>
        <w:pStyle w:val="a9"/>
      </w:pPr>
      <w:r>
        <w:t xml:space="preserve">[11]</w:t>
      </w:r>
      <w:r>
        <w:t xml:space="preserve"> </w:t>
      </w:r>
      <w:r>
        <w:t xml:space="preserve">	</w:t>
      </w:r>
      <w:r>
        <w:t xml:space="preserve">Huang X, Khetan A, Cvitkovic M, Karnin Z 2020. TabTransformer: Tabular data modeling using contextual embeddings. Advances in neural information processing systems.33:14914–14925</w:t>
      </w:r>
    </w:p>
    <w:bookmarkEnd w:id="172"/>
    <w:bookmarkStart w:id="173" w:name="ref-somepalli2021saint"/>
    <w:p>
      <w:pPr>
        <w:pStyle w:val="a9"/>
      </w:pPr>
      <w:r>
        <w:t xml:space="preserve">[12]</w:t>
      </w:r>
      <w:r>
        <w:t xml:space="preserve"> </w:t>
      </w:r>
      <w:r>
        <w:t xml:space="preserve">	</w:t>
      </w:r>
      <w:r>
        <w:t xml:space="preserve">Somepalli G, Goldblum M, Schwarzschild A, Bruss CB, Goldstein T 2021. Saint: Improved neural networks for tabular data via row attention and contrastive pre-training. arXiv preprint arXiv:2106.01342.</w:t>
      </w:r>
    </w:p>
    <w:bookmarkEnd w:id="173"/>
    <w:bookmarkStart w:id="174" w:name="ref-borisov2022deep"/>
    <w:p>
      <w:pPr>
        <w:pStyle w:val="a9"/>
      </w:pPr>
      <w:r>
        <w:t xml:space="preserve">[13]</w:t>
      </w:r>
      <w:r>
        <w:t xml:space="preserve"> </w:t>
      </w:r>
      <w:r>
        <w:t xml:space="preserve">	</w:t>
      </w:r>
      <w:r>
        <w:t xml:space="preserve">Borisov V, Leemann T, Selegue P, Miotto R, May M, Züfle A 2022. Deep neural networks and tabular data: A survey. IEEE Transactions on Neural Networks and Learning Systems.33:4472–4492</w:t>
      </w:r>
    </w:p>
    <w:bookmarkEnd w:id="174"/>
    <w:bookmarkStart w:id="176" w:name="ref-ardila_end--end_2019"/>
    <w:p>
      <w:pPr>
        <w:pStyle w:val="a9"/>
      </w:pPr>
      <w:r>
        <w:t xml:space="preserve">[14]</w:t>
      </w:r>
      <w:r>
        <w:t xml:space="preserve"> </w:t>
      </w:r>
      <w:r>
        <w:t xml:space="preserve">	</w:t>
      </w:r>
      <w:r>
        <w:t xml:space="preserve">Ardila D, Kiraly AP, Bharadwaj S, Choi B, Reicher JJ, Peng L, Tse D, Etemadi M, Ye W, Corrado G, Naidich DP, Shetty S 2019.</w:t>
      </w:r>
      <w:r>
        <w:t xml:space="preserve"> </w:t>
      </w:r>
      <w:hyperlink r:id="rId175">
        <w:r>
          <w:rPr>
            <w:rStyle w:val="af"/>
          </w:rPr>
          <w:t xml:space="preserve">End-to-end lung cancer screening with three-dimensional deep learning on low-dose chest computed tomography</w:t>
        </w:r>
      </w:hyperlink>
      <w:r>
        <w:t xml:space="preserve">. Nat Med.25:954–961</w:t>
      </w:r>
    </w:p>
    <w:bookmarkEnd w:id="176"/>
    <w:bookmarkStart w:id="178" w:name="ref-zech_variable_2018"/>
    <w:p>
      <w:pPr>
        <w:pStyle w:val="a9"/>
      </w:pPr>
      <w:r>
        <w:t xml:space="preserve">[15]</w:t>
      </w:r>
      <w:r>
        <w:t xml:space="preserve"> </w:t>
      </w:r>
      <w:r>
        <w:t xml:space="preserve">	</w:t>
      </w:r>
      <w:r>
        <w:t xml:space="preserve">Zech JR, Badgeley MA, Liu M, Costa AB, Titano JJ, Oermann EK 2018.</w:t>
      </w:r>
      <w:r>
        <w:t xml:space="preserve"> </w:t>
      </w:r>
      <w:hyperlink r:id="rId177">
        <w:r>
          <w:rPr>
            <w:rStyle w:val="af"/>
          </w:rPr>
          <w:t xml:space="preserve">Variable generalization performance of a deep learning model to detect pneumonia in chest radiographs: A cross-sectional study</w:t>
        </w:r>
      </w:hyperlink>
      <w:r>
        <w:t xml:space="preserve">.</w:t>
      </w:r>
      <w:r>
        <w:t xml:space="preserve"> </w:t>
      </w:r>
      <w:r>
        <w:t xml:space="preserve">PLOS</w:t>
      </w:r>
      <w:r>
        <w:t xml:space="preserve"> </w:t>
      </w:r>
      <w:r>
        <w:t xml:space="preserve">Medicine.15:e1002683</w:t>
      </w:r>
    </w:p>
    <w:bookmarkEnd w:id="178"/>
    <w:bookmarkStart w:id="179" w:name="ref-hellin2024unraveling"/>
    <w:p>
      <w:pPr>
        <w:pStyle w:val="a9"/>
      </w:pPr>
      <w:r>
        <w:t xml:space="preserve">[16]</w:t>
      </w:r>
      <w:r>
        <w:t xml:space="preserve"> </w:t>
      </w:r>
      <w:r>
        <w:t xml:space="preserve">	</w:t>
      </w:r>
      <w:r>
        <w:t xml:space="preserve">Hellı́n CJ, Olmedo AA, Valledor A, Gómez J, López-Benı́tez M, Tayebi A 2024. Unraveling the impact of class imbalance on deep-learning models for medical image classification. Applied Sciences.14:3419</w:t>
      </w:r>
    </w:p>
    <w:bookmarkEnd w:id="179"/>
    <w:bookmarkStart w:id="180" w:name="ref-hollmann2025accurate"/>
    <w:p>
      <w:pPr>
        <w:pStyle w:val="a9"/>
      </w:pPr>
      <w:r>
        <w:t xml:space="preserve">[17]</w:t>
      </w:r>
      <w:r>
        <w:t xml:space="preserve"> </w:t>
      </w:r>
      <w:r>
        <w:t xml:space="preserve">	</w:t>
      </w:r>
      <w:r>
        <w:t xml:space="preserve">Hollmann N, Müller S, Purucker L, Krishnakumar A, Körfer M, Hoo SB, Schirrmeister RT, Hutter F 2025. Accurate predictions on small data with a tabular foundation model. Nature.637:319–326</w:t>
      </w:r>
    </w:p>
    <w:bookmarkEnd w:id="180"/>
    <w:bookmarkStart w:id="181" w:name="ref-schneider2024foundation"/>
    <w:p>
      <w:pPr>
        <w:pStyle w:val="a9"/>
      </w:pPr>
      <w:r>
        <w:t xml:space="preserve">[18]</w:t>
      </w:r>
      <w:r>
        <w:t xml:space="preserve"> </w:t>
      </w:r>
      <w:r>
        <w:t xml:space="preserve">	</w:t>
      </w:r>
      <w:r>
        <w:t xml:space="preserve">Schneider J, Meske C, Kuss P 2024. Foundation models: A new paradigm for artificial intelligence. Business &amp; Information Systems Engineering.66:221–231</w:t>
      </w:r>
    </w:p>
    <w:bookmarkEnd w:id="181"/>
    <w:bookmarkStart w:id="183" w:name="ref-noauthor_prior_nodate"/>
    <w:p>
      <w:pPr>
        <w:pStyle w:val="a9"/>
      </w:pPr>
      <w:r>
        <w:t xml:space="preserve">[19]</w:t>
      </w:r>
      <w:r>
        <w:t xml:space="preserve"> </w:t>
      </w:r>
      <w:r>
        <w:t xml:space="preserve">	</w:t>
      </w:r>
      <w:hyperlink r:id="rId182">
        <w:r>
          <w:rPr>
            <w:rStyle w:val="af"/>
          </w:rPr>
          <w:t xml:space="preserve">Prior labs</w:t>
        </w:r>
      </w:hyperlink>
      <w:r>
        <w:t xml:space="preserve">.</w:t>
      </w:r>
      <w:r>
        <w:t xml:space="preserve"> </w:t>
      </w:r>
    </w:p>
    <w:bookmarkEnd w:id="183"/>
    <w:bookmarkStart w:id="185" w:name="ref-noauthor_realistic_nodate"/>
    <w:p>
      <w:pPr>
        <w:pStyle w:val="a9"/>
      </w:pPr>
      <w:r>
        <w:t xml:space="preserve">[20]</w:t>
      </w:r>
      <w:r>
        <w:t xml:space="preserve"> </w:t>
      </w:r>
      <w:r>
        <w:t xml:space="preserve">	</w:t>
      </w:r>
      <w:hyperlink r:id="rId184">
        <w:r>
          <w:rPr>
            <w:rStyle w:val="af"/>
          </w:rPr>
          <w:t xml:space="preserve">Realistic evaluation of</w:t>
        </w:r>
        <w:r>
          <w:rPr>
            <w:rStyle w:val="af"/>
          </w:rPr>
          <w:t xml:space="preserve"> </w:t>
        </w:r>
        <w:r>
          <w:rPr>
            <w:rStyle w:val="af"/>
          </w:rPr>
          <w:t xml:space="preserve">TabPFN</w:t>
        </w:r>
        <w:r>
          <w:rPr>
            <w:rStyle w:val="af"/>
          </w:rPr>
          <w:t xml:space="preserve"> </w:t>
        </w:r>
        <w:r>
          <w:rPr>
            <w:rStyle w:val="af"/>
          </w:rPr>
          <w:t xml:space="preserve">v2 in open environments</w:t>
        </w:r>
      </w:hyperlink>
      <w:r>
        <w:t xml:space="preserve">.</w:t>
      </w:r>
      <w:r>
        <w:t xml:space="preserve"> </w:t>
      </w:r>
    </w:p>
    <w:bookmarkEnd w:id="185"/>
    <w:bookmarkStart w:id="187" w:name="X60a9a1bcb93ef50ea8b7bc291808839e814cc23"/>
    <w:p>
      <w:pPr>
        <w:pStyle w:val="a9"/>
      </w:pPr>
      <w:r>
        <w:t xml:space="preserve">[21]</w:t>
      </w:r>
      <w:r>
        <w:t xml:space="preserve"> </w:t>
      </w:r>
      <w:r>
        <w:t xml:space="preserve">	</w:t>
      </w:r>
      <w:r>
        <w:t xml:space="preserve">2025.</w:t>
      </w:r>
      <w:r>
        <w:t xml:space="preserve"> </w:t>
      </w:r>
      <w:hyperlink r:id="rId186">
        <w:r>
          <w:rPr>
            <w:rStyle w:val="af"/>
          </w:rPr>
          <w:t xml:space="preserve">Automl/drift-resilient_TabPFN</w:t>
        </w:r>
      </w:hyperlink>
      <w:r>
        <w:t xml:space="preserve">.</w:t>
      </w:r>
      <w:r>
        <w:t xml:space="preserve"> </w:t>
      </w:r>
    </w:p>
    <w:bookmarkEnd w:id="187"/>
    <w:bookmarkStart w:id="189" w:name="ref-noauthor_closer_nodate"/>
    <w:p>
      <w:pPr>
        <w:pStyle w:val="a9"/>
      </w:pPr>
      <w:r>
        <w:t xml:space="preserve">[22]</w:t>
      </w:r>
      <w:r>
        <w:t xml:space="preserve"> </w:t>
      </w:r>
      <w:r>
        <w:t xml:space="preserve">	</w:t>
      </w:r>
      <w:hyperlink r:id="rId188">
        <w:r>
          <w:rPr>
            <w:rStyle w:val="af"/>
          </w:rPr>
          <w:t xml:space="preserve">A closer look at</w:t>
        </w:r>
        <w:r>
          <w:rPr>
            <w:rStyle w:val="af"/>
          </w:rPr>
          <w:t xml:space="preserve"> </w:t>
        </w:r>
        <w:r>
          <w:rPr>
            <w:rStyle w:val="af"/>
          </w:rPr>
          <w:t xml:space="preserve">TabPFN</w:t>
        </w:r>
        <w:r>
          <w:rPr>
            <w:rStyle w:val="af"/>
          </w:rPr>
          <w:t xml:space="preserve"> </w:t>
        </w:r>
        <w:r>
          <w:rPr>
            <w:rStyle w:val="af"/>
          </w:rPr>
          <w:t xml:space="preserve">v2: Strength, limitation, and extension</w:t>
        </w:r>
      </w:hyperlink>
      <w:r>
        <w:t xml:space="preserve">.</w:t>
      </w:r>
      <w:r>
        <w:t xml:space="preserve"> </w:t>
      </w:r>
    </w:p>
    <w:bookmarkEnd w:id="189"/>
    <w:bookmarkStart w:id="191" w:name="ref-eremeev_turning_2025"/>
    <w:p>
      <w:pPr>
        <w:pStyle w:val="a9"/>
      </w:pPr>
      <w:r>
        <w:t xml:space="preserve">[23]</w:t>
      </w:r>
      <w:r>
        <w:t xml:space="preserve"> </w:t>
      </w:r>
      <w:r>
        <w:t xml:space="preserve">	</w:t>
      </w:r>
      <w:r>
        <w:t xml:space="preserve">Eremeev D, Bazhenov G, Platonov O, Babenko A, Prokhorenkova L 2025.</w:t>
      </w:r>
      <w:r>
        <w:t xml:space="preserve"> </w:t>
      </w:r>
      <w:hyperlink r:id="rId190">
        <w:r>
          <w:rPr>
            <w:rStyle w:val="af"/>
          </w:rPr>
          <w:t xml:space="preserve">Turning tabular foundation models into graph foundation models</w:t>
        </w:r>
      </w:hyperlink>
      <w:r>
        <w:t xml:space="preserve">.</w:t>
      </w:r>
      <w:r>
        <w:t xml:space="preserve"> </w:t>
      </w:r>
    </w:p>
    <w:bookmarkEnd w:id="191"/>
    <w:bookmarkStart w:id="192" w:name="ref-guan2021domain"/>
    <w:p>
      <w:pPr>
        <w:pStyle w:val="a9"/>
      </w:pPr>
      <w:r>
        <w:t xml:space="preserve">[24]</w:t>
      </w:r>
      <w:r>
        <w:t xml:space="preserve"> </w:t>
      </w:r>
      <w:r>
        <w:t xml:space="preserve">	</w:t>
      </w:r>
      <w:r>
        <w:t xml:space="preserve">Guan H, Liu M 2021. Domain adaptation for medical image analysis: A survey. IEEE Transactions on Biomedical Engineering.69:1173–1185</w:t>
      </w:r>
    </w:p>
    <w:bookmarkEnd w:id="192"/>
    <w:bookmarkStart w:id="193" w:name="ref-musa2025addressing"/>
    <w:p>
      <w:pPr>
        <w:pStyle w:val="a9"/>
      </w:pPr>
      <w:r>
        <w:t xml:space="preserve">[25]</w:t>
      </w:r>
      <w:r>
        <w:t xml:space="preserve"> </w:t>
      </w:r>
      <w:r>
        <w:t xml:space="preserve">	</w:t>
      </w:r>
      <w:r>
        <w:t xml:space="preserve">Musa A, Prasad R, Hernandez M 2025. Addressing cross-population domain shift in chest x-ray classification through supervised adversarial domain adaptation. Scientific Reports.15:11383</w:t>
      </w:r>
    </w:p>
    <w:bookmarkEnd w:id="193"/>
    <w:bookmarkStart w:id="194" w:name="ref-koch2024distribution"/>
    <w:p>
      <w:pPr>
        <w:pStyle w:val="a9"/>
      </w:pPr>
      <w:r>
        <w:t xml:space="preserve">[26]</w:t>
      </w:r>
      <w:r>
        <w:t xml:space="preserve"> </w:t>
      </w:r>
      <w:r>
        <w:t xml:space="preserve">	</w:t>
      </w:r>
      <w:r>
        <w:t xml:space="preserve">Koch LM, Baumgartner CF, Berens P 2024. Distribution shift detection for the postmarket surveillance of medical AI algorithms: A retrospective simulation study. NPJ Digital Medicine.7:120</w:t>
      </w:r>
    </w:p>
    <w:bookmarkEnd w:id="194"/>
    <w:bookmarkStart w:id="196" w:name="ref-guo_evaluation_2022"/>
    <w:p>
      <w:pPr>
        <w:pStyle w:val="a9"/>
      </w:pPr>
      <w:r>
        <w:t xml:space="preserve">[27]</w:t>
      </w:r>
      <w:r>
        <w:t xml:space="preserve"> </w:t>
      </w:r>
      <w:r>
        <w:t xml:space="preserve">	</w:t>
      </w:r>
      <w:r>
        <w:t xml:space="preserve">Guo LL, Pfohl SR, Fries J, Johnson AEW, Posada J, Aftandilian C, Shah N, Sung L 2022.</w:t>
      </w:r>
      <w:r>
        <w:t xml:space="preserve"> </w:t>
      </w:r>
      <w:hyperlink r:id="rId195">
        <w:r>
          <w:rPr>
            <w:rStyle w:val="af"/>
          </w:rPr>
          <w:t xml:space="preserve">Evaluation of domain generalization and adaptation on improving model robustness to temporal dataset shift in clinical medicine</w:t>
        </w:r>
      </w:hyperlink>
      <w:r>
        <w:t xml:space="preserve">. Scientific Reports.12:2726</w:t>
      </w:r>
    </w:p>
    <w:bookmarkEnd w:id="196"/>
    <w:bookmarkStart w:id="198" w:name="ref-orouji_domain_nodate"/>
    <w:p>
      <w:pPr>
        <w:pStyle w:val="a9"/>
      </w:pPr>
      <w:r>
        <w:t xml:space="preserve">[28]</w:t>
      </w:r>
      <w:r>
        <w:t xml:space="preserve"> </w:t>
      </w:r>
      <w:r>
        <w:t xml:space="preserve">	</w:t>
      </w:r>
      <w:r>
        <w:t xml:space="preserve">Orouji S, Liu MC, Korem T, Peters MAK</w:t>
      </w:r>
      <w:r>
        <w:t xml:space="preserve"> </w:t>
      </w:r>
      <w:hyperlink r:id="rId197">
        <w:r>
          <w:rPr>
            <w:rStyle w:val="af"/>
          </w:rPr>
          <w:t xml:space="preserve">Domain adaptation in small-scale and heterogeneous biological datasets</w:t>
        </w:r>
      </w:hyperlink>
      <w:r>
        <w:t xml:space="preserve">. Sci Adv.10:eadp6040</w:t>
      </w:r>
    </w:p>
    <w:bookmarkEnd w:id="198"/>
    <w:bookmarkStart w:id="200" w:name="ref-ahn_unsupervised_2023"/>
    <w:p>
      <w:pPr>
        <w:pStyle w:val="a9"/>
      </w:pPr>
      <w:r>
        <w:t xml:space="preserve">[29]</w:t>
      </w:r>
      <w:r>
        <w:t xml:space="preserve"> </w:t>
      </w:r>
      <w:r>
        <w:t xml:space="preserve">	</w:t>
      </w:r>
      <w:r>
        <w:t xml:space="preserve">Ahn S-H, Kim S, Jeong D-H 2023.</w:t>
      </w:r>
      <w:r>
        <w:t xml:space="preserve"> </w:t>
      </w:r>
      <w:hyperlink r:id="rId199">
        <w:r>
          <w:rPr>
            <w:rStyle w:val="af"/>
          </w:rPr>
          <w:t xml:space="preserve">Unsupervised domain adaptation for mitigating sensor variability and interspecies heterogeneity in animal activity recognition</w:t>
        </w:r>
      </w:hyperlink>
      <w:r>
        <w:t xml:space="preserve">. Animals (Basel).13:3276</w:t>
      </w:r>
    </w:p>
    <w:bookmarkEnd w:id="200"/>
    <w:bookmarkStart w:id="202" w:name="ref-gardner_benchmarking_2024"/>
    <w:p>
      <w:pPr>
        <w:pStyle w:val="a9"/>
      </w:pPr>
      <w:r>
        <w:t xml:space="preserve">[30]</w:t>
      </w:r>
      <w:r>
        <w:t xml:space="preserve"> </w:t>
      </w:r>
      <w:r>
        <w:t xml:space="preserve">	</w:t>
      </w:r>
      <w:r>
        <w:t xml:space="preserve">Gardner J, Popovic Z, Schmidt L 2024.</w:t>
      </w:r>
      <w:r>
        <w:t xml:space="preserve"> </w:t>
      </w:r>
      <w:hyperlink r:id="rId201">
        <w:r>
          <w:rPr>
            <w:rStyle w:val="af"/>
          </w:rPr>
          <w:t xml:space="preserve">Benchmarking distribution shift in tabular data with</w:t>
        </w:r>
        <w:r>
          <w:rPr>
            <w:rStyle w:val="af"/>
          </w:rPr>
          <w:t xml:space="preserve"> </w:t>
        </w:r>
        <w:r>
          <w:rPr>
            <w:rStyle w:val="af"/>
          </w:rPr>
          <w:t xml:space="preserve">TableShift</w:t>
        </w:r>
      </w:hyperlink>
      <w:r>
        <w:t xml:space="preserve">.</w:t>
      </w:r>
      <w:r>
        <w:t xml:space="preserve"> </w:t>
      </w:r>
    </w:p>
    <w:bookmarkEnd w:id="202"/>
    <w:bookmarkStart w:id="203" w:name="ref-yao2022wild"/>
    <w:p>
      <w:pPr>
        <w:pStyle w:val="a9"/>
      </w:pPr>
      <w:r>
        <w:t xml:space="preserve">[31]</w:t>
      </w:r>
      <w:r>
        <w:t xml:space="preserve"> </w:t>
      </w:r>
      <w:r>
        <w:t xml:space="preserve">	</w:t>
      </w:r>
      <w:r>
        <w:t xml:space="preserve">Yao H, Choi C, Cao B, Lee Y, Koh PWW, Finn C 2022. Wild-time: A benchmark of in-the-wild distribution shift over time. Advances in Neural Information Processing Systems.35:10309–10324</w:t>
      </w:r>
    </w:p>
    <w:bookmarkEnd w:id="203"/>
    <w:bookmarkStart w:id="204" w:name="ref-sun2019informative"/>
    <w:p>
      <w:pPr>
        <w:pStyle w:val="a9"/>
      </w:pPr>
      <w:r>
        <w:t xml:space="preserve">[32]</w:t>
      </w:r>
      <w:r>
        <w:t xml:space="preserve"> </w:t>
      </w:r>
      <w:r>
        <w:t xml:space="preserve">	</w:t>
      </w:r>
      <w:r>
        <w:t xml:space="preserve">Sun F, Wu H, Luo Z, Gu W, Yan Y, Du Q 2019. Informative feature selection for domain adaptation. IEEE Access.7:142551–142563</w:t>
      </w:r>
    </w:p>
    <w:bookmarkEnd w:id="204"/>
    <w:bookmarkStart w:id="205" w:name="ref-pan2010domain"/>
    <w:p>
      <w:pPr>
        <w:pStyle w:val="a9"/>
      </w:pPr>
      <w:r>
        <w:t xml:space="preserve">[33]</w:t>
      </w:r>
      <w:r>
        <w:t xml:space="preserve"> </w:t>
      </w:r>
      <w:r>
        <w:t xml:space="preserve">	</w:t>
      </w:r>
      <w:r>
        <w:t xml:space="preserve">Pan SJ, Tsang IW, Kwok JT, Yang Q 2010. Domain adaptation via transfer component analysis. IEEE transactions on neural networks.22:199–210</w:t>
      </w:r>
    </w:p>
    <w:bookmarkEnd w:id="205"/>
    <w:bookmarkStart w:id="207" w:name="ref-bommasani2022opportunities"/>
    <w:p>
      <w:pPr>
        <w:pStyle w:val="a9"/>
      </w:pPr>
      <w:r>
        <w:t xml:space="preserve">[34]</w:t>
      </w:r>
      <w:r>
        <w:t xml:space="preserve"> </w:t>
      </w:r>
      <w:r>
        <w:t xml:space="preserve">	</w:t>
      </w:r>
      <w:r>
        <w:t xml:space="preserve">Bommasani R, Hudson DA, Adeli E, Altman R, Arora S, Arx S von, Bernstein MS, Bohg J, Bosselut A, Brunskill E, Brynjolfsson E, Buch S, Card D, Castellon R, Chatterji N, Chen A, Creel K, Davis JQ, Demszky D, Donahue C, Doumbouya M, Durmus E, Ermon S, Etchemendy J, Ethayarajh K, Fei-Fei L, Finn C, Gale T, Gillespie L, Goel K, Goodman N, Grossman S, Guha N, Hashimoto T, Henderson P, Hewitt J, Ho DE, Hong J, Hsu K, Huang J, Icard T, Jain S, Jurafsky D, Kalluri P, Karamcheti S, Keeling G, Khani F, Khattab O, Koh PW, Krass M, Krishna R, Kuditipudi R, Kumar A, Ladhak F, Lee M, Lee T, Leskovec J, Levent I, Li XL, Li X, Ma T, Malik A, Manning CD, Mirchandani S, Mitchell E, Munyikwa Z, Nair S, Narayan A, Narayanan D, Newman B, Nie A, Niebles JC, Nilforoshan H, Nyarko J, Ogut G, Orr L, Papadimitriou I, Park JS, Piech C, Portelance E, Potts C, Raghunathan A, Reich R, Ren H, Rong F, Roohani Y, Ruiz C, Ryan J, Ré C, Sadigh D, Sagawa S, Santhanam K, Shih A, Srinivasan K, Tamkin A, Taori R, Thomas AW, Tramèr F, Wang RE, Wang W, Wu B, Wu J, Wu Y, Xie SM, Yasunaga M, You J, Zaharia M, Zhang M, Zhang T, Zhang X, Zhang Y, Zheng L, Zhou K, Liang P 2022.</w:t>
      </w:r>
      <w:r>
        <w:t xml:space="preserve"> </w:t>
      </w:r>
      <w:hyperlink r:id="rId206">
        <w:r>
          <w:rPr>
            <w:rStyle w:val="af"/>
          </w:rPr>
          <w:t xml:space="preserve">On the opportunities and risks of foundation models</w:t>
        </w:r>
      </w:hyperlink>
      <w:r>
        <w:t xml:space="preserve">.</w:t>
      </w:r>
      <w:r>
        <w:t xml:space="preserve"> </w:t>
      </w:r>
    </w:p>
    <w:bookmarkEnd w:id="207"/>
    <w:bookmarkStart w:id="209" w:name="ref-grinsztajn_why_2022"/>
    <w:p>
      <w:pPr>
        <w:pStyle w:val="a9"/>
      </w:pPr>
      <w:r>
        <w:t xml:space="preserve">[35]</w:t>
      </w:r>
      <w:r>
        <w:t xml:space="preserve"> </w:t>
      </w:r>
      <w:r>
        <w:t xml:space="preserve">	</w:t>
      </w:r>
      <w:r>
        <w:t xml:space="preserve">Grinsztajn L, Oyallon E, Varoquaux G 2022.</w:t>
      </w:r>
      <w:r>
        <w:t xml:space="preserve"> </w:t>
      </w:r>
      <w:hyperlink r:id="rId208">
        <w:r>
          <w:rPr>
            <w:rStyle w:val="af"/>
          </w:rPr>
          <w:t xml:space="preserve">Why do tree-based models still outperform deep learning on tabular data?</w:t>
        </w:r>
      </w:hyperlink>
      <w:r>
        <w:t xml:space="preserve"> </w:t>
      </w:r>
    </w:p>
    <w:bookmarkEnd w:id="209"/>
    <w:bookmarkStart w:id="211" w:name="ref-shmuel_comprehensive_2024"/>
    <w:p>
      <w:pPr>
        <w:pStyle w:val="a9"/>
      </w:pPr>
      <w:r>
        <w:t xml:space="preserve">[36]</w:t>
      </w:r>
      <w:r>
        <w:t xml:space="preserve"> </w:t>
      </w:r>
      <w:r>
        <w:t xml:space="preserve">	</w:t>
      </w:r>
      <w:r>
        <w:t xml:space="preserve">Shmuel A, Glickman O, Lazebnik T 2024.</w:t>
      </w:r>
      <w:r>
        <w:t xml:space="preserve"> </w:t>
      </w:r>
      <w:hyperlink r:id="rId210">
        <w:r>
          <w:rPr>
            <w:rStyle w:val="af"/>
          </w:rPr>
          <w:t xml:space="preserve">A comprehensive benchmark of machine and deep learning across diverse tabular datasets</w:t>
        </w:r>
      </w:hyperlink>
      <w:r>
        <w:t xml:space="preserve">.</w:t>
      </w:r>
      <w:r>
        <w:t xml:space="preserve"> </w:t>
      </w:r>
    </w:p>
    <w:bookmarkEnd w:id="211"/>
    <w:bookmarkStart w:id="213" w:name="ref-fan_tabular_2024"/>
    <w:p>
      <w:pPr>
        <w:pStyle w:val="a9"/>
      </w:pPr>
      <w:r>
        <w:t xml:space="preserve">[37]</w:t>
      </w:r>
      <w:r>
        <w:t xml:space="preserve"> </w:t>
      </w:r>
      <w:r>
        <w:t xml:space="preserve">	</w:t>
      </w:r>
      <w:r>
        <w:t xml:space="preserve">Fan Y, Waldmann P 2024.</w:t>
      </w:r>
      <w:r>
        <w:t xml:space="preserve"> </w:t>
      </w:r>
      <w:hyperlink r:id="rId212">
        <w:r>
          <w:rPr>
            <w:rStyle w:val="af"/>
          </w:rPr>
          <w:t xml:space="preserve">Tabular deep learning: A comparative study applied to multi-task genome-wide prediction</w:t>
        </w:r>
      </w:hyperlink>
      <w:r>
        <w:t xml:space="preserve">.</w:t>
      </w:r>
      <w:r>
        <w:t xml:space="preserve"> </w:t>
      </w:r>
      <w:r>
        <w:t xml:space="preserve">BMC</w:t>
      </w:r>
      <w:r>
        <w:t xml:space="preserve"> </w:t>
      </w:r>
      <w:r>
        <w:t xml:space="preserve">Bioinformatics.25:322</w:t>
      </w:r>
    </w:p>
    <w:bookmarkEnd w:id="213"/>
    <w:bookmarkStart w:id="215" w:name="ref-borisov_deep_2024"/>
    <w:p>
      <w:pPr>
        <w:pStyle w:val="a9"/>
      </w:pPr>
      <w:r>
        <w:t xml:space="preserve">[38]</w:t>
      </w:r>
      <w:r>
        <w:t xml:space="preserve"> </w:t>
      </w:r>
      <w:r>
        <w:t xml:space="preserve">	</w:t>
      </w:r>
      <w:r>
        <w:t xml:space="preserve">Borisov V, Leemann T, Seßler K, Haug J, Pawelczyk M, Kasneci G 2024.</w:t>
      </w:r>
      <w:r>
        <w:t xml:space="preserve"> </w:t>
      </w:r>
      <w:hyperlink r:id="rId214">
        <w:r>
          <w:rPr>
            <w:rStyle w:val="af"/>
          </w:rPr>
          <w:t xml:space="preserve">Deep neural networks and tabular data: A survey</w:t>
        </w:r>
      </w:hyperlink>
      <w:r>
        <w:t xml:space="preserve">.</w:t>
      </w:r>
      <w:r>
        <w:t xml:space="preserve"> </w:t>
      </w:r>
      <w:r>
        <w:t xml:space="preserve">IEEE</w:t>
      </w:r>
      <w:r>
        <w:t xml:space="preserve"> </w:t>
      </w:r>
      <w:r>
        <w:t xml:space="preserve">Trans. Neural Netw. Learning Syst.35:7499–7519</w:t>
      </w:r>
    </w:p>
    <w:bookmarkEnd w:id="215"/>
    <w:bookmarkStart w:id="217" w:name="ref-liu_tabpfn_2025"/>
    <w:p>
      <w:pPr>
        <w:pStyle w:val="a9"/>
      </w:pPr>
      <w:r>
        <w:t xml:space="preserve">[39]</w:t>
      </w:r>
      <w:r>
        <w:t xml:space="preserve"> </w:t>
      </w:r>
      <w:r>
        <w:t xml:space="preserve">	</w:t>
      </w:r>
      <w:r>
        <w:t xml:space="preserve">Liu S-Y, Ye H-J 2025.</w:t>
      </w:r>
      <w:r>
        <w:t xml:space="preserve"> </w:t>
      </w:r>
      <w:hyperlink r:id="rId216">
        <w:r>
          <w:rPr>
            <w:rStyle w:val="af"/>
          </w:rPr>
          <w:t xml:space="preserve">TabPFN</w:t>
        </w:r>
        <w:r>
          <w:rPr>
            <w:rStyle w:val="af"/>
          </w:rPr>
          <w:t xml:space="preserve"> </w:t>
        </w:r>
        <w:r>
          <w:rPr>
            <w:rStyle w:val="af"/>
          </w:rPr>
          <w:t xml:space="preserve">unleashed: A scalable and effective solution to tabular classification problems</w:t>
        </w:r>
      </w:hyperlink>
      <w:r>
        <w:t xml:space="preserve">.</w:t>
      </w:r>
      <w:r>
        <w:t xml:space="preserve"> </w:t>
      </w:r>
    </w:p>
    <w:bookmarkEnd w:id="217"/>
    <w:bookmarkStart w:id="219" w:name="ref-huang_tabtransformer_2020"/>
    <w:p>
      <w:pPr>
        <w:pStyle w:val="a9"/>
      </w:pPr>
      <w:r>
        <w:t xml:space="preserve">[40]</w:t>
      </w:r>
      <w:r>
        <w:t xml:space="preserve"> </w:t>
      </w:r>
      <w:r>
        <w:t xml:space="preserve">	</w:t>
      </w:r>
      <w:r>
        <w:t xml:space="preserve">Huang X, Khetan A, Cvitkovic M, Karnin Z 2020.</w:t>
      </w:r>
      <w:r>
        <w:t xml:space="preserve"> </w:t>
      </w:r>
      <w:hyperlink r:id="rId218">
        <w:r>
          <w:rPr>
            <w:rStyle w:val="af"/>
          </w:rPr>
          <w:t xml:space="preserve">TabTransformer</w:t>
        </w:r>
        <w:r>
          <w:rPr>
            <w:rStyle w:val="af"/>
          </w:rPr>
          <w:t xml:space="preserve">: Tabular data modeling using contextual embeddings</w:t>
        </w:r>
      </w:hyperlink>
      <w:r>
        <w:t xml:space="preserve">.</w:t>
      </w:r>
      <w:r>
        <w:t xml:space="preserve"> </w:t>
      </w:r>
    </w:p>
    <w:bookmarkEnd w:id="219"/>
    <w:bookmarkStart w:id="221" w:name="ref-gorishniy_revisiting_2021"/>
    <w:p>
      <w:pPr>
        <w:pStyle w:val="a9"/>
      </w:pPr>
      <w:r>
        <w:t xml:space="preserve">[41]</w:t>
      </w:r>
      <w:r>
        <w:t xml:space="preserve"> </w:t>
      </w:r>
      <w:r>
        <w:t xml:space="preserve">	</w:t>
      </w:r>
      <w:r>
        <w:t xml:space="preserve">Gorishniy Y, Rubachev I, Khrulkov V, Babenko A 2021.</w:t>
      </w:r>
      <w:r>
        <w:t xml:space="preserve"> </w:t>
      </w:r>
      <w:hyperlink r:id="rId220">
        <w:r>
          <w:rPr>
            <w:rStyle w:val="af"/>
          </w:rPr>
          <w:t xml:space="preserve">Revisiting deep learning models for tabular data</w:t>
        </w:r>
      </w:hyperlink>
      <w:r>
        <w:t xml:space="preserve">.</w:t>
      </w:r>
      <w:r>
        <w:t xml:space="preserve"> </w:t>
      </w:r>
    </w:p>
    <w:bookmarkEnd w:id="221"/>
    <w:bookmarkStart w:id="222" w:name="ref-margeloiu2023weight"/>
    <w:p>
      <w:pPr>
        <w:pStyle w:val="a9"/>
      </w:pPr>
      <w:r>
        <w:t xml:space="preserve">[42]</w:t>
      </w:r>
      <w:r>
        <w:t xml:space="preserve"> </w:t>
      </w:r>
      <w:r>
        <w:t xml:space="preserve">	</w:t>
      </w:r>
      <w:r>
        <w:t xml:space="preserve">Margeloiu A, Simidjievski N, Lio P, Jamnik M 2023. Weight predictor network with feature selection for small sample tabular biomedical data. Proceedings of the AAAI conference on artificial intelligence.37:9081–9089</w:t>
      </w:r>
    </w:p>
    <w:bookmarkEnd w:id="222"/>
    <w:bookmarkStart w:id="224" w:name="ref-loh_basis_2025"/>
    <w:p>
      <w:pPr>
        <w:pStyle w:val="a9"/>
      </w:pPr>
      <w:r>
        <w:t xml:space="preserve">[43]</w:t>
      </w:r>
      <w:r>
        <w:t xml:space="preserve"> </w:t>
      </w:r>
      <w:r>
        <w:t xml:space="preserve">	</w:t>
      </w:r>
      <w:r>
        <w:t xml:space="preserve">Loh WM, Shang J, Poupart P 2025.</w:t>
      </w:r>
      <w:r>
        <w:t xml:space="preserve"> </w:t>
      </w:r>
      <w:hyperlink r:id="rId223">
        <w:r>
          <w:rPr>
            <w:rStyle w:val="af"/>
          </w:rPr>
          <w:t xml:space="preserve">Basis transformers for multi-task tabular regression</w:t>
        </w:r>
      </w:hyperlink>
      <w:r>
        <w:t xml:space="preserve">.</w:t>
      </w:r>
      <w:r>
        <w:t xml:space="preserve"> </w:t>
      </w:r>
    </w:p>
    <w:bookmarkEnd w:id="224"/>
    <w:bookmarkStart w:id="226" w:name="ref-khoeini_fttransformer_2024"/>
    <w:p>
      <w:pPr>
        <w:pStyle w:val="a9"/>
      </w:pPr>
      <w:r>
        <w:t xml:space="preserve">[44]</w:t>
      </w:r>
      <w:r>
        <w:t xml:space="preserve"> </w:t>
      </w:r>
      <w:r>
        <w:t xml:space="preserve">	</w:t>
      </w:r>
      <w:r>
        <w:t xml:space="preserve">Khoeini A 2024.</w:t>
      </w:r>
      <w:r>
        <w:t xml:space="preserve"> </w:t>
      </w:r>
      <w:hyperlink r:id="rId225">
        <w:r>
          <w:rPr>
            <w:rStyle w:val="af"/>
          </w:rPr>
          <w:t xml:space="preserve">FTTransformer</w:t>
        </w:r>
        <w:r>
          <w:rPr>
            <w:rStyle w:val="af"/>
          </w:rPr>
          <w:t xml:space="preserve">: Transformer architecture for tabular datasets. Medium</w:t>
        </w:r>
      </w:hyperlink>
      <w:r>
        <w:t xml:space="preserve">.</w:t>
      </w:r>
      <w:r>
        <w:t xml:space="preserve"> </w:t>
      </w:r>
    </w:p>
    <w:bookmarkEnd w:id="226"/>
    <w:bookmarkStart w:id="228" w:name="ref-bytezcom_tabicl_2025"/>
    <w:p>
      <w:pPr>
        <w:pStyle w:val="a9"/>
      </w:pPr>
      <w:r>
        <w:t xml:space="preserve">[45]</w:t>
      </w:r>
      <w:r>
        <w:t xml:space="preserve"> </w:t>
      </w:r>
      <w:r>
        <w:t xml:space="preserve">	</w:t>
      </w:r>
      <w:r>
        <w:t xml:space="preserve">Bytez.com, QU J, Holzmüller D, Varoquaux G, Morvan ML 2025.</w:t>
      </w:r>
      <w:r>
        <w:t xml:space="preserve"> </w:t>
      </w:r>
      <w:hyperlink r:id="rId227">
        <w:r>
          <w:rPr>
            <w:rStyle w:val="af"/>
          </w:rPr>
          <w:t xml:space="preserve">TabICL</w:t>
        </w:r>
        <w:r>
          <w:rPr>
            <w:rStyle w:val="af"/>
          </w:rPr>
          <w:t xml:space="preserve">: A tabular foundation model for in-context learni...</w:t>
        </w:r>
      </w:hyperlink>
      <w:r>
        <w:t xml:space="preserve"> </w:t>
      </w:r>
    </w:p>
    <w:bookmarkEnd w:id="228"/>
    <w:bookmarkStart w:id="229" w:name="ref-somvanshi2024survey"/>
    <w:p>
      <w:pPr>
        <w:pStyle w:val="a9"/>
      </w:pPr>
      <w:r>
        <w:t xml:space="preserve">[46]</w:t>
      </w:r>
      <w:r>
        <w:t xml:space="preserve"> </w:t>
      </w:r>
      <w:r>
        <w:t xml:space="preserve">	</w:t>
      </w:r>
      <w:r>
        <w:t xml:space="preserve">Somvanshi S, Das S, Javed SA, Antariksa G, Hossain A 2024. A survey on deep tabular learning. arXiv preprint arXiv:2410.12034.</w:t>
      </w:r>
    </w:p>
    <w:bookmarkEnd w:id="229"/>
    <w:bookmarkStart w:id="231" w:name="ref-ren_deep_2025"/>
    <w:p>
      <w:pPr>
        <w:pStyle w:val="a9"/>
      </w:pPr>
      <w:r>
        <w:t xml:space="preserve">[47]</w:t>
      </w:r>
      <w:r>
        <w:t xml:space="preserve"> </w:t>
      </w:r>
      <w:r>
        <w:t xml:space="preserve">	</w:t>
      </w:r>
      <w:r>
        <w:t xml:space="preserve">Ren W, Zhao T, Huang Y, Honavar V 2025.</w:t>
      </w:r>
      <w:r>
        <w:t xml:space="preserve"> </w:t>
      </w:r>
      <w:hyperlink r:id="rId230">
        <w:r>
          <w:rPr>
            <w:rStyle w:val="af"/>
          </w:rPr>
          <w:t xml:space="preserve">Deep learning within tabular data: Foundations, challenges, advances and future directions</w:t>
        </w:r>
      </w:hyperlink>
      <w:r>
        <w:t xml:space="preserve">.</w:t>
      </w:r>
      <w:r>
        <w:t xml:space="preserve"> </w:t>
      </w:r>
    </w:p>
    <w:bookmarkEnd w:id="231"/>
    <w:bookmarkStart w:id="233" w:name="ref-hollmann_accurate_2025"/>
    <w:p>
      <w:pPr>
        <w:pStyle w:val="a9"/>
      </w:pPr>
      <w:r>
        <w:t xml:space="preserve">[48]</w:t>
      </w:r>
      <w:r>
        <w:t xml:space="preserve"> </w:t>
      </w:r>
      <w:r>
        <w:t xml:space="preserve">	</w:t>
      </w:r>
      <w:r>
        <w:t xml:space="preserve">Hollmann N, Müller S, Purucker L, Krishnakumar A, Körfer M, Hoo SB, Schirrmeister RT, Hutter F 2025.</w:t>
      </w:r>
      <w:r>
        <w:t xml:space="preserve"> </w:t>
      </w:r>
      <w:hyperlink r:id="rId232">
        <w:r>
          <w:rPr>
            <w:rStyle w:val="af"/>
          </w:rPr>
          <w:t xml:space="preserve">Accurate predictions on small data with a tabular foundation model</w:t>
        </w:r>
      </w:hyperlink>
      <w:r>
        <w:t xml:space="preserve">. Nature.637:319–326</w:t>
      </w:r>
    </w:p>
    <w:bookmarkEnd w:id="233"/>
    <w:bookmarkStart w:id="235" w:name="ref-helli_drift-resilient_2024"/>
    <w:p>
      <w:pPr>
        <w:pStyle w:val="a9"/>
      </w:pPr>
      <w:r>
        <w:t xml:space="preserve">[49]</w:t>
      </w:r>
      <w:r>
        <w:t xml:space="preserve"> </w:t>
      </w:r>
      <w:r>
        <w:t xml:space="preserve">	</w:t>
      </w:r>
      <w:r>
        <w:t xml:space="preserve">Helli K, Schnurr D, Hollmann N, Müller S, Hutter F 2024.</w:t>
      </w:r>
      <w:r>
        <w:t xml:space="preserve"> </w:t>
      </w:r>
      <w:hyperlink r:id="rId234">
        <w:r>
          <w:rPr>
            <w:rStyle w:val="af"/>
          </w:rPr>
          <w:t xml:space="preserve">Drift-resilient</w:t>
        </w:r>
        <w:r>
          <w:rPr>
            <w:rStyle w:val="af"/>
          </w:rPr>
          <w:t xml:space="preserve"> </w:t>
        </w:r>
        <w:r>
          <w:rPr>
            <w:rStyle w:val="af"/>
          </w:rPr>
          <w:t xml:space="preserve">TabPFN</w:t>
        </w:r>
        <w:r>
          <w:rPr>
            <w:rStyle w:val="af"/>
          </w:rPr>
          <w:t xml:space="preserve">: In-context learning temporal distribution shifts on tabular data</w:t>
        </w:r>
      </w:hyperlink>
      <w:r>
        <w:t xml:space="preserve">.</w:t>
      </w:r>
      <w:r>
        <w:t xml:space="preserve"> </w:t>
      </w:r>
    </w:p>
    <w:bookmarkEnd w:id="235"/>
    <w:bookmarkStart w:id="237" w:name="ref-chen_tabpfn_2025"/>
    <w:p>
      <w:pPr>
        <w:pStyle w:val="a9"/>
      </w:pPr>
      <w:r>
        <w:t xml:space="preserve">[50]</w:t>
      </w:r>
      <w:r>
        <w:t xml:space="preserve"> </w:t>
      </w:r>
      <w:r>
        <w:t xml:space="preserve">	</w:t>
      </w:r>
      <w:r>
        <w:t xml:space="preserve">Chen W, Tian Y, Deng Y, Jiang D, Cao D 2025.</w:t>
      </w:r>
      <w:r>
        <w:t xml:space="preserve"> </w:t>
      </w:r>
      <w:hyperlink r:id="rId236">
        <w:r>
          <w:rPr>
            <w:rStyle w:val="af"/>
          </w:rPr>
          <w:t xml:space="preserve">TabPFN</w:t>
        </w:r>
        <w:r>
          <w:rPr>
            <w:rStyle w:val="af"/>
          </w:rPr>
          <w:t xml:space="preserve"> </w:t>
        </w:r>
        <w:r>
          <w:rPr>
            <w:rStyle w:val="af"/>
          </w:rPr>
          <w:t xml:space="preserve">opens new avenues for small-data tabular learning in drug discovery</w:t>
        </w:r>
      </w:hyperlink>
      <w:r>
        <w:t xml:space="preserve">.</w:t>
      </w:r>
      <w:r>
        <w:t xml:space="preserve"> </w:t>
      </w:r>
    </w:p>
    <w:bookmarkEnd w:id="237"/>
    <w:bookmarkStart w:id="239" w:name="ref-liu_tabular_2025"/>
    <w:p>
      <w:pPr>
        <w:pStyle w:val="a9"/>
      </w:pPr>
      <w:r>
        <w:t xml:space="preserve">[51]</w:t>
      </w:r>
      <w:r>
        <w:t xml:space="preserve"> </w:t>
      </w:r>
      <w:r>
        <w:t xml:space="preserve">	</w:t>
      </w:r>
      <w:r>
        <w:t xml:space="preserve">Liu T, Wang H, Guo Y, Ye Y, Weng B, Li X, Chen J, Xie S, Zhong G, Song Z, Huang L 2025.</w:t>
      </w:r>
      <w:r>
        <w:t xml:space="preserve"> </w:t>
      </w:r>
      <w:hyperlink r:id="rId238">
        <w:r>
          <w:rPr>
            <w:rStyle w:val="af"/>
          </w:rPr>
          <w:t xml:space="preserve">Tabular prior-data fitted network in real-world</w:t>
        </w:r>
        <w:r>
          <w:rPr>
            <w:rStyle w:val="af"/>
          </w:rPr>
          <w:t xml:space="preserve"> </w:t>
        </w:r>
        <w:r>
          <w:rPr>
            <w:rStyle w:val="af"/>
          </w:rPr>
          <w:t xml:space="preserve">CT</w:t>
        </w:r>
        <w:r>
          <w:rPr>
            <w:rStyle w:val="af"/>
          </w:rPr>
          <w:t xml:space="preserve"> </w:t>
        </w:r>
        <w:r>
          <w:rPr>
            <w:rStyle w:val="af"/>
          </w:rPr>
          <w:t xml:space="preserve">radiomics: Benign vs. Malignant renal tumor classification</w:t>
        </w:r>
      </w:hyperlink>
      <w:r>
        <w:t xml:space="preserve">. Quant Imaging Med Surg.15:10847–10861</w:t>
      </w:r>
    </w:p>
    <w:bookmarkEnd w:id="239"/>
    <w:bookmarkStart w:id="240" w:name="ref-brown2020language"/>
    <w:p>
      <w:pPr>
        <w:pStyle w:val="a9"/>
      </w:pPr>
      <w:r>
        <w:t xml:space="preserve">[52]</w:t>
      </w:r>
      <w:r>
        <w:t xml:space="preserve"> </w:t>
      </w:r>
      <w:r>
        <w:t xml:space="preserve">	</w:t>
      </w:r>
      <w:r>
        <w:t xml:space="preserve">Brown T, Mann B, Ryder N, Subbiah M, Kaplan JD, Dhariwal P, Neelakantan A, Shyam P, Sastry G, Askell A, others</w:t>
      </w:r>
      <w:r>
        <w:t xml:space="preserve"> </w:t>
      </w:r>
      <w:r>
        <w:t xml:space="preserve">2020. Language models are few-shot learners. Advances in neural information processing systems.33:1877–1901</w:t>
      </w:r>
    </w:p>
    <w:bookmarkEnd w:id="240"/>
    <w:bookmarkStart w:id="242" w:name="ref-hegselmann2023tabllm"/>
    <w:p>
      <w:pPr>
        <w:pStyle w:val="a9"/>
      </w:pPr>
      <w:r>
        <w:t xml:space="preserve">[53]</w:t>
      </w:r>
      <w:r>
        <w:t xml:space="preserve"> </w:t>
      </w:r>
      <w:r>
        <w:t xml:space="preserve">	</w:t>
      </w:r>
      <w:r>
        <w:t xml:space="preserve">Hegselmann S, Buendia A, Lang H, Agrawal M, Jiang X, Sontag D 2023.</w:t>
      </w:r>
      <w:r>
        <w:t xml:space="preserve"> </w:t>
      </w:r>
      <w:hyperlink r:id="rId241">
        <w:r>
          <w:rPr>
            <w:rStyle w:val="af"/>
          </w:rPr>
          <w:t xml:space="preserve">TabLLM: Few-shot classification of tabular data with large language models</w:t>
        </w:r>
      </w:hyperlink>
      <w:r>
        <w:t xml:space="preserve">.</w:t>
      </w:r>
      <w:r>
        <w:t xml:space="preserve"> </w:t>
      </w:r>
    </w:p>
    <w:bookmarkEnd w:id="242"/>
    <w:bookmarkStart w:id="244" w:name="ref-jayawardhana_transformers_2025"/>
    <w:p>
      <w:pPr>
        <w:pStyle w:val="a9"/>
      </w:pPr>
      <w:r>
        <w:t xml:space="preserve">[54]</w:t>
      </w:r>
      <w:r>
        <w:t xml:space="preserve"> </w:t>
      </w:r>
      <w:r>
        <w:t xml:space="preserve">	</w:t>
      </w:r>
      <w:r>
        <w:t xml:space="preserve">Jayawardhana M, Tu R, Dooley S, Cherepanova V, Wilson AG, Hutter F, White C, Goldstein T, Goldblum M 2025.</w:t>
      </w:r>
      <w:r>
        <w:t xml:space="preserve"> </w:t>
      </w:r>
      <w:hyperlink r:id="rId243">
        <w:r>
          <w:rPr>
            <w:rStyle w:val="af"/>
          </w:rPr>
          <w:t xml:space="preserve">Transformers boost the performance of decision trees on tabular data across sample sizes</w:t>
        </w:r>
      </w:hyperlink>
      <w:r>
        <w:t xml:space="preserve">.</w:t>
      </w:r>
      <w:r>
        <w:t xml:space="preserve"> </w:t>
      </w:r>
    </w:p>
    <w:bookmarkEnd w:id="244"/>
    <w:bookmarkStart w:id="246" w:name="ref-zhou_limitations_2025"/>
    <w:p>
      <w:pPr>
        <w:pStyle w:val="a9"/>
      </w:pPr>
      <w:r>
        <w:t xml:space="preserve">[55]</w:t>
      </w:r>
      <w:r>
        <w:t xml:space="preserve"> </w:t>
      </w:r>
      <w:r>
        <w:t xml:space="preserve">	</w:t>
      </w:r>
      <w:r>
        <w:t xml:space="preserve">Zhou S, Agarwal V, Gopinath A, Kassis T 2025.</w:t>
      </w:r>
      <w:r>
        <w:t xml:space="preserve"> </w:t>
      </w:r>
      <w:hyperlink r:id="rId245">
        <w:r>
          <w:rPr>
            <w:rStyle w:val="af"/>
          </w:rPr>
          <w:t xml:space="preserve">The limitations of</w:t>
        </w:r>
        <w:r>
          <w:rPr>
            <w:rStyle w:val="af"/>
          </w:rPr>
          <w:t xml:space="preserve"> </w:t>
        </w:r>
        <w:r>
          <w:rPr>
            <w:rStyle w:val="af"/>
          </w:rPr>
          <w:t xml:space="preserve">TabPFN</w:t>
        </w:r>
        <w:r>
          <w:rPr>
            <w:rStyle w:val="af"/>
          </w:rPr>
          <w:t xml:space="preserve"> </w:t>
        </w:r>
        <w:r>
          <w:rPr>
            <w:rStyle w:val="af"/>
          </w:rPr>
          <w:t xml:space="preserve">for high-dimensional</w:t>
        </w:r>
        <w:r>
          <w:rPr>
            <w:rStyle w:val="af"/>
          </w:rPr>
          <w:t xml:space="preserve"> </w:t>
        </w:r>
        <w:r>
          <w:rPr>
            <w:rStyle w:val="af"/>
          </w:rPr>
          <w:t xml:space="preserve">RNA</w:t>
        </w:r>
        <w:r>
          <w:rPr>
            <w:rStyle w:val="af"/>
          </w:rPr>
          <w:t xml:space="preserve">-seq analysis</w:t>
        </w:r>
      </w:hyperlink>
      <w:r>
        <w:t xml:space="preserve">.</w:t>
      </w:r>
      <w:r>
        <w:t xml:space="preserve"> </w:t>
      </w:r>
    </w:p>
    <w:bookmarkEnd w:id="246"/>
    <w:bookmarkStart w:id="248" w:name="ref-noauthor_pdf_nodate"/>
    <w:p>
      <w:pPr>
        <w:pStyle w:val="a9"/>
      </w:pPr>
      <w:r>
        <w:t xml:space="preserve">[56]</w:t>
      </w:r>
      <w:r>
        <w:t xml:space="preserve"> </w:t>
      </w:r>
      <w:r>
        <w:t xml:space="preserve">	</w:t>
      </w:r>
      <w:hyperlink r:id="rId247">
        <w:r>
          <w:rPr>
            <w:rStyle w:val="af"/>
          </w:rPr>
          <w:t xml:space="preserve">(</w:t>
        </w:r>
        <w:r>
          <w:rPr>
            <w:rStyle w:val="af"/>
          </w:rPr>
          <w:t xml:space="preserve">PDF</w:t>
        </w:r>
        <w:r>
          <w:rPr>
            <w:rStyle w:val="af"/>
          </w:rPr>
          <w:t xml:space="preserve">) comparative analysis of tree-based models and deep learning architectures for tabular data: Performance disparities and underlying factors</w:t>
        </w:r>
      </w:hyperlink>
      <w:r>
        <w:t xml:space="preserve">.</w:t>
      </w:r>
      <w:r>
        <w:t xml:space="preserve"> </w:t>
      </w:r>
      <w:r>
        <w:t xml:space="preserve">ResearchGate</w:t>
      </w:r>
      <w:r>
        <w:t xml:space="preserve">.</w:t>
      </w:r>
    </w:p>
    <w:bookmarkEnd w:id="248"/>
    <w:bookmarkStart w:id="250" w:name="ref-kolesnikov_wild-tab_2023"/>
    <w:p>
      <w:pPr>
        <w:pStyle w:val="a9"/>
      </w:pPr>
      <w:r>
        <w:t xml:space="preserve">[57]</w:t>
      </w:r>
      <w:r>
        <w:t xml:space="preserve"> </w:t>
      </w:r>
      <w:r>
        <w:t xml:space="preserve">	</w:t>
      </w:r>
      <w:r>
        <w:t xml:space="preserve">Kolesnikov S 2023.</w:t>
      </w:r>
      <w:r>
        <w:t xml:space="preserve"> </w:t>
      </w:r>
      <w:hyperlink r:id="rId249">
        <w:r>
          <w:rPr>
            <w:rStyle w:val="af"/>
          </w:rPr>
          <w:t xml:space="preserve">Wild-tab: A benchmark for out-of-distribution generalization in tabular regression</w:t>
        </w:r>
      </w:hyperlink>
      <w:r>
        <w:t xml:space="preserve">.</w:t>
      </w:r>
      <w:r>
        <w:t xml:space="preserve"> </w:t>
      </w:r>
    </w:p>
    <w:bookmarkEnd w:id="250"/>
    <w:bookmarkStart w:id="252" w:name="Xd20ec9efaf7cad77fe2665a3b298a644c8be26c"/>
    <w:p>
      <w:pPr>
        <w:pStyle w:val="a9"/>
      </w:pPr>
      <w:r>
        <w:t xml:space="preserve">[58]</w:t>
      </w:r>
      <w:r>
        <w:t xml:space="preserve"> </w:t>
      </w:r>
      <w:r>
        <w:t xml:space="preserve">	</w:t>
      </w:r>
      <w:r>
        <w:t xml:space="preserve">Sun B, Feng J, Saenko K 2016.</w:t>
      </w:r>
      <w:r>
        <w:t xml:space="preserve"> </w:t>
      </w:r>
      <w:hyperlink r:id="rId251">
        <w:r>
          <w:rPr>
            <w:rStyle w:val="af"/>
          </w:rPr>
          <w:t xml:space="preserve">Correlation alignment for unsupervised domain adaptation</w:t>
        </w:r>
      </w:hyperlink>
      <w:r>
        <w:t xml:space="preserve">.</w:t>
      </w:r>
      <w:r>
        <w:t xml:space="preserve"> </w:t>
      </w:r>
    </w:p>
    <w:bookmarkEnd w:id="252"/>
    <w:bookmarkStart w:id="253" w:name="ref-grubinger2015domain"/>
    <w:p>
      <w:pPr>
        <w:pStyle w:val="a9"/>
      </w:pPr>
      <w:r>
        <w:t xml:space="preserve">[59]</w:t>
      </w:r>
      <w:r>
        <w:t xml:space="preserve"> </w:t>
      </w:r>
      <w:r>
        <w:t xml:space="preserve">	</w:t>
      </w:r>
      <w:r>
        <w:t xml:space="preserve">Grubinger T, Birlutiu A, Schöner H, Natschläger T, Heskes T 2015. Domain generalization based on transfer component analysis. International work-conference on artificial neural networks.325–334</w:t>
      </w:r>
    </w:p>
    <w:bookmarkEnd w:id="253"/>
    <w:bookmarkStart w:id="255" w:name="ref-zhang_adadiag_2022"/>
    <w:p>
      <w:pPr>
        <w:pStyle w:val="a9"/>
      </w:pPr>
      <w:r>
        <w:t xml:space="preserve">[60]</w:t>
      </w:r>
      <w:r>
        <w:t xml:space="preserve"> </w:t>
      </w:r>
      <w:r>
        <w:t xml:space="preserve">	</w:t>
      </w:r>
      <w:r>
        <w:t xml:space="preserve">Zhang T, Chen M, Bui AAT 2022.</w:t>
      </w:r>
      <w:r>
        <w:t xml:space="preserve"> </w:t>
      </w:r>
      <w:hyperlink r:id="rId254">
        <w:r>
          <w:rPr>
            <w:rStyle w:val="af"/>
          </w:rPr>
          <w:t xml:space="preserve">AdaDiag</w:t>
        </w:r>
        <w:r>
          <w:rPr>
            <w:rStyle w:val="af"/>
          </w:rPr>
          <w:t xml:space="preserve">: Adversarial domain adaptation of diagnostic prediction with clinical event sequences</w:t>
        </w:r>
      </w:hyperlink>
      <w:r>
        <w:t xml:space="preserve">. J Biomed Inform.134:104168</w:t>
      </w:r>
    </w:p>
    <w:bookmarkEnd w:id="255"/>
    <w:bookmarkStart w:id="257" w:name="ref-li_transport-based_2024"/>
    <w:p>
      <w:pPr>
        <w:pStyle w:val="a9"/>
      </w:pPr>
      <w:r>
        <w:t xml:space="preserve">[61]</w:t>
      </w:r>
      <w:r>
        <w:t xml:space="preserve"> </w:t>
      </w:r>
      <w:r>
        <w:t xml:space="preserve">	</w:t>
      </w:r>
      <w:r>
        <w:t xml:space="preserve">Li W, Park YP, Duc KD 2024.</w:t>
      </w:r>
      <w:r>
        <w:t xml:space="preserve"> </w:t>
      </w:r>
      <w:hyperlink r:id="rId256">
        <w:r>
          <w:rPr>
            <w:rStyle w:val="af"/>
          </w:rPr>
          <w:t xml:space="preserve">Transport-based transfer learning on electronic health records: Application to detection of treatment disparities</w:t>
        </w:r>
      </w:hyperlink>
      <w:r>
        <w:t xml:space="preserve">.</w:t>
      </w:r>
      <w:r>
        <w:t xml:space="preserve"> </w:t>
      </w:r>
    </w:p>
    <w:bookmarkEnd w:id="257"/>
    <w:bookmarkStart w:id="258" w:name="ref-luo2021fsda"/>
    <w:p>
      <w:pPr>
        <w:pStyle w:val="a9"/>
      </w:pPr>
      <w:r>
        <w:t xml:space="preserve">[62]</w:t>
      </w:r>
      <w:r>
        <w:t xml:space="preserve"> </w:t>
      </w:r>
      <w:r>
        <w:t xml:space="preserve">	</w:t>
      </w:r>
      <w:r>
        <w:t xml:space="preserve">Luo T, Zhang Z, Kwok J 2021. Informative feature selection for domain adaptation.</w:t>
      </w:r>
      <w:r>
        <w:t xml:space="preserve"> </w:t>
      </w:r>
    </w:p>
    <w:bookmarkEnd w:id="258"/>
    <w:bookmarkStart w:id="260" w:name="ref-pham_open-set_2025"/>
    <w:p>
      <w:pPr>
        <w:pStyle w:val="a9"/>
      </w:pPr>
      <w:r>
        <w:t xml:space="preserve">[63]</w:t>
      </w:r>
      <w:r>
        <w:t xml:space="preserve"> </w:t>
      </w:r>
      <w:r>
        <w:t xml:space="preserve">	</w:t>
      </w:r>
      <w:r>
        <w:t xml:space="preserve">Pham T-H, Wang Y, Yin C, Zhang X, Zhang P 2025.</w:t>
      </w:r>
      <w:r>
        <w:t xml:space="preserve"> </w:t>
      </w:r>
      <w:hyperlink r:id="rId259">
        <w:r>
          <w:rPr>
            <w:rStyle w:val="af"/>
          </w:rPr>
          <w:t xml:space="preserve">Open-set heterogeneous domain adaptation: Theoretical analysis and algorithm</w:t>
        </w:r>
      </w:hyperlink>
      <w:r>
        <w:t xml:space="preserve">. Proc</w:t>
      </w:r>
      <w:r>
        <w:t xml:space="preserve"> </w:t>
      </w:r>
      <w:r>
        <w:t xml:space="preserve">AAAI</w:t>
      </w:r>
      <w:r>
        <w:t xml:space="preserve"> </w:t>
      </w:r>
      <w:r>
        <w:t xml:space="preserve">Conf Artif Intell.39:19895–19903</w:t>
      </w:r>
    </w:p>
    <w:bookmarkEnd w:id="260"/>
    <w:bookmarkStart w:id="262" w:name="ref-guan_domainatm_2023"/>
    <w:p>
      <w:pPr>
        <w:pStyle w:val="a9"/>
      </w:pPr>
      <w:r>
        <w:t xml:space="preserve">[64]</w:t>
      </w:r>
      <w:r>
        <w:t xml:space="preserve"> </w:t>
      </w:r>
      <w:r>
        <w:t xml:space="preserve">	</w:t>
      </w:r>
      <w:r>
        <w:t xml:space="preserve">Guan H, Liu M 2023.</w:t>
      </w:r>
      <w:r>
        <w:t xml:space="preserve"> </w:t>
      </w:r>
      <w:hyperlink r:id="rId261">
        <w:r>
          <w:rPr>
            <w:rStyle w:val="af"/>
          </w:rPr>
          <w:t xml:space="preserve">DomainATM</w:t>
        </w:r>
        <w:r>
          <w:rPr>
            <w:rStyle w:val="af"/>
          </w:rPr>
          <w:t xml:space="preserve">: Domain adaptation toolbox for medical data analysis</w:t>
        </w:r>
      </w:hyperlink>
      <w:r>
        <w:t xml:space="preserve">. Neuroimage.268:119863</w:t>
      </w:r>
    </w:p>
    <w:bookmarkEnd w:id="262"/>
    <w:bookmarkStart w:id="264" w:name="ref-guan_domain_2022"/>
    <w:p>
      <w:pPr>
        <w:pStyle w:val="a9"/>
      </w:pPr>
      <w:r>
        <w:t xml:space="preserve">[65]</w:t>
      </w:r>
      <w:r>
        <w:t xml:space="preserve"> </w:t>
      </w:r>
      <w:r>
        <w:t xml:space="preserve">	</w:t>
      </w:r>
      <w:r>
        <w:t xml:space="preserve">Guan H, Liu M 2022.</w:t>
      </w:r>
      <w:r>
        <w:t xml:space="preserve"> </w:t>
      </w:r>
      <w:hyperlink r:id="rId263">
        <w:r>
          <w:rPr>
            <w:rStyle w:val="af"/>
          </w:rPr>
          <w:t xml:space="preserve">Domain adaptation for medical image analysis: A survey</w:t>
        </w:r>
      </w:hyperlink>
      <w:r>
        <w:t xml:space="preserve">.</w:t>
      </w:r>
      <w:r>
        <w:t xml:space="preserve"> </w:t>
      </w:r>
      <w:r>
        <w:t xml:space="preserve">IEEE</w:t>
      </w:r>
      <w:r>
        <w:t xml:space="preserve"> </w:t>
      </w:r>
      <w:r>
        <w:t xml:space="preserve">Trans. Biomed. Eng.69:1173–1185</w:t>
      </w:r>
    </w:p>
    <w:bookmarkEnd w:id="264"/>
    <w:bookmarkStart w:id="266" w:name="ref-zhou_domain_2023"/>
    <w:p>
      <w:pPr>
        <w:pStyle w:val="a9"/>
      </w:pPr>
      <w:r>
        <w:t xml:space="preserve">[66]</w:t>
      </w:r>
      <w:r>
        <w:t xml:space="preserve"> </w:t>
      </w:r>
      <w:r>
        <w:t xml:space="preserve">	</w:t>
      </w:r>
      <w:r>
        <w:t xml:space="preserve">Zhou H, Balakrishnan S, Lipton ZC 2023.</w:t>
      </w:r>
      <w:r>
        <w:t xml:space="preserve"> </w:t>
      </w:r>
      <w:hyperlink r:id="rId265">
        <w:r>
          <w:rPr>
            <w:rStyle w:val="af"/>
          </w:rPr>
          <w:t xml:space="preserve">Domain adaptation under missingness shift</w:t>
        </w:r>
      </w:hyperlink>
      <w:r>
        <w:t xml:space="preserve">.</w:t>
      </w:r>
      <w:r>
        <w:t xml:space="preserve"> </w:t>
      </w:r>
    </w:p>
    <w:bookmarkEnd w:id="266"/>
    <w:bookmarkStart w:id="268" w:name="ref-stokes_domain_2025"/>
    <w:p>
      <w:pPr>
        <w:pStyle w:val="a9"/>
      </w:pPr>
      <w:r>
        <w:t xml:space="preserve">[67]</w:t>
      </w:r>
      <w:r>
        <w:t xml:space="preserve"> </w:t>
      </w:r>
      <w:r>
        <w:t xml:space="preserve">	</w:t>
      </w:r>
      <w:r>
        <w:t xml:space="preserve">Stokes T, Do H, Blecker S, Chunara R, Adhikari S 2025.</w:t>
      </w:r>
      <w:r>
        <w:t xml:space="preserve"> </w:t>
      </w:r>
      <w:hyperlink r:id="rId267">
        <w:r>
          <w:rPr>
            <w:rStyle w:val="af"/>
          </w:rPr>
          <w:t xml:space="preserve">Domain adaptation under</w:t>
        </w:r>
        <w:r>
          <w:rPr>
            <w:rStyle w:val="af"/>
          </w:rPr>
          <w:t xml:space="preserve"> </w:t>
        </w:r>
        <w:r>
          <w:rPr>
            <w:rStyle w:val="af"/>
          </w:rPr>
          <w:t xml:space="preserve">MNAR</w:t>
        </w:r>
        <w:r>
          <w:rPr>
            <w:rStyle w:val="af"/>
          </w:rPr>
          <w:t xml:space="preserve"> </w:t>
        </w:r>
        <w:r>
          <w:rPr>
            <w:rStyle w:val="af"/>
          </w:rPr>
          <w:t xml:space="preserve">missingness</w:t>
        </w:r>
      </w:hyperlink>
      <w:r>
        <w:t xml:space="preserve">.</w:t>
      </w:r>
      <w:r>
        <w:t xml:space="preserve"> </w:t>
      </w:r>
    </w:p>
    <w:bookmarkEnd w:id="268"/>
    <w:bookmarkStart w:id="270" w:name="ref-he_multi-attention_2022"/>
    <w:p>
      <w:pPr>
        <w:pStyle w:val="a9"/>
      </w:pPr>
      <w:r>
        <w:t xml:space="preserve">[68]</w:t>
      </w:r>
      <w:r>
        <w:t xml:space="preserve"> </w:t>
      </w:r>
      <w:r>
        <w:t xml:space="preserve">	</w:t>
      </w:r>
      <w:r>
        <w:t xml:space="preserve">He C, Zheng L, Tan T, Fan X, Ye Z 2022.</w:t>
      </w:r>
      <w:r>
        <w:t xml:space="preserve"> </w:t>
      </w:r>
      <w:hyperlink r:id="rId269">
        <w:r>
          <w:rPr>
            <w:rStyle w:val="af"/>
          </w:rPr>
          <w:t xml:space="preserve">Multi-attention representation network partial domain adaptation for</w:t>
        </w:r>
        <w:r>
          <w:rPr>
            <w:rStyle w:val="af"/>
          </w:rPr>
          <w:t xml:space="preserve"> </w:t>
        </w:r>
        <w:r>
          <w:rPr>
            <w:rStyle w:val="af"/>
          </w:rPr>
          <w:t xml:space="preserve">COVID</w:t>
        </w:r>
        <w:r>
          <w:rPr>
            <w:rStyle w:val="af"/>
          </w:rPr>
          <w:t xml:space="preserve">-19 diagnosis</w:t>
        </w:r>
      </w:hyperlink>
      <w:r>
        <w:t xml:space="preserve">. Appl Soft Comput.125:109205</w:t>
      </w:r>
    </w:p>
    <w:bookmarkEnd w:id="270"/>
    <w:bookmarkStart w:id="272" w:name="X4f9f0e8a6fc6d4d5516fc073f21d764bfed9221"/>
    <w:p>
      <w:pPr>
        <w:pStyle w:val="a9"/>
      </w:pPr>
      <w:r>
        <w:t xml:space="preserve">[69]</w:t>
      </w:r>
      <w:r>
        <w:t xml:space="preserve"> </w:t>
      </w:r>
      <w:r>
        <w:t xml:space="preserve">	</w:t>
      </w:r>
      <w:hyperlink r:id="rId271">
        <w:r>
          <w:rPr>
            <w:rStyle w:val="af"/>
          </w:rPr>
          <w:t xml:space="preserve">Mlfoundations/tableshift: A benchmark for distribution shift in tabular data</w:t>
        </w:r>
      </w:hyperlink>
      <w:r>
        <w:t xml:space="preserve">.</w:t>
      </w:r>
      <w:r>
        <w:t xml:space="preserve"> </w:t>
      </w:r>
    </w:p>
    <w:bookmarkEnd w:id="272"/>
    <w:bookmarkStart w:id="274" w:name="ref-gardner_tableshift_nodate"/>
    <w:p>
      <w:pPr>
        <w:pStyle w:val="a9"/>
      </w:pPr>
      <w:r>
        <w:t xml:space="preserve">[70]</w:t>
      </w:r>
      <w:r>
        <w:t xml:space="preserve"> </w:t>
      </w:r>
      <w:r>
        <w:t xml:space="preserve">	</w:t>
      </w:r>
      <w:r>
        <w:t xml:space="preserve">Gardner J</w:t>
      </w:r>
      <w:r>
        <w:t xml:space="preserve"> </w:t>
      </w:r>
      <w:hyperlink r:id="rId273">
        <w:r>
          <w:rPr>
            <w:rStyle w:val="af"/>
          </w:rPr>
          <w:t xml:space="preserve">TableShift</w:t>
        </w:r>
        <w:r>
          <w:rPr>
            <w:rStyle w:val="af"/>
          </w:rPr>
          <w:t xml:space="preserve">.</w:t>
        </w:r>
        <w:r>
          <w:rPr>
            <w:rStyle w:val="af"/>
          </w:rPr>
          <w:t xml:space="preserve"> </w:t>
        </w:r>
        <w:r>
          <w:rPr>
            <w:rStyle w:val="af"/>
          </w:rPr>
          <w:t xml:space="preserve">TableShift</w:t>
        </w:r>
      </w:hyperlink>
      <w:r>
        <w:t xml:space="preserve">.</w:t>
      </w:r>
      <w:r>
        <w:t xml:space="preserve"> </w:t>
      </w:r>
    </w:p>
    <w:bookmarkEnd w:id="274"/>
    <w:bookmarkStart w:id="276" w:name="ref-noauthor_multi-center_nodate"/>
    <w:p>
      <w:pPr>
        <w:pStyle w:val="a9"/>
      </w:pPr>
      <w:r>
        <w:t xml:space="preserve">[71]</w:t>
      </w:r>
      <w:r>
        <w:t xml:space="preserve"> </w:t>
      </w:r>
      <w:r>
        <w:t xml:space="preserve">	</w:t>
      </w:r>
      <w:hyperlink r:id="rId275">
        <w:r>
          <w:rPr>
            <w:rStyle w:val="af"/>
          </w:rPr>
          <w:t xml:space="preserve">A multi-center study on the adaptability of a shared foundation model for electronic health records</w:t>
        </w:r>
        <w:r>
          <w:rPr>
            <w:rStyle w:val="af"/>
          </w:rPr>
          <w:t xml:space="preserve"> </w:t>
        </w:r>
        <w:r>
          <w:rPr>
            <w:rStyle w:val="af"/>
          </w:rPr>
          <w:t xml:space="preserve"> </w:t>
        </w:r>
        <w:r>
          <w:rPr>
            <w:rStyle w:val="af"/>
          </w:rPr>
          <w:t xml:space="preserve">npj digital medicine</w:t>
        </w:r>
      </w:hyperlink>
      <w:r>
        <w:t xml:space="preserve">.</w:t>
      </w:r>
      <w:r>
        <w:t xml:space="preserve"> </w:t>
      </w:r>
    </w:p>
    <w:bookmarkEnd w:id="276"/>
    <w:bookmarkStart w:id="278" w:name="ref-rehman_federated_2023"/>
    <w:p>
      <w:pPr>
        <w:pStyle w:val="a9"/>
      </w:pPr>
      <w:r>
        <w:t xml:space="preserve">[72]</w:t>
      </w:r>
      <w:r>
        <w:t xml:space="preserve"> </w:t>
      </w:r>
      <w:r>
        <w:t xml:space="preserve">	</w:t>
      </w:r>
      <w:r>
        <w:t xml:space="preserve">Rehman MH ur, Hugo Lopez Pinaya W, Nachev P, Teo JT, Ourselin S, Cardoso MJ 2023.</w:t>
      </w:r>
      <w:r>
        <w:t xml:space="preserve"> </w:t>
      </w:r>
      <w:hyperlink r:id="rId277">
        <w:r>
          <w:rPr>
            <w:rStyle w:val="af"/>
          </w:rPr>
          <w:t xml:space="preserve">Federated learning for medical imaging radiology</w:t>
        </w:r>
      </w:hyperlink>
      <w:r>
        <w:t xml:space="preserve">. Br J Radiol.96:20220890</w:t>
      </w:r>
    </w:p>
    <w:bookmarkEnd w:id="278"/>
    <w:bookmarkStart w:id="280" w:name="ref-guan_federated_2024"/>
    <w:p>
      <w:pPr>
        <w:pStyle w:val="a9"/>
      </w:pPr>
      <w:r>
        <w:t xml:space="preserve">[73]</w:t>
      </w:r>
      <w:r>
        <w:t xml:space="preserve"> </w:t>
      </w:r>
      <w:r>
        <w:t xml:space="preserve">	</w:t>
      </w:r>
      <w:r>
        <w:t xml:space="preserve">Guan H, Yap P-T, Bozoki A, Liu M 2024.</w:t>
      </w:r>
      <w:r>
        <w:t xml:space="preserve"> </w:t>
      </w:r>
      <w:hyperlink r:id="rId279">
        <w:r>
          <w:rPr>
            <w:rStyle w:val="af"/>
          </w:rPr>
          <w:t xml:space="preserve">Federated learning for medical image analysis: A survey</w:t>
        </w:r>
      </w:hyperlink>
      <w:r>
        <w:t xml:space="preserve">. Pattern Recognit.151:110424</w:t>
      </w:r>
    </w:p>
    <w:bookmarkEnd w:id="280"/>
    <w:bookmarkStart w:id="282" w:name="ref-kahenga_fedfusion_2025"/>
    <w:p>
      <w:pPr>
        <w:pStyle w:val="a9"/>
      </w:pPr>
      <w:r>
        <w:t xml:space="preserve">[74]</w:t>
      </w:r>
      <w:r>
        <w:t xml:space="preserve"> </w:t>
      </w:r>
      <w:r>
        <w:t xml:space="preserve">	</w:t>
      </w:r>
      <w:r>
        <w:t xml:space="preserve">Kahenga F, Bagula A, Sello P, Das SK 2025.</w:t>
      </w:r>
      <w:r>
        <w:t xml:space="preserve"> </w:t>
      </w:r>
      <w:hyperlink r:id="rId281">
        <w:r>
          <w:rPr>
            <w:rStyle w:val="af"/>
          </w:rPr>
          <w:t xml:space="preserve">FedFusion</w:t>
        </w:r>
        <w:r>
          <w:rPr>
            <w:rStyle w:val="af"/>
          </w:rPr>
          <w:t xml:space="preserve">: Federated learning with diversity- and cluster-aware encoders for robust adaptation under label scarcity</w:t>
        </w:r>
      </w:hyperlink>
      <w:r>
        <w:t xml:space="preserve">.</w:t>
      </w:r>
      <w:r>
        <w:t xml:space="preserve"> </w:t>
      </w:r>
    </w:p>
    <w:bookmarkEnd w:id="282"/>
    <w:bookmarkStart w:id="283" w:name="ref-guyon2002gene"/>
    <w:p>
      <w:pPr>
        <w:pStyle w:val="a9"/>
      </w:pPr>
      <w:r>
        <w:t xml:space="preserve">[75]</w:t>
      </w:r>
      <w:r>
        <w:t xml:space="preserve"> </w:t>
      </w:r>
      <w:r>
        <w:t xml:space="preserve">	</w:t>
      </w:r>
      <w:r>
        <w:t xml:space="preserve">Guyon I, Weston J, Barnhill S, Vapnik V 2002. Gene selection for cancer classification using support vector machines. Machine learning.46:389–422</w:t>
      </w:r>
    </w:p>
    <w:bookmarkEnd w:id="283"/>
    <w:bookmarkStart w:id="284" w:name="ref-chen2023graces"/>
    <w:p>
      <w:pPr>
        <w:pStyle w:val="a9"/>
      </w:pPr>
      <w:r>
        <w:t xml:space="preserve">[76]</w:t>
      </w:r>
      <w:r>
        <w:t xml:space="preserve"> </w:t>
      </w:r>
      <w:r>
        <w:t xml:space="preserve">	</w:t>
      </w:r>
      <w:r>
        <w:t xml:space="preserve">Chen X, Wu Y, He L, Zhai J, Li X, Li X 2023. Graph convolutional network-based feature selection for high-dimensional and low-sample size data. Bioinformatics.39:btac834</w:t>
      </w:r>
    </w:p>
    <w:bookmarkEnd w:id="284"/>
    <w:bookmarkStart w:id="285" w:name="ref-liu2022deepfs"/>
    <w:p>
      <w:pPr>
        <w:pStyle w:val="a9"/>
      </w:pPr>
      <w:r>
        <w:t xml:space="preserve">[77]</w:t>
      </w:r>
      <w:r>
        <w:t xml:space="preserve"> </w:t>
      </w:r>
      <w:r>
        <w:t xml:space="preserve">	</w:t>
      </w:r>
      <w:r>
        <w:t xml:space="preserve">Liu X, Wu D, Cao W, Cai J 2022. Deep feature screening: Feature selection for ultra high-dimensional data via deep neural networks. Neurocomputing.488:36–47</w:t>
      </w:r>
    </w:p>
    <w:bookmarkEnd w:id="285"/>
    <w:bookmarkStart w:id="286" w:name="ref-li2023deep"/>
    <w:p>
      <w:pPr>
        <w:pStyle w:val="a9"/>
      </w:pPr>
      <w:r>
        <w:t xml:space="preserve">[78]</w:t>
      </w:r>
      <w:r>
        <w:t xml:space="preserve"> </w:t>
      </w:r>
      <w:r>
        <w:t xml:space="preserve">	</w:t>
      </w:r>
      <w:r>
        <w:t xml:space="preserve">Li K, Wang F, Yang L, Liu R 2023. Deep feature screening: Feature selection for ultra high-dimensional data via deep neural networks. Neurocomputing.538:126186</w:t>
      </w:r>
    </w:p>
    <w:bookmarkEnd w:id="286"/>
    <w:bookmarkStart w:id="287" w:name="ref-tibshirani1996regression"/>
    <w:p>
      <w:pPr>
        <w:pStyle w:val="a9"/>
      </w:pPr>
      <w:r>
        <w:t xml:space="preserve">[79]</w:t>
      </w:r>
      <w:r>
        <w:t xml:space="preserve"> </w:t>
      </w:r>
      <w:r>
        <w:t xml:space="preserve">	</w:t>
      </w:r>
      <w:r>
        <w:t xml:space="preserve">Tibshirani R 1996. Regression shrinkage and selection via the lasso. Journal of the Royal Statistical Society Series B: Statistical Methodology.58:267–288</w:t>
      </w:r>
    </w:p>
    <w:bookmarkEnd w:id="287"/>
    <w:bookmarkStart w:id="288" w:name="ref-swensen1997archives"/>
    <w:p>
      <w:pPr>
        <w:pStyle w:val="a9"/>
      </w:pPr>
      <w:r>
        <w:t xml:space="preserve">[80]</w:t>
      </w:r>
      <w:r>
        <w:t xml:space="preserve"> </w:t>
      </w:r>
      <w:r>
        <w:t xml:space="preserve">	</w:t>
      </w:r>
      <w:r>
        <w:t xml:space="preserve">Swensen SJ, Silverstein MD, Ilstrup DM, Schleck CD, Edell ES 1997. The probability of malignancy in solitary pulmonary nodules: Application to small radiologically indeterminate nodules. Archives of Internal Medicine.157:849–855</w:t>
      </w:r>
    </w:p>
    <w:bookmarkEnd w:id="288"/>
    <w:bookmarkStart w:id="290" w:name="ref-chen_pulmonary_2025"/>
    <w:p>
      <w:pPr>
        <w:pStyle w:val="a9"/>
      </w:pPr>
      <w:r>
        <w:t xml:space="preserve">[81]</w:t>
      </w:r>
      <w:r>
        <w:t xml:space="preserve"> </w:t>
      </w:r>
      <w:r>
        <w:t xml:space="preserve">	</w:t>
      </w:r>
      <w:r>
        <w:t xml:space="preserve">Chen S, Lin WL, Liu WT, Zou LY, Chen Y, Lu F 2025.</w:t>
      </w:r>
      <w:r>
        <w:t xml:space="preserve"> </w:t>
      </w:r>
      <w:hyperlink r:id="rId289">
        <w:r>
          <w:rPr>
            <w:rStyle w:val="af"/>
          </w:rPr>
          <w:t xml:space="preserve">Pulmonary nodule malignancy probability: A meta-analysis of the brock model</w:t>
        </w:r>
      </w:hyperlink>
      <w:r>
        <w:t xml:space="preserve">. Clinical Radiology.82:106788</w:t>
      </w:r>
    </w:p>
    <w:bookmarkEnd w:id="290"/>
    <w:bookmarkStart w:id="292" w:name="ref-yang_comparison_2018"/>
    <w:p>
      <w:pPr>
        <w:pStyle w:val="a9"/>
      </w:pPr>
      <w:r>
        <w:t xml:space="preserve">[82]</w:t>
      </w:r>
      <w:r>
        <w:t xml:space="preserve"> </w:t>
      </w:r>
      <w:r>
        <w:t xml:space="preserve">	</w:t>
      </w:r>
      <w:r>
        <w:t xml:space="preserve">Yang B, Jhun BW, Shin SH, Jeong B-H, Um S-W, Zo JI, Lee HY, Sohn I, Kim H, Kwon OJ, Lee K 2018.</w:t>
      </w:r>
      <w:r>
        <w:t xml:space="preserve"> </w:t>
      </w:r>
      <w:hyperlink r:id="rId291">
        <w:r>
          <w:rPr>
            <w:rStyle w:val="af"/>
          </w:rPr>
          <w:t xml:space="preserve">Comparison of four models predicting the malignancy of pulmonary nodules: A single-center study of korean adults</w:t>
        </w:r>
      </w:hyperlink>
      <w:r>
        <w:t xml:space="preserve">.</w:t>
      </w:r>
      <w:r>
        <w:t xml:space="preserve"> </w:t>
      </w:r>
      <w:r>
        <w:t xml:space="preserve">PLOS</w:t>
      </w:r>
      <w:r>
        <w:t xml:space="preserve"> </w:t>
      </w:r>
      <w:r>
        <w:t xml:space="preserve">ONE</w:t>
      </w:r>
      <w:r>
        <w:t xml:space="preserve">.13:e0201242</w:t>
      </w:r>
    </w:p>
    <w:bookmarkEnd w:id="292"/>
    <w:bookmarkStart w:id="294" w:name="ref-cui_comparison_2019"/>
    <w:p>
      <w:pPr>
        <w:pStyle w:val="a9"/>
      </w:pPr>
      <w:r>
        <w:t xml:space="preserve">[83]</w:t>
      </w:r>
      <w:r>
        <w:t xml:space="preserve"> </w:t>
      </w:r>
      <w:r>
        <w:t xml:space="preserve">	</w:t>
      </w:r>
      <w:r>
        <w:t xml:space="preserve">Cui X, Heuvelmans MA, Han D, Zhao Y, Fan S, Zheng S, Sidorenkov G, Groen HJM, Dorrius MD, Oudkerk M, Bock GH de, Vliegenthart R, Ye Z 2019.</w:t>
      </w:r>
      <w:r>
        <w:t xml:space="preserve"> </w:t>
      </w:r>
      <w:hyperlink r:id="rId293">
        <w:r>
          <w:rPr>
            <w:rStyle w:val="af"/>
          </w:rPr>
          <w:t xml:space="preserve">Comparison of veterans affairs, mayo, brock classification models and radiologist diagnosis for classifying the malignancy of pulmonary nodules in chinese clinical population</w:t>
        </w:r>
      </w:hyperlink>
      <w:r>
        <w:t xml:space="preserve">. Translational Lung Cancer Research.8:</w:t>
      </w:r>
    </w:p>
    <w:bookmarkEnd w:id="294"/>
    <w:bookmarkStart w:id="296" w:name="ref-li_evaluation_2020"/>
    <w:p>
      <w:pPr>
        <w:pStyle w:val="a9"/>
      </w:pPr>
      <w:r>
        <w:t xml:space="preserve">[84]</w:t>
      </w:r>
      <w:r>
        <w:t xml:space="preserve"> </w:t>
      </w:r>
      <w:r>
        <w:t xml:space="preserve">	</w:t>
      </w:r>
      <w:r>
        <w:t xml:space="preserve">Li Y, Hu H, Wu Z, Yan G, Wu T, Liu S, Chen W, Lu Z 2020.</w:t>
      </w:r>
      <w:r>
        <w:t xml:space="preserve"> </w:t>
      </w:r>
      <w:hyperlink r:id="rId295">
        <w:r>
          <w:rPr>
            <w:rStyle w:val="af"/>
          </w:rPr>
          <w:t xml:space="preserve">Evaluation of models for predicting the probability of malignancy in patients with pulmonary nodules</w:t>
        </w:r>
      </w:hyperlink>
      <w:r>
        <w:t xml:space="preserve">. Biosci Rep.40:BSR20193875</w:t>
      </w:r>
    </w:p>
    <w:bookmarkEnd w:id="296"/>
    <w:bookmarkStart w:id="298" w:name="ref-herder_clinical_2005"/>
    <w:p>
      <w:pPr>
        <w:pStyle w:val="a9"/>
      </w:pPr>
      <w:r>
        <w:t xml:space="preserve">[85]</w:t>
      </w:r>
      <w:r>
        <w:t xml:space="preserve"> </w:t>
      </w:r>
      <w:r>
        <w:t xml:space="preserve">	</w:t>
      </w:r>
      <w:r>
        <w:t xml:space="preserve">Herder GJ, Tinteren H van, Golding RP, Kostense PJ, Comans EF, Smit EF, Hoekstra OS 2005.</w:t>
      </w:r>
      <w:r>
        <w:t xml:space="preserve"> </w:t>
      </w:r>
      <w:hyperlink r:id="rId297">
        <w:r>
          <w:rPr>
            <w:rStyle w:val="af"/>
          </w:rPr>
          <w:t xml:space="preserve">Clinical prediction model to characterize pulmonary nodules: Validation and added value of 18F-fluorodeoxyglucose positron emission tomography</w:t>
        </w:r>
      </w:hyperlink>
      <w:r>
        <w:t xml:space="preserve">. Chest.128:2490–2496</w:t>
      </w:r>
    </w:p>
    <w:bookmarkEnd w:id="298"/>
    <w:bookmarkStart w:id="300" w:name="ref-perandini_solid_2016"/>
    <w:p>
      <w:pPr>
        <w:pStyle w:val="a9"/>
      </w:pPr>
      <w:r>
        <w:t xml:space="preserve">[86]</w:t>
      </w:r>
      <w:r>
        <w:t xml:space="preserve"> </w:t>
      </w:r>
      <w:r>
        <w:t xml:space="preserve">	</w:t>
      </w:r>
      <w:r>
        <w:t xml:space="preserve">Perandini S, Soardi GA, Motton M, Rossi A, Signorini M, Montemezzi S 2016.</w:t>
      </w:r>
      <w:r>
        <w:t xml:space="preserve"> </w:t>
      </w:r>
      <w:hyperlink r:id="rId299">
        <w:r>
          <w:rPr>
            <w:rStyle w:val="af"/>
          </w:rPr>
          <w:t xml:space="preserve">Solid pulmonary nodule risk assessment and decision analysis: Comparison of four prediction models in 285 cases</w:t>
        </w:r>
      </w:hyperlink>
      <w:r>
        <w:t xml:space="preserve">. Eur Radiol.26:3071–3076</w:t>
      </w:r>
    </w:p>
    <w:bookmarkEnd w:id="300"/>
    <w:bookmarkStart w:id="302" w:name="ref-li_predicting_2019"/>
    <w:p>
      <w:pPr>
        <w:pStyle w:val="a9"/>
      </w:pPr>
      <w:r>
        <w:t xml:space="preserve">[87]</w:t>
      </w:r>
      <w:r>
        <w:t xml:space="preserve"> </w:t>
      </w:r>
      <w:r>
        <w:t xml:space="preserve">	</w:t>
      </w:r>
      <w:r>
        <w:t xml:space="preserve">Li S, Xu P, Li B, Chen L, Zhou Z, Hao H, Duan Y, Folkert M, Ma J, Huang S, Jiang S, Wang J 2019.</w:t>
      </w:r>
      <w:r>
        <w:t xml:space="preserve"> </w:t>
      </w:r>
      <w:hyperlink r:id="rId301">
        <w:r>
          <w:rPr>
            <w:rStyle w:val="af"/>
          </w:rPr>
          <w:t xml:space="preserve">Predicting lung nodule malignancies by combining deep convolutional neural network and handcrafted features</w:t>
        </w:r>
      </w:hyperlink>
      <w:r>
        <w:t xml:space="preserve">. Phys Med Biol.64:175012</w:t>
      </w:r>
    </w:p>
    <w:bookmarkEnd w:id="302"/>
    <w:bookmarkStart w:id="304" w:name="ref-lin_combined_2024"/>
    <w:p>
      <w:pPr>
        <w:pStyle w:val="a9"/>
      </w:pPr>
      <w:r>
        <w:t xml:space="preserve">[88]</w:t>
      </w:r>
      <w:r>
        <w:t xml:space="preserve"> </w:t>
      </w:r>
      <w:r>
        <w:t xml:space="preserve">	</w:t>
      </w:r>
      <w:r>
        <w:t xml:space="preserve">Lin C-Y, Guo S-M, Lien J-JJ, Lin W-T, Liu Y-S, Lai C-H, Hsu I-L, Chang C-C, Tseng Y-L 2024.</w:t>
      </w:r>
      <w:r>
        <w:t xml:space="preserve"> </w:t>
      </w:r>
      <w:hyperlink r:id="rId303">
        <w:r>
          <w:rPr>
            <w:rStyle w:val="af"/>
          </w:rPr>
          <w:t xml:space="preserve">Combined model integrating deep learning, radiomics, and clinical data to classify lung nodules at chest</w:t>
        </w:r>
        <w:r>
          <w:rPr>
            <w:rStyle w:val="af"/>
          </w:rPr>
          <w:t xml:space="preserve"> </w:t>
        </w:r>
        <w:r>
          <w:rPr>
            <w:rStyle w:val="af"/>
          </w:rPr>
          <w:t xml:space="preserve">CT</w:t>
        </w:r>
      </w:hyperlink>
      <w:r>
        <w:t xml:space="preserve">. Radiol med.129:56–69</w:t>
      </w:r>
    </w:p>
    <w:bookmarkEnd w:id="304"/>
    <w:bookmarkStart w:id="306" w:name="ref-causey_highly_2018"/>
    <w:p>
      <w:pPr>
        <w:pStyle w:val="a9"/>
      </w:pPr>
      <w:r>
        <w:t xml:space="preserve">[89]</w:t>
      </w:r>
      <w:r>
        <w:t xml:space="preserve"> </w:t>
      </w:r>
      <w:r>
        <w:t xml:space="preserve">	</w:t>
      </w:r>
      <w:r>
        <w:t xml:space="preserve">Causey JL, Zhang J, Ma S, Jiang B, Qualls JA, Politte DG, Prior F, Zhang S, Huang X 2018.</w:t>
      </w:r>
      <w:r>
        <w:t xml:space="preserve"> </w:t>
      </w:r>
      <w:hyperlink r:id="rId305">
        <w:r>
          <w:rPr>
            <w:rStyle w:val="af"/>
          </w:rPr>
          <w:t xml:space="preserve">Highly accurate model for prediction of lung nodule malignancy with</w:t>
        </w:r>
        <w:r>
          <w:rPr>
            <w:rStyle w:val="af"/>
          </w:rPr>
          <w:t xml:space="preserve"> </w:t>
        </w:r>
        <w:r>
          <w:rPr>
            <w:rStyle w:val="af"/>
          </w:rPr>
          <w:t xml:space="preserve">CT</w:t>
        </w:r>
        <w:r>
          <w:rPr>
            <w:rStyle w:val="af"/>
          </w:rPr>
          <w:t xml:space="preserve"> </w:t>
        </w:r>
        <w:r>
          <w:rPr>
            <w:rStyle w:val="af"/>
          </w:rPr>
          <w:t xml:space="preserve">scans</w:t>
        </w:r>
      </w:hyperlink>
      <w:r>
        <w:t xml:space="preserve">. Sci Rep.8:9286</w:t>
      </w:r>
    </w:p>
    <w:bookmarkEnd w:id="306"/>
    <w:bookmarkStart w:id="308" w:name="ref-wu_strategy_2023"/>
    <w:p>
      <w:pPr>
        <w:pStyle w:val="a9"/>
      </w:pPr>
      <w:r>
        <w:t xml:space="preserve">[90]</w:t>
      </w:r>
      <w:r>
        <w:t xml:space="preserve"> </w:t>
      </w:r>
      <w:r>
        <w:t xml:space="preserve">	</w:t>
      </w:r>
      <w:r>
        <w:t xml:space="preserve">Wu Z, Tan F, Xie Y, Tang W, Wang F, Xu Y, Cao W, Qin C, Dong X, Zheng Y, Luo Z, Wang C, Zhao L, Xia C, Li J, Li R, Feng F, Li J, Ren J, Shi J, Cui H, Shen S, Wu N, Chen W, Li N, He J 2023.</w:t>
      </w:r>
      <w:r>
        <w:t xml:space="preserve"> </w:t>
      </w:r>
      <w:hyperlink r:id="rId307">
        <w:r>
          <w:rPr>
            <w:rStyle w:val="af"/>
          </w:rPr>
          <w:t xml:space="preserve">A strategy to reduce the false-positive rate after low-dose computed tomography in lung cancer screening: A multicenter prospective cohort study</w:t>
        </w:r>
      </w:hyperlink>
      <w:r>
        <w:t xml:space="preserve">. Cancer Med.12:14781–14793</w:t>
      </w:r>
    </w:p>
    <w:bookmarkEnd w:id="308"/>
    <w:bookmarkStart w:id="310" w:name="ref-barros_pulmonary_2023"/>
    <w:p>
      <w:pPr>
        <w:pStyle w:val="a9"/>
      </w:pPr>
      <w:r>
        <w:t xml:space="preserve">[91]</w:t>
      </w:r>
      <w:r>
        <w:t xml:space="preserve"> </w:t>
      </w:r>
      <w:r>
        <w:t xml:space="preserve">	</w:t>
      </w:r>
      <w:r>
        <w:t xml:space="preserve">Barros N, Wheat JL, Hage C 2023.</w:t>
      </w:r>
      <w:r>
        <w:t xml:space="preserve"> </w:t>
      </w:r>
      <w:hyperlink r:id="rId309">
        <w:r>
          <w:rPr>
            <w:rStyle w:val="af"/>
          </w:rPr>
          <w:t xml:space="preserve">Pulmonary histoplasmosis: A clinical update</w:t>
        </w:r>
      </w:hyperlink>
      <w:r>
        <w:t xml:space="preserve">. J Fungi (Basel).9:236</w:t>
      </w:r>
    </w:p>
    <w:bookmarkEnd w:id="310"/>
    <w:bookmarkStart w:id="312" w:name="ref-shipe_validation_2021"/>
    <w:p>
      <w:pPr>
        <w:pStyle w:val="a9"/>
      </w:pPr>
      <w:r>
        <w:t xml:space="preserve">[92]</w:t>
      </w:r>
      <w:r>
        <w:t xml:space="preserve"> </w:t>
      </w:r>
      <w:r>
        <w:t xml:space="preserve">	</w:t>
      </w:r>
      <w:r>
        <w:t xml:space="preserve">Shipe ME, Deppen SA, Sullivan S, Kammer M, Starnes SL, Wilson DO, Massion PP, Grogan EL 2021.</w:t>
      </w:r>
      <w:r>
        <w:t xml:space="preserve"> </w:t>
      </w:r>
      <w:hyperlink r:id="rId311">
        <w:r>
          <w:rPr>
            <w:rStyle w:val="af"/>
          </w:rPr>
          <w:t xml:space="preserve">Validation of histoplasmosis enzyme immunoassay to evaluate suspicious lung nodules</w:t>
        </w:r>
      </w:hyperlink>
      <w:r>
        <w:t xml:space="preserve">. Ann Thorac Surg.111:416–420</w:t>
      </w:r>
    </w:p>
    <w:bookmarkEnd w:id="312"/>
    <w:bookmarkStart w:id="314" w:name="ref-lang_asymptomatic_2017"/>
    <w:p>
      <w:pPr>
        <w:pStyle w:val="a9"/>
      </w:pPr>
      <w:r>
        <w:t xml:space="preserve">[93]</w:t>
      </w:r>
      <w:r>
        <w:t xml:space="preserve"> </w:t>
      </w:r>
      <w:r>
        <w:t xml:space="preserve">	</w:t>
      </w:r>
      <w:r>
        <w:t xml:space="preserve">Lang S, Sun J, Wang X, Xiao Y, Wang J, Zhang M, Ao T, Wang J 2017.</w:t>
      </w:r>
      <w:r>
        <w:t xml:space="preserve"> </w:t>
      </w:r>
      <w:hyperlink r:id="rId313">
        <w:r>
          <w:rPr>
            <w:rStyle w:val="af"/>
          </w:rPr>
          <w:t xml:space="preserve">Asymptomatic pulmonary tuberculosis mimicking lung cancer on imaging: A retrospective study</w:t>
        </w:r>
      </w:hyperlink>
      <w:r>
        <w:t xml:space="preserve">. Exp Ther Med.14:2180–2188</w:t>
      </w:r>
    </w:p>
    <w:bookmarkEnd w:id="314"/>
    <w:bookmarkStart w:id="315" w:name="ref-ben2010theory"/>
    <w:p>
      <w:pPr>
        <w:pStyle w:val="a9"/>
      </w:pPr>
      <w:r>
        <w:t xml:space="preserve">[94]</w:t>
      </w:r>
      <w:r>
        <w:t xml:space="preserve"> </w:t>
      </w:r>
      <w:r>
        <w:t xml:space="preserve">	</w:t>
      </w:r>
      <w:r>
        <w:t xml:space="preserve">Ben-David S, Blitzer J, Crammer K, Kulesza A, Pereira F, Vaughan JW 2010. A theory of learning from different domains. Machine learning.79:151–175</w:t>
      </w:r>
    </w:p>
    <w:bookmarkEnd w:id="315"/>
    <w:bookmarkStart w:id="316" w:name="ref-de2021adapt"/>
    <w:p>
      <w:pPr>
        <w:pStyle w:val="a9"/>
      </w:pPr>
      <w:r>
        <w:t xml:space="preserve">[95]</w:t>
      </w:r>
      <w:r>
        <w:t xml:space="preserve"> </w:t>
      </w:r>
      <w:r>
        <w:t xml:space="preserve">	</w:t>
      </w:r>
      <w:r>
        <w:t xml:space="preserve">Mathelin A de, Deheeger F, Richard G, Mougeot M, Vayatis N 2021. ADAPT: Awesome domain adaptation python toolbox. arXiv preprint arXiv:2107.03049.</w:t>
      </w:r>
    </w:p>
    <w:bookmarkEnd w:id="316"/>
    <w:bookmarkStart w:id="318" w:name="ref-noauthor_welcome_nodate"/>
    <w:p>
      <w:pPr>
        <w:pStyle w:val="a9"/>
      </w:pPr>
      <w:r>
        <w:t xml:space="preserve">[96]</w:t>
      </w:r>
      <w:r>
        <w:t xml:space="preserve"> </w:t>
      </w:r>
      <w:r>
        <w:t xml:space="preserve">	</w:t>
      </w:r>
      <w:hyperlink r:id="rId317">
        <w:r>
          <w:rPr>
            <w:rStyle w:val="af"/>
          </w:rPr>
          <w:t xml:space="preserve">Welcome! — adapt 0.1.0 documentation</w:t>
        </w:r>
      </w:hyperlink>
      <w:r>
        <w:t xml:space="preserve">.</w:t>
      </w:r>
      <w:r>
        <w:t xml:space="preserve"> </w:t>
      </w:r>
    </w:p>
    <w:bookmarkEnd w:id="318"/>
    <w:bookmarkStart w:id="319" w:name="ref-cortes1995support"/>
    <w:p>
      <w:pPr>
        <w:pStyle w:val="a9"/>
      </w:pPr>
      <w:r>
        <w:t xml:space="preserve">[97]</w:t>
      </w:r>
      <w:r>
        <w:t xml:space="preserve"> </w:t>
      </w:r>
      <w:r>
        <w:t xml:space="preserve">	</w:t>
      </w:r>
      <w:r>
        <w:t xml:space="preserve">Cortes C, Vapnik V 1995. Support-vector networks. Machine learning.20:273–297</w:t>
      </w:r>
    </w:p>
    <w:bookmarkEnd w:id="319"/>
    <w:bookmarkStart w:id="320" w:name="ref-breiman1984classification"/>
    <w:p>
      <w:pPr>
        <w:pStyle w:val="a9"/>
      </w:pPr>
      <w:r>
        <w:t xml:space="preserve">[98]</w:t>
      </w:r>
      <w:r>
        <w:t xml:space="preserve"> </w:t>
      </w:r>
      <w:r>
        <w:t xml:space="preserve">	</w:t>
      </w:r>
      <w:r>
        <w:t xml:space="preserve">Breiman L, Friedman J, Olshen RA, Stone CJ 1984. Classification and regression trees.</w:t>
      </w:r>
      <w:r>
        <w:t xml:space="preserve"> </w:t>
      </w:r>
    </w:p>
    <w:bookmarkEnd w:id="320"/>
    <w:bookmarkStart w:id="321" w:name="ref-breiman2001random"/>
    <w:p>
      <w:pPr>
        <w:pStyle w:val="a9"/>
      </w:pPr>
      <w:r>
        <w:t xml:space="preserve">[99]</w:t>
      </w:r>
      <w:r>
        <w:t xml:space="preserve"> </w:t>
      </w:r>
      <w:r>
        <w:t xml:space="preserve">	</w:t>
      </w:r>
      <w:r>
        <w:t xml:space="preserve">Breiman L 2001. Random forests. Machine learning.45:5–32</w:t>
      </w:r>
    </w:p>
    <w:bookmarkEnd w:id="321"/>
    <w:bookmarkStart w:id="322" w:name="ref-friedman2001greedy"/>
    <w:p>
      <w:pPr>
        <w:pStyle w:val="a9"/>
      </w:pPr>
      <w:r>
        <w:t xml:space="preserve">[100]</w:t>
      </w:r>
      <w:r>
        <w:t xml:space="preserve"> </w:t>
      </w:r>
      <w:r>
        <w:t xml:space="preserve">	</w:t>
      </w:r>
      <w:r>
        <w:t xml:space="preserve">Friedman JH 2001. Greedy function approximation: A gradient boosting machine. Annals of statistics.1189–1232</w:t>
      </w:r>
    </w:p>
    <w:bookmarkEnd w:id="322"/>
    <w:bookmarkEnd w:id="323"/>
    <w:bookmarkEnd w:id="324"/>
    <w:sectPr w:rsidR="006A44F0" w:rsidRPr="004E1341">
      <w:footnotePr>
        <w:numRestart w:val="eachSect"/>
      </w:footnotePr>
      <w:pgSz w:h="15840" w:w="12240"/>
      <w:pgMar w:bottom="1440" w:footer="720" w:gutter="0" w:header="720" w:left="1800" w:right="180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DAB4A67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16cid:durableId="792095618" w:numId="1">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3"/>
  <w:embedSystemFonts/>
  <w:bordersDoNotSurroundHeader/>
  <w:bordersDoNotSurroundFooter/>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6A44F0"/>
    <w:rsid w:val="000F2A29"/>
    <w:rsid w:val="00226CA0"/>
    <w:rsid w:val="002A535A"/>
    <w:rsid w:val="002F2F0A"/>
    <w:rsid w:val="00313397"/>
    <w:rsid w:val="003D0B7E"/>
    <w:rsid w:val="004E1341"/>
    <w:rsid w:val="005B519B"/>
    <w:rsid w:val="00661BB9"/>
    <w:rsid w:val="006A44F0"/>
    <w:rsid w:val="007A63DB"/>
    <w:rsid w:val="007B7AE9"/>
    <w:rsid w:val="007E31DB"/>
    <w:rsid w:val="008942F4"/>
    <w:rsid w:val="00991E4B"/>
    <w:rsid w:val="00DA021B"/>
    <w:rsid w:val="00F044A1"/>
    <w:rsid w:val="00F16D1D"/>
    <w:rsid w:val="00F330F2"/>
  </w:rsids>
  <w:themeFontLang w:eastAsia="zh-CN"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rsid w:val="004E1341"/>
    <w:rPr>
      <w:rFonts w:ascii="Times New Roman" w:cs="Times New Roman" w:eastAsia="Times New Roman" w:hAnsi="Times New Roman"/>
      <w:color w:themeColor="text1" w:val="000000"/>
    </w:rPr>
  </w:style>
  <w:style w:styleId="1" w:type="paragraph">
    <w:name w:val="heading 1"/>
    <w:basedOn w:val="a"/>
    <w:next w:val="a0"/>
    <w:link w:val="10"/>
    <w:autoRedefine/>
    <w:uiPriority w:val="9"/>
    <w:qFormat/>
    <w:rsid w:val="004E1341"/>
    <w:pPr>
      <w:keepNext/>
      <w:keepLines/>
      <w:spacing w:after="80" w:before="360"/>
      <w:outlineLvl w:val="0"/>
    </w:pPr>
    <w:rPr>
      <w:sz w:val="40"/>
      <w:szCs w:val="40"/>
    </w:rPr>
  </w:style>
  <w:style w:styleId="2" w:type="paragraph">
    <w:name w:val="heading 2"/>
    <w:basedOn w:val="a"/>
    <w:next w:val="a0"/>
    <w:link w:val="20"/>
    <w:autoRedefine/>
    <w:uiPriority w:val="9"/>
    <w:semiHidden/>
    <w:unhideWhenUsed/>
    <w:qFormat/>
    <w:rsid w:val="00991E4B"/>
    <w:pPr>
      <w:keepNext/>
      <w:keepLines/>
      <w:spacing w:after="80" w:before="160"/>
      <w:outlineLvl w:val="1"/>
    </w:pPr>
    <w:rPr>
      <w:sz w:val="32"/>
      <w:szCs w:val="32"/>
    </w:rPr>
  </w:style>
  <w:style w:styleId="3" w:type="paragraph">
    <w:name w:val="heading 3"/>
    <w:basedOn w:val="a"/>
    <w:next w:val="a0"/>
    <w:link w:val="30"/>
    <w:autoRedefine/>
    <w:uiPriority w:val="9"/>
    <w:semiHidden/>
    <w:unhideWhenUsed/>
    <w:qFormat/>
    <w:rsid w:val="00991E4B"/>
    <w:pPr>
      <w:keepNext/>
      <w:keepLines/>
      <w:spacing w:after="80" w:before="160"/>
      <w:outlineLvl w:val="2"/>
    </w:pPr>
    <w:rPr>
      <w:sz w:val="28"/>
      <w:szCs w:val="28"/>
    </w:rPr>
  </w:style>
  <w:style w:styleId="4" w:type="paragraph">
    <w:name w:val="heading 4"/>
    <w:basedOn w:val="a"/>
    <w:next w:val="a0"/>
    <w:link w:val="40"/>
    <w:autoRedefine/>
    <w:uiPriority w:val="9"/>
    <w:semiHidden/>
    <w:unhideWhenUsed/>
    <w:qFormat/>
    <w:rsid w:val="00F044A1"/>
    <w:pPr>
      <w:keepNext/>
      <w:keepLines/>
      <w:spacing w:after="40" w:before="80"/>
      <w:outlineLvl w:val="3"/>
    </w:pPr>
    <w:rPr>
      <w:i/>
      <w:iCs/>
    </w:rPr>
  </w:style>
  <w:style w:styleId="5" w:type="paragraph">
    <w:name w:val="heading 5"/>
    <w:basedOn w:val="a"/>
    <w:next w:val="a0"/>
    <w:link w:val="50"/>
    <w:autoRedefine/>
    <w:uiPriority w:val="9"/>
    <w:semiHidden/>
    <w:unhideWhenUsed/>
    <w:qFormat/>
    <w:rsid w:val="00F044A1"/>
    <w:pPr>
      <w:keepNext/>
      <w:keepLines/>
      <w:spacing w:after="40" w:before="80"/>
      <w:outlineLvl w:val="4"/>
    </w:pPr>
  </w:style>
  <w:style w:styleId="6" w:type="paragraph">
    <w:name w:val="heading 6"/>
    <w:basedOn w:val="a"/>
    <w:next w:val="a0"/>
    <w:link w:val="60"/>
    <w:autoRedefine/>
    <w:uiPriority w:val="9"/>
    <w:semiHidden/>
    <w:unhideWhenUsed/>
    <w:qFormat/>
    <w:rsid w:val="00F044A1"/>
    <w:pPr>
      <w:keepNext/>
      <w:keepLines/>
      <w:spacing w:after="0" w:before="40"/>
      <w:outlineLvl w:val="5"/>
    </w:pPr>
    <w:rPr>
      <w:i/>
      <w:iCs/>
    </w:rPr>
  </w:style>
  <w:style w:styleId="7" w:type="paragraph">
    <w:name w:val="heading 7"/>
    <w:basedOn w:val="a"/>
    <w:next w:val="a0"/>
    <w:link w:val="70"/>
    <w:autoRedefine/>
    <w:uiPriority w:val="9"/>
    <w:semiHidden/>
    <w:unhideWhenUsed/>
    <w:qFormat/>
    <w:rsid w:val="00F044A1"/>
    <w:pPr>
      <w:keepNext/>
      <w:keepLines/>
      <w:spacing w:after="0" w:before="40"/>
      <w:outlineLvl w:val="6"/>
    </w:pPr>
  </w:style>
  <w:style w:styleId="8" w:type="paragraph">
    <w:name w:val="heading 8"/>
    <w:basedOn w:val="a"/>
    <w:next w:val="a0"/>
    <w:link w:val="80"/>
    <w:autoRedefine/>
    <w:uiPriority w:val="9"/>
    <w:semiHidden/>
    <w:unhideWhenUsed/>
    <w:qFormat/>
    <w:rsid w:val="00F044A1"/>
    <w:pPr>
      <w:keepNext/>
      <w:keepLines/>
      <w:spacing w:after="0"/>
      <w:outlineLvl w:val="7"/>
    </w:pPr>
    <w:rPr>
      <w:i/>
      <w:iCs/>
    </w:rPr>
  </w:style>
  <w:style w:styleId="9" w:type="paragraph">
    <w:name w:val="heading 9"/>
    <w:basedOn w:val="a"/>
    <w:next w:val="a0"/>
    <w:link w:val="90"/>
    <w:autoRedefine/>
    <w:uiPriority w:val="9"/>
    <w:semiHidden/>
    <w:unhideWhenUsed/>
    <w:qFormat/>
    <w:rsid w:val="00F044A1"/>
    <w:pPr>
      <w:keepNext/>
      <w:keepLines/>
      <w:spacing w:after="0"/>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autoRedefine/>
    <w:qFormat/>
    <w:rsid w:val="004E1341"/>
    <w:pPr>
      <w:spacing w:after="180" w:before="180"/>
    </w:pPr>
  </w:style>
  <w:style w:customStyle="1" w:styleId="FirstParagraph" w:type="paragraph">
    <w:name w:val="First Paragraph"/>
    <w:basedOn w:val="a0"/>
    <w:next w:val="a0"/>
    <w:qFormat/>
    <w:rsid w:val="004E1341"/>
  </w:style>
  <w:style w:customStyle="1" w:styleId="Compact" w:type="paragraph">
    <w:name w:val="Compact"/>
    <w:basedOn w:val="a0"/>
    <w:autoRedefine/>
    <w:qFormat/>
    <w:rsid w:val="004E1341"/>
    <w:pPr>
      <w:spacing w:after="36" w:before="36"/>
    </w:pPr>
  </w:style>
  <w:style w:styleId="a4" w:type="paragraph">
    <w:name w:val="Title"/>
    <w:basedOn w:val="a"/>
    <w:next w:val="a0"/>
    <w:link w:val="a5"/>
    <w:autoRedefine/>
    <w:uiPriority w:val="10"/>
    <w:qFormat/>
    <w:rsid w:val="004E1341"/>
    <w:pPr>
      <w:spacing w:after="80"/>
      <w:contextualSpacing/>
      <w:jc w:val="center"/>
    </w:pPr>
    <w:rPr>
      <w:sz w:val="56"/>
      <w:szCs w:val="56"/>
    </w:rPr>
  </w:style>
  <w:style w:customStyle="1" w:styleId="a5" w:type="character">
    <w:name w:val="标题 字符"/>
    <w:basedOn w:val="a1"/>
    <w:link w:val="a4"/>
    <w:uiPriority w:val="10"/>
    <w:rsid w:val="004E1341"/>
    <w:rPr>
      <w:rFonts w:ascii="Times New Roman" w:cs="Times New Roman" w:eastAsia="Times New Roman" w:hAnsi="Times New Roman"/>
      <w:color w:themeColor="text1" w:val="000000"/>
      <w:sz w:val="56"/>
      <w:szCs w:val="56"/>
    </w:rPr>
  </w:style>
  <w:style w:styleId="a6" w:type="paragraph">
    <w:name w:val="Subtitle"/>
    <w:basedOn w:val="a4"/>
    <w:next w:val="a0"/>
    <w:link w:val="a7"/>
    <w:autoRedefine/>
    <w:uiPriority w:val="11"/>
    <w:qFormat/>
    <w:rsid w:val="004E1341"/>
    <w:pPr>
      <w:numPr>
        <w:ilvl w:val="1"/>
      </w:numPr>
    </w:pPr>
    <w:rPr>
      <w:spacing w:val="15"/>
      <w:sz w:val="28"/>
      <w:szCs w:val="28"/>
    </w:rPr>
  </w:style>
  <w:style w:customStyle="1" w:styleId="a7" w:type="character">
    <w:name w:val="副标题 字符"/>
    <w:basedOn w:val="a1"/>
    <w:link w:val="a6"/>
    <w:uiPriority w:val="11"/>
    <w:rsid w:val="004E1341"/>
    <w:rPr>
      <w:rFonts w:ascii="Times New Roman" w:cs="Times New Roman" w:eastAsia="Times New Roman" w:hAnsi="Times New Roman"/>
      <w:color w:themeColor="text1" w:val="000000"/>
      <w:spacing w:val="15"/>
      <w:sz w:val="28"/>
      <w:szCs w:val="28"/>
    </w:rPr>
  </w:style>
  <w:style w:customStyle="1" w:styleId="Author" w:type="paragraph">
    <w:name w:val="Author"/>
    <w:basedOn w:val="a4"/>
    <w:next w:val="a0"/>
    <w:autoRedefine/>
    <w:qFormat/>
    <w:rsid w:val="007B7AE9"/>
    <w:pPr>
      <w:keepNext/>
      <w:keepLines/>
    </w:pPr>
    <w:rPr>
      <w:sz w:val="24"/>
      <w:szCs w:val="24"/>
    </w:rPr>
  </w:style>
  <w:style w:styleId="a8" w:type="paragraph">
    <w:name w:val="Date"/>
    <w:basedOn w:val="a4"/>
    <w:next w:val="a0"/>
    <w:autoRedefine/>
    <w:qFormat/>
    <w:rsid w:val="004E1341"/>
    <w:pPr>
      <w:keepNext/>
      <w:keepLines/>
    </w:pPr>
    <w:rPr>
      <w:sz w:val="24"/>
      <w:szCs w:val="24"/>
    </w:rPr>
  </w:style>
  <w:style w:customStyle="1" w:styleId="AbstractTitle" w:type="paragraph">
    <w:name w:val="Abstract Title"/>
    <w:basedOn w:val="a"/>
    <w:next w:val="Abstract"/>
    <w:autoRedefine/>
    <w:qFormat/>
    <w:rsid w:val="007B7AE9"/>
    <w:pPr>
      <w:keepNext/>
      <w:keepLines/>
      <w:spacing w:after="0" w:before="300"/>
      <w:jc w:val="center"/>
    </w:pPr>
    <w:rPr>
      <w:b/>
      <w:sz w:val="20"/>
      <w:szCs w:val="20"/>
    </w:rPr>
  </w:style>
  <w:style w:customStyle="1" w:styleId="Abstract" w:type="paragraph">
    <w:name w:val="Abstract"/>
    <w:basedOn w:val="a"/>
    <w:next w:val="a0"/>
    <w:autoRedefine/>
    <w:qFormat/>
    <w:rsid w:val="007B7AE9"/>
    <w:pPr>
      <w:keepNext/>
      <w:keepLines/>
      <w:spacing w:after="300" w:before="100"/>
    </w:pPr>
    <w:rPr>
      <w:sz w:val="20"/>
      <w:szCs w:val="20"/>
    </w:rPr>
  </w:style>
  <w:style w:styleId="a9" w:type="paragraph">
    <w:name w:val="Bibliography"/>
    <w:basedOn w:val="a"/>
    <w:autoRedefine/>
    <w:qFormat/>
    <w:rsid w:val="004E1341"/>
  </w:style>
  <w:style w:customStyle="1" w:styleId="10" w:type="character">
    <w:name w:val="标题 1 字符"/>
    <w:basedOn w:val="a1"/>
    <w:link w:val="1"/>
    <w:uiPriority w:val="9"/>
    <w:rsid w:val="004E1341"/>
    <w:rPr>
      <w:rFonts w:ascii="Times New Roman" w:cs="Times New Roman" w:eastAsia="Times New Roman" w:hAnsi="Times New Roman"/>
      <w:color w:themeColor="text1" w:val="000000"/>
      <w:sz w:val="40"/>
      <w:szCs w:val="40"/>
    </w:rPr>
  </w:style>
  <w:style w:customStyle="1" w:styleId="20" w:type="character">
    <w:name w:val="标题 2 字符"/>
    <w:basedOn w:val="a1"/>
    <w:link w:val="2"/>
    <w:uiPriority w:val="9"/>
    <w:semiHidden/>
    <w:rsid w:val="00991E4B"/>
    <w:rPr>
      <w:rFonts w:ascii="Times New Roman" w:cs="Times New Roman" w:eastAsia="Times New Roman" w:hAnsi="Times New Roman"/>
      <w:color w:themeColor="text1" w:val="000000"/>
      <w:sz w:val="32"/>
      <w:szCs w:val="32"/>
    </w:rPr>
  </w:style>
  <w:style w:customStyle="1" w:styleId="30" w:type="character">
    <w:name w:val="标题 3 字符"/>
    <w:basedOn w:val="a1"/>
    <w:link w:val="3"/>
    <w:uiPriority w:val="9"/>
    <w:semiHidden/>
    <w:rsid w:val="00991E4B"/>
    <w:rPr>
      <w:rFonts w:ascii="Times New Roman" w:cs="Times New Roman" w:eastAsia="Times New Roman" w:hAnsi="Times New Roman"/>
      <w:color w:themeColor="text1" w:val="000000"/>
      <w:sz w:val="28"/>
      <w:szCs w:val="28"/>
    </w:rPr>
  </w:style>
  <w:style w:customStyle="1" w:styleId="40" w:type="character">
    <w:name w:val="标题 4 字符"/>
    <w:basedOn w:val="a1"/>
    <w:link w:val="4"/>
    <w:uiPriority w:val="9"/>
    <w:semiHidden/>
    <w:rsid w:val="00F044A1"/>
    <w:rPr>
      <w:rFonts w:ascii="Times New Roman" w:cs="Times New Roman" w:eastAsia="Times New Roman" w:hAnsi="Times New Roman"/>
      <w:i/>
      <w:iCs/>
      <w:color w:themeColor="text1" w:val="000000"/>
    </w:rPr>
  </w:style>
  <w:style w:customStyle="1" w:styleId="50" w:type="character">
    <w:name w:val="标题 5 字符"/>
    <w:basedOn w:val="a1"/>
    <w:link w:val="5"/>
    <w:uiPriority w:val="9"/>
    <w:semiHidden/>
    <w:rsid w:val="00F044A1"/>
    <w:rPr>
      <w:rFonts w:ascii="Times New Roman" w:cs="Times New Roman" w:eastAsia="Times New Roman" w:hAnsi="Times New Roman"/>
      <w:color w:themeColor="text1" w:val="000000"/>
    </w:rPr>
  </w:style>
  <w:style w:customStyle="1" w:styleId="60" w:type="character">
    <w:name w:val="标题 6 字符"/>
    <w:basedOn w:val="a1"/>
    <w:link w:val="6"/>
    <w:uiPriority w:val="9"/>
    <w:semiHidden/>
    <w:rsid w:val="00F044A1"/>
    <w:rPr>
      <w:rFonts w:ascii="Times New Roman" w:cs="Times New Roman" w:eastAsia="Times New Roman" w:hAnsi="Times New Roman"/>
      <w:i/>
      <w:iCs/>
      <w:color w:themeColor="text1" w:val="000000"/>
    </w:rPr>
  </w:style>
  <w:style w:customStyle="1" w:styleId="70" w:type="character">
    <w:name w:val="标题 7 字符"/>
    <w:basedOn w:val="a1"/>
    <w:link w:val="7"/>
    <w:uiPriority w:val="9"/>
    <w:semiHidden/>
    <w:rsid w:val="00F044A1"/>
    <w:rPr>
      <w:rFonts w:ascii="Times New Roman" w:cs="Times New Roman" w:eastAsia="Times New Roman" w:hAnsi="Times New Roman"/>
      <w:color w:themeColor="text1" w:val="000000"/>
    </w:rPr>
  </w:style>
  <w:style w:customStyle="1" w:styleId="80" w:type="character">
    <w:name w:val="标题 8 字符"/>
    <w:basedOn w:val="a1"/>
    <w:link w:val="8"/>
    <w:uiPriority w:val="9"/>
    <w:semiHidden/>
    <w:rsid w:val="00F044A1"/>
    <w:rPr>
      <w:rFonts w:ascii="Times New Roman" w:cs="Times New Roman" w:eastAsia="Times New Roman" w:hAnsi="Times New Roman"/>
      <w:i/>
      <w:iCs/>
      <w:color w:themeColor="text1" w:val="000000"/>
    </w:rPr>
  </w:style>
  <w:style w:customStyle="1" w:styleId="90" w:type="character">
    <w:name w:val="标题 9 字符"/>
    <w:basedOn w:val="a1"/>
    <w:link w:val="9"/>
    <w:uiPriority w:val="9"/>
    <w:semiHidden/>
    <w:rsid w:val="00F044A1"/>
    <w:rPr>
      <w:rFonts w:ascii="Times New Roman" w:cs="Times New Roman" w:eastAsia="Times New Roman" w:hAnsi="Times New Roman"/>
      <w:color w:themeColor="text1" w:val="000000"/>
    </w:rPr>
  </w:style>
  <w:style w:styleId="aa" w:type="paragraph">
    <w:name w:val="Block Text"/>
    <w:basedOn w:val="a0"/>
    <w:next w:val="a0"/>
    <w:autoRedefine/>
    <w:uiPriority w:val="9"/>
    <w:unhideWhenUsed/>
    <w:qFormat/>
    <w:rsid w:val="004E1341"/>
    <w:pPr>
      <w:spacing w:after="100" w:before="100"/>
      <w:ind w:left="480" w:right="480"/>
    </w:pPr>
  </w:style>
  <w:style w:styleId="ab" w:type="paragraph">
    <w:name w:val="footnote text"/>
    <w:basedOn w:val="a"/>
    <w:autoRedefine/>
    <w:uiPriority w:val="9"/>
    <w:unhideWhenUsed/>
    <w:qFormat/>
    <w:rsid w:val="004E1341"/>
  </w:style>
  <w:style w:customStyle="1" w:styleId="FootnoteBlockText" w:type="paragraph">
    <w:name w:val="Footnote Block Text"/>
    <w:basedOn w:val="ab"/>
    <w:next w:val="ab"/>
    <w:autoRedefine/>
    <w:uiPriority w:val="9"/>
    <w:unhideWhenUsed/>
    <w:qFormat/>
    <w:rsid w:val="004E1341"/>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c" w:type="paragraph">
    <w:name w:val="caption"/>
    <w:basedOn w:val="a"/>
    <w:link w:val="ad"/>
    <w:pPr>
      <w:spacing w:after="120"/>
    </w:pPr>
    <w:rPr>
      <w:i/>
    </w:rPr>
  </w:style>
  <w:style w:customStyle="1" w:styleId="TableCaption" w:type="paragraph">
    <w:name w:val="Table Caption"/>
    <w:basedOn w:val="ac"/>
    <w:pPr>
      <w:keepNext/>
    </w:pPr>
  </w:style>
  <w:style w:customStyle="1" w:styleId="ImageCaption" w:type="paragraph">
    <w:name w:val="Image Caption"/>
    <w:basedOn w:val="ac"/>
  </w:style>
  <w:style w:customStyle="1" w:styleId="Figure" w:type="paragraph">
    <w:name w:val="Figure"/>
    <w:basedOn w:val="a"/>
    <w:autoRedefine/>
    <w:rsid w:val="00F16D1D"/>
  </w:style>
  <w:style w:customStyle="1" w:styleId="CaptionedFigure" w:type="paragraph">
    <w:name w:val="Captioned Figure"/>
    <w:basedOn w:val="Figure"/>
    <w:pPr>
      <w:keepNext/>
    </w:pPr>
  </w:style>
  <w:style w:customStyle="1" w:styleId="ad" w:type="character">
    <w:name w:val="题注 字符"/>
    <w:basedOn w:val="a1"/>
    <w:link w:val="ac"/>
  </w:style>
  <w:style w:customStyle="1" w:styleId="VerbatimChar" w:type="character">
    <w:name w:val="Verbatim Char"/>
    <w:basedOn w:val="ad"/>
    <w:rPr>
      <w:rFonts w:ascii="Consolas" w:hAnsi="Consolas"/>
      <w:sz w:val="22"/>
    </w:rPr>
  </w:style>
  <w:style w:customStyle="1" w:styleId="SectionNumber" w:type="character">
    <w:name w:val="Section Number"/>
    <w:basedOn w:val="ad"/>
    <w:rsid w:val="00F16D1D"/>
    <w:rPr>
      <w:rFonts w:ascii="Times New Roman" w:cs="Times New Roman" w:eastAsia="Times New Roman" w:hAnsi="Times New Roman"/>
    </w:rPr>
  </w:style>
  <w:style w:styleId="ae" w:type="character">
    <w:name w:val="footnote reference"/>
    <w:basedOn w:val="ad"/>
    <w:rPr>
      <w:vertAlign w:val="superscript"/>
    </w:rPr>
  </w:style>
  <w:style w:styleId="af" w:type="character">
    <w:name w:val="Hyperlink"/>
    <w:basedOn w:val="ad"/>
    <w:rsid w:val="00F16D1D"/>
    <w:rPr>
      <w:rFonts w:ascii="Times New Roman" w:cs="Times New Roman" w:eastAsia="Times New Roman" w:hAnsi="Times New Roman"/>
      <w:color w:themeColor="accent1" w:val="156082"/>
    </w:rPr>
  </w:style>
  <w:style w:styleId="TOC" w:type="paragraph">
    <w:name w:val="TOC Heading"/>
    <w:basedOn w:val="1"/>
    <w:next w:val="a0"/>
    <w:autoRedefine/>
    <w:uiPriority w:val="39"/>
    <w:unhideWhenUsed/>
    <w:qFormat/>
    <w:rsid w:val="007E31DB"/>
    <w:pPr>
      <w:spacing w:before="240" w:line="259" w:lineRule="auto"/>
      <w:outlineLvl w:val="9"/>
    </w:pPr>
  </w:style>
  <w:style w:customStyle="1" w:styleId="11" w:type="paragraph">
    <w:name w:val="样式1"/>
    <w:basedOn w:val="2"/>
    <w:autoRedefine/>
    <w:qFormat/>
    <w:rsid w:val="00991E4B"/>
    <w:rPr>
      <w:color w:themeColor="text2" w:val="0E2841"/>
    </w:rPr>
  </w:style>
  <w:style w:customStyle="1" w:styleId="21" w:type="paragraph">
    <w:name w:val="样式2"/>
    <w:basedOn w:val="4"/>
    <w:autoRedefine/>
    <w:qFormat/>
    <w:rsid w:val="003D0B7E"/>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5" Target="media/rId65.pdf" /><Relationship Type="http://schemas.openxmlformats.org/officeDocument/2006/relationships/image" Id="rId140" Target="media/rId140.pdf" /><Relationship Type="http://schemas.openxmlformats.org/officeDocument/2006/relationships/image" Id="rId119" Target="media/rId119.pdf" /><Relationship Type="http://schemas.openxmlformats.org/officeDocument/2006/relationships/image" Id="rId136" Target="media/rId136.pdf" /><Relationship Type="http://schemas.openxmlformats.org/officeDocument/2006/relationships/image" Id="rId131" Target="media/rId131.pdf" /><Relationship Type="http://schemas.openxmlformats.org/officeDocument/2006/relationships/image" Id="rId127" Target="media/rId127.pdf" /><Relationship Type="http://schemas.openxmlformats.org/officeDocument/2006/relationships/hyperlink" Id="rId317" Target="https://adapt-python.github.io/adapt/" TargetMode="External" /><Relationship Type="http://schemas.openxmlformats.org/officeDocument/2006/relationships/hyperlink" Id="rId225" Target="https://arashk.medium.com/fttransformer-transformer-architecture-for-tabular-datasets-d4bfe591d6fb" TargetMode="External" /><Relationship Type="http://schemas.openxmlformats.org/officeDocument/2006/relationships/hyperlink" Id="rId251" Target="https://arxiv.org/abs/1612.01939" TargetMode="External" /><Relationship Type="http://schemas.openxmlformats.org/officeDocument/2006/relationships/hyperlink" Id="rId206" Target="https://arxiv.org/abs/2108.07258" TargetMode="External" /><Relationship Type="http://schemas.openxmlformats.org/officeDocument/2006/relationships/hyperlink" Id="rId241" Target="https://arxiv.org/abs/2210.10723" TargetMode="External" /><Relationship Type="http://schemas.openxmlformats.org/officeDocument/2006/relationships/hyperlink" Id="rId188" Target="https://arxiv.org/html/2502.17361v1" TargetMode="External" /><Relationship Type="http://schemas.openxmlformats.org/officeDocument/2006/relationships/hyperlink" Id="rId184" Target="https://arxiv.org/html/2505.16226v1" TargetMode="External" /><Relationship Type="http://schemas.openxmlformats.org/officeDocument/2006/relationships/hyperlink" Id="rId227" Target="https://bytez.com/docs/icml/46681/paper" TargetMode="External" /><Relationship Type="http://schemas.openxmlformats.org/officeDocument/2006/relationships/hyperlink" Id="rId307" Target="https://doi.org/10.1002/cam4.6106" TargetMode="External" /><Relationship Type="http://schemas.openxmlformats.org/officeDocument/2006/relationships/hyperlink" Id="rId167" Target="https://doi.org/10.1002/mp.14308" TargetMode="External" /><Relationship Type="http://schemas.openxmlformats.org/officeDocument/2006/relationships/hyperlink" Id="rId299" Target="https://doi.org/10.1007/s00330-015-4138-9" TargetMode="External" /><Relationship Type="http://schemas.openxmlformats.org/officeDocument/2006/relationships/hyperlink" Id="rId303" Target="https://doi.org/10.1007/s11547-023-01730-6" TargetMode="External" /><Relationship Type="http://schemas.openxmlformats.org/officeDocument/2006/relationships/hyperlink" Id="rId269" Target="https://doi.org/10.1016/j.asoc.2022.109205" TargetMode="External" /><Relationship Type="http://schemas.openxmlformats.org/officeDocument/2006/relationships/hyperlink" Id="rId311" Target="https://doi.org/10.1016/j.athoracsur.2020.05.101" TargetMode="External" /><Relationship Type="http://schemas.openxmlformats.org/officeDocument/2006/relationships/hyperlink" Id="rId289" Target="https://doi.org/10.1016/j.crad.2024.106788" TargetMode="External" /><Relationship Type="http://schemas.openxmlformats.org/officeDocument/2006/relationships/hyperlink" Id="rId254" Target="https://doi.org/10.1016/j.jbi.2022.104168" TargetMode="External" /><Relationship Type="http://schemas.openxmlformats.org/officeDocument/2006/relationships/hyperlink" Id="rId163" Target="https://doi.org/10.1016/j.jtocrr.2022.100299" TargetMode="External" /><Relationship Type="http://schemas.openxmlformats.org/officeDocument/2006/relationships/hyperlink" Id="rId261" Target="https://doi.org/10.1016/j.neuroimage.2023.119863" TargetMode="External" /><Relationship Type="http://schemas.openxmlformats.org/officeDocument/2006/relationships/hyperlink" Id="rId279" Target="https://doi.org/10.1016/j.patcog.2024.110424" TargetMode="External" /><Relationship Type="http://schemas.openxmlformats.org/officeDocument/2006/relationships/hyperlink" Id="rId232" Target="https://doi.org/10.1038/s41586-024-08328-6" TargetMode="External" /><Relationship Type="http://schemas.openxmlformats.org/officeDocument/2006/relationships/hyperlink" Id="rId175" Target="https://doi.org/10.1038/s41591-019-0447-x" TargetMode="External" /><Relationship Type="http://schemas.openxmlformats.org/officeDocument/2006/relationships/hyperlink" Id="rId305" Target="https://doi.org/10.1038/s41598-018-27569-w" TargetMode="External" /><Relationship Type="http://schemas.openxmlformats.org/officeDocument/2006/relationships/hyperlink" Id="rId195" Target="https://doi.org/10.1038/s41598-022-06484-1" TargetMode="External" /><Relationship Type="http://schemas.openxmlformats.org/officeDocument/2006/relationships/hyperlink" Id="rId295" Target="https://doi.org/10.1042/BSR20193875" TargetMode="External" /><Relationship Type="http://schemas.openxmlformats.org/officeDocument/2006/relationships/hyperlink" Id="rId301" Target="https://doi.org/10.1088/1361-6560/ab326a" TargetMode="External" /><Relationship Type="http://schemas.openxmlformats.org/officeDocument/2006/relationships/hyperlink" Id="rId256" Target="https://doi.org/10.1101/2024.03.27.24304781" TargetMode="External" /><Relationship Type="http://schemas.openxmlformats.org/officeDocument/2006/relationships/hyperlink" Id="rId245" Target="https://doi.org/10.1101/2025.08.15.670537" TargetMode="External" /><Relationship Type="http://schemas.openxmlformats.org/officeDocument/2006/relationships/hyperlink" Id="rId247" Target="https://doi.org/10.1109/ICACCTech61146.2023.00044" TargetMode="External" /><Relationship Type="http://schemas.openxmlformats.org/officeDocument/2006/relationships/hyperlink" Id="rId263" Target="https://doi.org/10.1109/TBME.2021.3117407" TargetMode="External" /><Relationship Type="http://schemas.openxmlformats.org/officeDocument/2006/relationships/hyperlink" Id="rId214" Target="https://doi.org/10.1109/TNNLS.2022.3229161" TargetMode="External" /><Relationship Type="http://schemas.openxmlformats.org/officeDocument/2006/relationships/hyperlink" Id="rId165" Target="https://doi.org/10.1111/crj.13769" TargetMode="External" /><Relationship Type="http://schemas.openxmlformats.org/officeDocument/2006/relationships/hyperlink" Id="rId197" Target="https://doi.org/10.1126/sciadv.adp6040" TargetMode="External" /><Relationship Type="http://schemas.openxmlformats.org/officeDocument/2006/relationships/hyperlink" Id="rId212" Target="https://doi.org/10.1186/s12859-024-05940-1" TargetMode="External" /><Relationship Type="http://schemas.openxmlformats.org/officeDocument/2006/relationships/hyperlink" Id="rId277" Target="https://doi.org/10.1259/bjr.20220890" TargetMode="External" /><Relationship Type="http://schemas.openxmlformats.org/officeDocument/2006/relationships/hyperlink" Id="rId177" Target="https://doi.org/10.1371/journal.pmed.1002683" TargetMode="External" /><Relationship Type="http://schemas.openxmlformats.org/officeDocument/2006/relationships/hyperlink" Id="rId291" Target="https://doi.org/10.1371/journal.pone.0201242" TargetMode="External" /><Relationship Type="http://schemas.openxmlformats.org/officeDocument/2006/relationships/hyperlink" Id="rId297" Target="https://doi.org/10.1378/chest.128.4.2490" TargetMode="External" /><Relationship Type="http://schemas.openxmlformats.org/officeDocument/2006/relationships/hyperlink" Id="rId259" Target="https://doi.org/10.1609/aaai.v39i19.34191" TargetMode="External" /><Relationship Type="http://schemas.openxmlformats.org/officeDocument/2006/relationships/hyperlink" Id="rId238" Target="https://doi.org/10.21037/qims-2025-1132" TargetMode="External" /><Relationship Type="http://schemas.openxmlformats.org/officeDocument/2006/relationships/hyperlink" Id="rId293" Target="https://doi.org/10.21037/tlcr.2019.09.17" TargetMode="External" /><Relationship Type="http://schemas.openxmlformats.org/officeDocument/2006/relationships/hyperlink" Id="rId236" Target="https://doi.org/10.26434/chemrxiv-2025-szk5s" TargetMode="External" /><Relationship Type="http://schemas.openxmlformats.org/officeDocument/2006/relationships/hyperlink" Id="rId199" Target="https://doi.org/10.3390/ani13203276" TargetMode="External" /><Relationship Type="http://schemas.openxmlformats.org/officeDocument/2006/relationships/hyperlink" Id="rId309" Target="https://doi.org/10.3390/jof9020236" TargetMode="External" /><Relationship Type="http://schemas.openxmlformats.org/officeDocument/2006/relationships/hyperlink" Id="rId313" Target="https://doi.org/10.3892/etm.2017.4737" TargetMode="External" /><Relationship Type="http://schemas.openxmlformats.org/officeDocument/2006/relationships/hyperlink" Id="rId218" Target="https://doi.org/10.48550/arXiv.2012.06678" TargetMode="External" /><Relationship Type="http://schemas.openxmlformats.org/officeDocument/2006/relationships/hyperlink" Id="rId220" Target="https://doi.org/10.48550/arXiv.2106.11959" TargetMode="External" /><Relationship Type="http://schemas.openxmlformats.org/officeDocument/2006/relationships/hyperlink" Id="rId208" Target="https://doi.org/10.48550/arXiv.2207.08815" TargetMode="External" /><Relationship Type="http://schemas.openxmlformats.org/officeDocument/2006/relationships/hyperlink" Id="rId265" Target="https://doi.org/10.48550/arXiv.2211.02093" TargetMode="External" /><Relationship Type="http://schemas.openxmlformats.org/officeDocument/2006/relationships/hyperlink" Id="rId249" Target="https://doi.org/10.48550/arXiv.2312.01792" TargetMode="External" /><Relationship Type="http://schemas.openxmlformats.org/officeDocument/2006/relationships/hyperlink" Id="rId201" Target="https://doi.org/10.48550/arXiv.2312.07577" TargetMode="External" /><Relationship Type="http://schemas.openxmlformats.org/officeDocument/2006/relationships/hyperlink" Id="rId210" Target="https://doi.org/10.48550/arXiv.2408.14817" TargetMode="External" /><Relationship Type="http://schemas.openxmlformats.org/officeDocument/2006/relationships/hyperlink" Id="rId234" Target="https://doi.org/10.48550/arXiv.2411.10634" TargetMode="External" /><Relationship Type="http://schemas.openxmlformats.org/officeDocument/2006/relationships/hyperlink" Id="rId230" Target="https://doi.org/10.48550/arXiv.2501.03540" TargetMode="External" /><Relationship Type="http://schemas.openxmlformats.org/officeDocument/2006/relationships/hyperlink" Id="rId216" Target="https://doi.org/10.48550/arXiv.2502.02527" TargetMode="External" /><Relationship Type="http://schemas.openxmlformats.org/officeDocument/2006/relationships/hyperlink" Id="rId243" Target="https://doi.org/10.48550/arXiv.2502.02672" TargetMode="External" /><Relationship Type="http://schemas.openxmlformats.org/officeDocument/2006/relationships/hyperlink" Id="rId267" Target="https://doi.org/10.48550/arXiv.2504.00322" TargetMode="External" /><Relationship Type="http://schemas.openxmlformats.org/officeDocument/2006/relationships/hyperlink" Id="rId223" Target="https://doi.org/10.48550/arXiv.2506.06926" TargetMode="External" /><Relationship Type="http://schemas.openxmlformats.org/officeDocument/2006/relationships/hyperlink" Id="rId190" Target="https://doi.org/10.48550/arXiv.2508.20906" TargetMode="External" /><Relationship Type="http://schemas.openxmlformats.org/officeDocument/2006/relationships/hyperlink" Id="rId281" Target="https://doi.org/10.48550/arXiv.2509.19220" TargetMode="External" /><Relationship Type="http://schemas.openxmlformats.org/officeDocument/2006/relationships/hyperlink" Id="rId186" Target="https://github.com/automl/Drift-Resilient_TabPFN" TargetMode="External" /><Relationship Type="http://schemas.openxmlformats.org/officeDocument/2006/relationships/hyperlink" Id="rId271" Target="https://github.com/mlfoundations/tableshift" TargetMode="External" /><Relationship Type="http://schemas.openxmlformats.org/officeDocument/2006/relationships/hyperlink" Id="rId273" Target="https://jpgard.github.io/tableshift-web/index.html" TargetMode="External" /><Relationship Type="http://schemas.openxmlformats.org/officeDocument/2006/relationships/hyperlink" Id="rId182" Target="https://priorlabs.ai/technical-reports/tabpfn-2-5-model-report" TargetMode="External" /><Relationship Type="http://schemas.openxmlformats.org/officeDocument/2006/relationships/hyperlink" Id="rId275" Target="https://www.nature.com/articles/s41746-024-01166-w?error=cookies_not_supported&amp;code=bb39d30a-f375-4d92-962c-471bbe06868b" TargetMode="External" /></Relationships>
</file>

<file path=word/_rels/footnotes.xml.rels><?xml version="1.0" encoding="UTF-8"?><Relationships xmlns="http://schemas.openxmlformats.org/package/2006/relationships"><Relationship Type="http://schemas.openxmlformats.org/officeDocument/2006/relationships/hyperlink" Id="rId317" Target="https://adapt-python.github.io/adapt/" TargetMode="External" /><Relationship Type="http://schemas.openxmlformats.org/officeDocument/2006/relationships/hyperlink" Id="rId225" Target="https://arashk.medium.com/fttransformer-transformer-architecture-for-tabular-datasets-d4bfe591d6fb" TargetMode="External" /><Relationship Type="http://schemas.openxmlformats.org/officeDocument/2006/relationships/hyperlink" Id="rId251" Target="https://arxiv.org/abs/1612.01939" TargetMode="External" /><Relationship Type="http://schemas.openxmlformats.org/officeDocument/2006/relationships/hyperlink" Id="rId206" Target="https://arxiv.org/abs/2108.07258" TargetMode="External" /><Relationship Type="http://schemas.openxmlformats.org/officeDocument/2006/relationships/hyperlink" Id="rId241" Target="https://arxiv.org/abs/2210.10723" TargetMode="External" /><Relationship Type="http://schemas.openxmlformats.org/officeDocument/2006/relationships/hyperlink" Id="rId188" Target="https://arxiv.org/html/2502.17361v1" TargetMode="External" /><Relationship Type="http://schemas.openxmlformats.org/officeDocument/2006/relationships/hyperlink" Id="rId184" Target="https://arxiv.org/html/2505.16226v1" TargetMode="External" /><Relationship Type="http://schemas.openxmlformats.org/officeDocument/2006/relationships/hyperlink" Id="rId227" Target="https://bytez.com/docs/icml/46681/paper" TargetMode="External" /><Relationship Type="http://schemas.openxmlformats.org/officeDocument/2006/relationships/hyperlink" Id="rId307" Target="https://doi.org/10.1002/cam4.6106" TargetMode="External" /><Relationship Type="http://schemas.openxmlformats.org/officeDocument/2006/relationships/hyperlink" Id="rId167" Target="https://doi.org/10.1002/mp.14308" TargetMode="External" /><Relationship Type="http://schemas.openxmlformats.org/officeDocument/2006/relationships/hyperlink" Id="rId299" Target="https://doi.org/10.1007/s00330-015-4138-9" TargetMode="External" /><Relationship Type="http://schemas.openxmlformats.org/officeDocument/2006/relationships/hyperlink" Id="rId303" Target="https://doi.org/10.1007/s11547-023-01730-6" TargetMode="External" /><Relationship Type="http://schemas.openxmlformats.org/officeDocument/2006/relationships/hyperlink" Id="rId269" Target="https://doi.org/10.1016/j.asoc.2022.109205" TargetMode="External" /><Relationship Type="http://schemas.openxmlformats.org/officeDocument/2006/relationships/hyperlink" Id="rId311" Target="https://doi.org/10.1016/j.athoracsur.2020.05.101" TargetMode="External" /><Relationship Type="http://schemas.openxmlformats.org/officeDocument/2006/relationships/hyperlink" Id="rId289" Target="https://doi.org/10.1016/j.crad.2024.106788" TargetMode="External" /><Relationship Type="http://schemas.openxmlformats.org/officeDocument/2006/relationships/hyperlink" Id="rId254" Target="https://doi.org/10.1016/j.jbi.2022.104168" TargetMode="External" /><Relationship Type="http://schemas.openxmlformats.org/officeDocument/2006/relationships/hyperlink" Id="rId163" Target="https://doi.org/10.1016/j.jtocrr.2022.100299" TargetMode="External" /><Relationship Type="http://schemas.openxmlformats.org/officeDocument/2006/relationships/hyperlink" Id="rId261" Target="https://doi.org/10.1016/j.neuroimage.2023.119863" TargetMode="External" /><Relationship Type="http://schemas.openxmlformats.org/officeDocument/2006/relationships/hyperlink" Id="rId279" Target="https://doi.org/10.1016/j.patcog.2024.110424" TargetMode="External" /><Relationship Type="http://schemas.openxmlformats.org/officeDocument/2006/relationships/hyperlink" Id="rId232" Target="https://doi.org/10.1038/s41586-024-08328-6" TargetMode="External" /><Relationship Type="http://schemas.openxmlformats.org/officeDocument/2006/relationships/hyperlink" Id="rId175" Target="https://doi.org/10.1038/s41591-019-0447-x" TargetMode="External" /><Relationship Type="http://schemas.openxmlformats.org/officeDocument/2006/relationships/hyperlink" Id="rId305" Target="https://doi.org/10.1038/s41598-018-27569-w" TargetMode="External" /><Relationship Type="http://schemas.openxmlformats.org/officeDocument/2006/relationships/hyperlink" Id="rId195" Target="https://doi.org/10.1038/s41598-022-06484-1" TargetMode="External" /><Relationship Type="http://schemas.openxmlformats.org/officeDocument/2006/relationships/hyperlink" Id="rId295" Target="https://doi.org/10.1042/BSR20193875" TargetMode="External" /><Relationship Type="http://schemas.openxmlformats.org/officeDocument/2006/relationships/hyperlink" Id="rId301" Target="https://doi.org/10.1088/1361-6560/ab326a" TargetMode="External" /><Relationship Type="http://schemas.openxmlformats.org/officeDocument/2006/relationships/hyperlink" Id="rId256" Target="https://doi.org/10.1101/2024.03.27.24304781" TargetMode="External" /><Relationship Type="http://schemas.openxmlformats.org/officeDocument/2006/relationships/hyperlink" Id="rId245" Target="https://doi.org/10.1101/2025.08.15.670537" TargetMode="External" /><Relationship Type="http://schemas.openxmlformats.org/officeDocument/2006/relationships/hyperlink" Id="rId247" Target="https://doi.org/10.1109/ICACCTech61146.2023.00044" TargetMode="External" /><Relationship Type="http://schemas.openxmlformats.org/officeDocument/2006/relationships/hyperlink" Id="rId263" Target="https://doi.org/10.1109/TBME.2021.3117407" TargetMode="External" /><Relationship Type="http://schemas.openxmlformats.org/officeDocument/2006/relationships/hyperlink" Id="rId214" Target="https://doi.org/10.1109/TNNLS.2022.3229161" TargetMode="External" /><Relationship Type="http://schemas.openxmlformats.org/officeDocument/2006/relationships/hyperlink" Id="rId165" Target="https://doi.org/10.1111/crj.13769" TargetMode="External" /><Relationship Type="http://schemas.openxmlformats.org/officeDocument/2006/relationships/hyperlink" Id="rId197" Target="https://doi.org/10.1126/sciadv.adp6040" TargetMode="External" /><Relationship Type="http://schemas.openxmlformats.org/officeDocument/2006/relationships/hyperlink" Id="rId212" Target="https://doi.org/10.1186/s12859-024-05940-1" TargetMode="External" /><Relationship Type="http://schemas.openxmlformats.org/officeDocument/2006/relationships/hyperlink" Id="rId277" Target="https://doi.org/10.1259/bjr.20220890" TargetMode="External" /><Relationship Type="http://schemas.openxmlformats.org/officeDocument/2006/relationships/hyperlink" Id="rId177" Target="https://doi.org/10.1371/journal.pmed.1002683" TargetMode="External" /><Relationship Type="http://schemas.openxmlformats.org/officeDocument/2006/relationships/hyperlink" Id="rId291" Target="https://doi.org/10.1371/journal.pone.0201242" TargetMode="External" /><Relationship Type="http://schemas.openxmlformats.org/officeDocument/2006/relationships/hyperlink" Id="rId297" Target="https://doi.org/10.1378/chest.128.4.2490" TargetMode="External" /><Relationship Type="http://schemas.openxmlformats.org/officeDocument/2006/relationships/hyperlink" Id="rId259" Target="https://doi.org/10.1609/aaai.v39i19.34191" TargetMode="External" /><Relationship Type="http://schemas.openxmlformats.org/officeDocument/2006/relationships/hyperlink" Id="rId238" Target="https://doi.org/10.21037/qims-2025-1132" TargetMode="External" /><Relationship Type="http://schemas.openxmlformats.org/officeDocument/2006/relationships/hyperlink" Id="rId293" Target="https://doi.org/10.21037/tlcr.2019.09.17" TargetMode="External" /><Relationship Type="http://schemas.openxmlformats.org/officeDocument/2006/relationships/hyperlink" Id="rId236" Target="https://doi.org/10.26434/chemrxiv-2025-szk5s" TargetMode="External" /><Relationship Type="http://schemas.openxmlformats.org/officeDocument/2006/relationships/hyperlink" Id="rId199" Target="https://doi.org/10.3390/ani13203276" TargetMode="External" /><Relationship Type="http://schemas.openxmlformats.org/officeDocument/2006/relationships/hyperlink" Id="rId309" Target="https://doi.org/10.3390/jof9020236" TargetMode="External" /><Relationship Type="http://schemas.openxmlformats.org/officeDocument/2006/relationships/hyperlink" Id="rId313" Target="https://doi.org/10.3892/etm.2017.4737" TargetMode="External" /><Relationship Type="http://schemas.openxmlformats.org/officeDocument/2006/relationships/hyperlink" Id="rId218" Target="https://doi.org/10.48550/arXiv.2012.06678" TargetMode="External" /><Relationship Type="http://schemas.openxmlformats.org/officeDocument/2006/relationships/hyperlink" Id="rId220" Target="https://doi.org/10.48550/arXiv.2106.11959" TargetMode="External" /><Relationship Type="http://schemas.openxmlformats.org/officeDocument/2006/relationships/hyperlink" Id="rId208" Target="https://doi.org/10.48550/arXiv.2207.08815" TargetMode="External" /><Relationship Type="http://schemas.openxmlformats.org/officeDocument/2006/relationships/hyperlink" Id="rId265" Target="https://doi.org/10.48550/arXiv.2211.02093" TargetMode="External" /><Relationship Type="http://schemas.openxmlformats.org/officeDocument/2006/relationships/hyperlink" Id="rId249" Target="https://doi.org/10.48550/arXiv.2312.01792" TargetMode="External" /><Relationship Type="http://schemas.openxmlformats.org/officeDocument/2006/relationships/hyperlink" Id="rId201" Target="https://doi.org/10.48550/arXiv.2312.07577" TargetMode="External" /><Relationship Type="http://schemas.openxmlformats.org/officeDocument/2006/relationships/hyperlink" Id="rId210" Target="https://doi.org/10.48550/arXiv.2408.14817" TargetMode="External" /><Relationship Type="http://schemas.openxmlformats.org/officeDocument/2006/relationships/hyperlink" Id="rId234" Target="https://doi.org/10.48550/arXiv.2411.10634" TargetMode="External" /><Relationship Type="http://schemas.openxmlformats.org/officeDocument/2006/relationships/hyperlink" Id="rId230" Target="https://doi.org/10.48550/arXiv.2501.03540" TargetMode="External" /><Relationship Type="http://schemas.openxmlformats.org/officeDocument/2006/relationships/hyperlink" Id="rId216" Target="https://doi.org/10.48550/arXiv.2502.02527" TargetMode="External" /><Relationship Type="http://schemas.openxmlformats.org/officeDocument/2006/relationships/hyperlink" Id="rId243" Target="https://doi.org/10.48550/arXiv.2502.02672" TargetMode="External" /><Relationship Type="http://schemas.openxmlformats.org/officeDocument/2006/relationships/hyperlink" Id="rId267" Target="https://doi.org/10.48550/arXiv.2504.00322" TargetMode="External" /><Relationship Type="http://schemas.openxmlformats.org/officeDocument/2006/relationships/hyperlink" Id="rId223" Target="https://doi.org/10.48550/arXiv.2506.06926" TargetMode="External" /><Relationship Type="http://schemas.openxmlformats.org/officeDocument/2006/relationships/hyperlink" Id="rId190" Target="https://doi.org/10.48550/arXiv.2508.20906" TargetMode="External" /><Relationship Type="http://schemas.openxmlformats.org/officeDocument/2006/relationships/hyperlink" Id="rId281" Target="https://doi.org/10.48550/arXiv.2509.19220" TargetMode="External" /><Relationship Type="http://schemas.openxmlformats.org/officeDocument/2006/relationships/hyperlink" Id="rId186" Target="https://github.com/automl/Drift-Resilient_TabPFN" TargetMode="External" /><Relationship Type="http://schemas.openxmlformats.org/officeDocument/2006/relationships/hyperlink" Id="rId271" Target="https://github.com/mlfoundations/tableshift" TargetMode="External" /><Relationship Type="http://schemas.openxmlformats.org/officeDocument/2006/relationships/hyperlink" Id="rId273" Target="https://jpgard.github.io/tableshift-web/index.html" TargetMode="External" /><Relationship Type="http://schemas.openxmlformats.org/officeDocument/2006/relationships/hyperlink" Id="rId182" Target="https://priorlabs.ai/technical-reports/tabpfn-2-5-model-report" TargetMode="External" /><Relationship Type="http://schemas.openxmlformats.org/officeDocument/2006/relationships/hyperlink" Id="rId275" Target="https://www.nature.com/articles/s41746-024-01166-w?error=cookies_not_supported&amp;code=bb39d30a-f375-4d92-962c-471bbe06868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52</Words>
  <Characters>303</Characters>
  <Application>Microsoft Office Word</Application>
  <DocSecurity>0</DocSecurity>
  <Lines>2</Lines>
  <Paragraphs>1</Paragraphs>
  <ScaleCrop>false</ScaleCrop>
  <Company/>
  <LinksUpToDate>false</LinksUpToDate>
  <CharactersWithSpaces>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Transforming Diagnosis through Advanced Machine Learning and Data Analytics</dc:title>
  <dc:creator>Qingyuan Liu1</dc:creator>
  <cp:keywords/>
  <dcterms:created xsi:type="dcterms:W3CDTF">2025-12-03T06:06:39Z</dcterms:created>
  <dcterms:modified xsi:type="dcterms:W3CDTF">2025-12-03T06:06:39Z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Accurate diagnostic risk prediction increasingly depends on machine learning models that can operate reliably across hospitals, populations, and data-collection protocols. In practice, however, clinical prediction models are often trained on small, imbalanced tabular cohorts with heterogeneous feature schemas and substantial distribution shift, so performance deteriorates once they leave the development site. To address this gap, we propose PANDA (Pretrained Adaptation Network with Domain Alignment), a framework that combines a pre-trained tabular foundation model with domain-aware feature selection and unsupervised alignment to stabilize diagnostic decision support. PANDA uses a TabPFN-style transformer backbone meta-trained on synthetic tabular tasks to provide data-efficient priors; a cross-cohort recursive feature elimination step identifies a compact set of shared biomarkers that remain predictive across sites; and Transfer Component Analysis (TCA) projects source and target cohorts into a shared latent space using unlabeled target data, mitigating covariate shift under strict privacy constraints.We evaluate PANDA in two representative diagnostic settings. For cross-hospital pulmonary nodule malignancy prediction using structured clinical data from two Chinese cancer centers, PANDA achieves an internal AUC of 0.811 and, with TCA, attains an external AUC of 0.705 and recall of 0.944 on the target hospital, outperforming tree ensembles and classical clinical scores such as Mayo and PKUPH (AUC &lt; 0.64). In the TableShift BRFSS Diabetes benchmark with a race-driven shift from White to non-White respondents, PANDA with TCA reaches an out-of-distribution AUC of 0.804, comparable to its in-distribution AUC of 0.802, while standard gradient boosting and random forests exhibit larger degradation. Together, these results indicate that pairing tabular foundation-model priors with cross-domain feature pruning and lightweight statistical alignment can make diagnostic machine learning systems more robust and data-efficient in realistic cross-hospital and cross-population deployments.</vt:lpwstr>
  </property>
  <property fmtid="{D5CDD505-2E9C-101B-9397-08002B2CF9AE}" pid="3" name="autoEqnLabels">
    <vt:lpwstr>False</vt:lpwstr>
  </property>
  <property fmtid="{D5CDD505-2E9C-101B-9397-08002B2CF9AE}" pid="4" name="autoSectionLabels">
    <vt:lpwstr>False</vt:lpwstr>
  </property>
  <property fmtid="{D5CDD505-2E9C-101B-9397-08002B2CF9AE}" pid="5" name="bibliography">
    <vt:lpwstr>refs.bib</vt:lpwstr>
  </property>
  <property fmtid="{D5CDD505-2E9C-101B-9397-08002B2CF9AE}" pid="6" name="ccsDelim">
    <vt:lpwstr>, </vt:lpwstr>
  </property>
  <property fmtid="{D5CDD505-2E9C-101B-9397-08002B2CF9AE}" pid="7" name="ccsLabelSep">
    <vt:lpwstr> — </vt:lpwstr>
  </property>
  <property fmtid="{D5CDD505-2E9C-101B-9397-08002B2CF9AE}" pid="8" name="ccsTemplate">
    <vt:lpwstr>iccsLabelSept</vt:lpwstr>
  </property>
  <property fmtid="{D5CDD505-2E9C-101B-9397-08002B2CF9AE}" pid="9" name="chapDelim">
    <vt:lpwstr>.</vt:lpwstr>
  </property>
  <property fmtid="{D5CDD505-2E9C-101B-9397-08002B2CF9AE}" pid="10" name="chapters">
    <vt:lpwstr>False</vt:lpwstr>
  </property>
  <property fmtid="{D5CDD505-2E9C-101B-9397-08002B2CF9AE}" pid="11" name="chaptersDepth">
    <vt:lpwstr>1</vt:lpwstr>
  </property>
  <property fmtid="{D5CDD505-2E9C-101B-9397-08002B2CF9AE}" pid="12" name="codeBlockCaptions">
    <vt:lpwstr>False</vt:lpwstr>
  </property>
  <property fmtid="{D5CDD505-2E9C-101B-9397-08002B2CF9AE}" pid="13" name="cref">
    <vt:lpwstr>False</vt:lpwstr>
  </property>
  <property fmtid="{D5CDD505-2E9C-101B-9397-08002B2CF9AE}" pid="14" name="crossrefYaml">
    <vt:lpwstr>pandoc-crossref.yaml</vt:lpwstr>
  </property>
  <property fmtid="{D5CDD505-2E9C-101B-9397-08002B2CF9AE}" pid="15" name="csl">
    <vt:lpwstr>numeric.csl</vt:lpwstr>
  </property>
  <property fmtid="{D5CDD505-2E9C-101B-9397-08002B2CF9AE}" pid="16" name="date">
    <vt:lpwstr> 1Department of Computing, The Hong Kong Polytechnic University, Hong Kong SAR, China </vt:lpwstr>
  </property>
  <property fmtid="{D5CDD505-2E9C-101B-9397-08002B2CF9AE}" pid="17" name="eqLabels">
    <vt:lpwstr>arabic</vt:lpwstr>
  </property>
  <property fmtid="{D5CDD505-2E9C-101B-9397-08002B2CF9AE}" pid="18" name="eqnBlockInlineMath">
    <vt:lpwstr>False</vt:lpwstr>
  </property>
  <property fmtid="{D5CDD505-2E9C-101B-9397-08002B2CF9AE}" pid="19" name="eqnBlockTemplate">
    <vt:lpwstr>ti</vt:lpwstr>
  </property>
  <property fmtid="{D5CDD505-2E9C-101B-9397-08002B2CF9AE}" pid="20" name="eqnDisplayTemplate">
    <vt:lpwstr>e</vt:lpwstr>
  </property>
  <property fmtid="{D5CDD505-2E9C-101B-9397-08002B2CF9AE}" pid="21" name="eqnIndexTemplate">
    <vt:lpwstr>(i)</vt:lpwstr>
  </property>
  <property fmtid="{D5CDD505-2E9C-101B-9397-08002B2CF9AE}" pid="22" name="eqnInlineTableTemplate">
    <vt:lpwstr>e</vt:lpwstr>
  </property>
  <property fmtid="{D5CDD505-2E9C-101B-9397-08002B2CF9AE}" pid="23" name="eqnInlineTemplate">
    <vt:lpwstr>eequationNumberTeX{i}</vt:lpwstr>
  </property>
  <property fmtid="{D5CDD505-2E9C-101B-9397-08002B2CF9AE}" pid="24" name="eqnPrefix">
    <vt:lpwstr/>
  </property>
  <property fmtid="{D5CDD505-2E9C-101B-9397-08002B2CF9AE}" pid="25" name="eqnPrefixTemplate">
    <vt:lpwstr>p i</vt:lpwstr>
  </property>
  <property fmtid="{D5CDD505-2E9C-101B-9397-08002B2CF9AE}" pid="26" name="equationNumberTeX">
    <vt:lpwstr>\qquad</vt:lpwstr>
  </property>
  <property fmtid="{D5CDD505-2E9C-101B-9397-08002B2CF9AE}" pid="27" name="figLabels">
    <vt:lpwstr>arabic</vt:lpwstr>
  </property>
  <property fmtid="{D5CDD505-2E9C-101B-9397-08002B2CF9AE}" pid="28" name="figPrefix">
    <vt:lpwstr/>
  </property>
  <property fmtid="{D5CDD505-2E9C-101B-9397-08002B2CF9AE}" pid="29" name="figPrefixTemplate">
    <vt:lpwstr>p i</vt:lpwstr>
  </property>
  <property fmtid="{D5CDD505-2E9C-101B-9397-08002B2CF9AE}" pid="30" name="figTitle">
    <vt:lpwstr>Figure</vt:lpwstr>
  </property>
  <property fmtid="{D5CDD505-2E9C-101B-9397-08002B2CF9AE}" pid="31" name="figureTemplate">
    <vt:lpwstr>figureTitle ititleDelim t</vt:lpwstr>
  </property>
  <property fmtid="{D5CDD505-2E9C-101B-9397-08002B2CF9AE}" pid="32" name="figureTitle">
    <vt:lpwstr>Figure</vt:lpwstr>
  </property>
  <property fmtid="{D5CDD505-2E9C-101B-9397-08002B2CF9AE}" pid="33" name="lastDelim">
    <vt:lpwstr>, </vt:lpwstr>
  </property>
  <property fmtid="{D5CDD505-2E9C-101B-9397-08002B2CF9AE}" pid="34" name="link-bibliography">
    <vt:lpwstr>True</vt:lpwstr>
  </property>
  <property fmtid="{D5CDD505-2E9C-101B-9397-08002B2CF9AE}" pid="35" name="link-citations">
    <vt:lpwstr>True</vt:lpwstr>
  </property>
  <property fmtid="{D5CDD505-2E9C-101B-9397-08002B2CF9AE}" pid="36" name="linkReferences">
    <vt:lpwstr>False</vt:lpwstr>
  </property>
  <property fmtid="{D5CDD505-2E9C-101B-9397-08002B2CF9AE}" pid="37" name="listItemTitleDelim">
    <vt:lpwstr>.</vt:lpwstr>
  </property>
  <property fmtid="{D5CDD505-2E9C-101B-9397-08002B2CF9AE}" pid="38" name="listOfMetadata">
    <vt:lpwstr>False</vt:lpwstr>
  </property>
  <property fmtid="{D5CDD505-2E9C-101B-9397-08002B2CF9AE}" pid="39" name="listingTemplate">
    <vt:lpwstr>listingTitle ititleDelim t</vt:lpwstr>
  </property>
  <property fmtid="{D5CDD505-2E9C-101B-9397-08002B2CF9AE}" pid="40" name="listingTitle">
    <vt:lpwstr>Algorithm</vt:lpwstr>
  </property>
  <property fmtid="{D5CDD505-2E9C-101B-9397-08002B2CF9AE}" pid="41" name="listings">
    <vt:lpwstr>False</vt:lpwstr>
  </property>
  <property fmtid="{D5CDD505-2E9C-101B-9397-08002B2CF9AE}" pid="42" name="lofItemTemplate">
    <vt:lpwstr>lofItemTitleilistItemTitleDelimt </vt:lpwstr>
  </property>
  <property fmtid="{D5CDD505-2E9C-101B-9397-08002B2CF9AE}" pid="43" name="lofItemTitle">
    <vt:lpwstr/>
  </property>
  <property fmtid="{D5CDD505-2E9C-101B-9397-08002B2CF9AE}" pid="44" name="lofTitle">
    <vt:lpwstr>List of Figures</vt:lpwstr>
  </property>
  <property fmtid="{D5CDD505-2E9C-101B-9397-08002B2CF9AE}" pid="45" name="lolItemTemplate">
    <vt:lpwstr>lolItemTitleilistItemTitleDelimt </vt:lpwstr>
  </property>
  <property fmtid="{D5CDD505-2E9C-101B-9397-08002B2CF9AE}" pid="46" name="lolItemTitle">
    <vt:lpwstr/>
  </property>
  <property fmtid="{D5CDD505-2E9C-101B-9397-08002B2CF9AE}" pid="47" name="lolTitle">
    <vt:lpwstr>List of Listings</vt:lpwstr>
  </property>
  <property fmtid="{D5CDD505-2E9C-101B-9397-08002B2CF9AE}" pid="48" name="lotItemTemplate">
    <vt:lpwstr>lotItemTitleilistItemTitleDelimt </vt:lpwstr>
  </property>
  <property fmtid="{D5CDD505-2E9C-101B-9397-08002B2CF9AE}" pid="49" name="lotItemTitle">
    <vt:lpwstr/>
  </property>
  <property fmtid="{D5CDD505-2E9C-101B-9397-08002B2CF9AE}" pid="50" name="lotTitle">
    <vt:lpwstr>List of Tables</vt:lpwstr>
  </property>
  <property fmtid="{D5CDD505-2E9C-101B-9397-08002B2CF9AE}" pid="51" name="lstLabels">
    <vt:lpwstr>arabic</vt:lpwstr>
  </property>
  <property fmtid="{D5CDD505-2E9C-101B-9397-08002B2CF9AE}" pid="52" name="lstPrefix">
    <vt:lpwstr/>
  </property>
  <property fmtid="{D5CDD505-2E9C-101B-9397-08002B2CF9AE}" pid="53" name="lstPrefixTemplate">
    <vt:lpwstr>p i</vt:lpwstr>
  </property>
  <property fmtid="{D5CDD505-2E9C-101B-9397-08002B2CF9AE}" pid="54" name="nameInLink">
    <vt:lpwstr>True</vt:lpwstr>
  </property>
  <property fmtid="{D5CDD505-2E9C-101B-9397-08002B2CF9AE}" pid="55" name="numberSections">
    <vt:lpwstr>False</vt:lpwstr>
  </property>
  <property fmtid="{D5CDD505-2E9C-101B-9397-08002B2CF9AE}" pid="56" name="pairDelim">
    <vt:lpwstr>, </vt:lpwstr>
  </property>
  <property fmtid="{D5CDD505-2E9C-101B-9397-08002B2CF9AE}" pid="57" name="rangeDelim">
    <vt:lpwstr>-</vt:lpwstr>
  </property>
  <property fmtid="{D5CDD505-2E9C-101B-9397-08002B2CF9AE}" pid="58" name="refDelim">
    <vt:lpwstr>, </vt:lpwstr>
  </property>
  <property fmtid="{D5CDD505-2E9C-101B-9397-08002B2CF9AE}" pid="59" name="refIndexTemplate">
    <vt:lpwstr>isuf</vt:lpwstr>
  </property>
  <property fmtid="{D5CDD505-2E9C-101B-9397-08002B2CF9AE}" pid="60" name="secHeaderDelim">
    <vt:lpwstr> </vt:lpwstr>
  </property>
  <property fmtid="{D5CDD505-2E9C-101B-9397-08002B2CF9AE}" pid="61" name="secHeaderTemplate">
    <vt:lpwstr>isecHeaderDelim[n]t</vt:lpwstr>
  </property>
  <property fmtid="{D5CDD505-2E9C-101B-9397-08002B2CF9AE}" pid="62" name="secLabels">
    <vt:lpwstr>arabic</vt:lpwstr>
  </property>
  <property fmtid="{D5CDD505-2E9C-101B-9397-08002B2CF9AE}" pid="63" name="secPrefix">
    <vt:lpwstr/>
  </property>
  <property fmtid="{D5CDD505-2E9C-101B-9397-08002B2CF9AE}" pid="64" name="secPrefixTemplate">
    <vt:lpwstr>p i</vt:lpwstr>
  </property>
  <property fmtid="{D5CDD505-2E9C-101B-9397-08002B2CF9AE}" pid="65" name="sectionsDepth">
    <vt:lpwstr>0</vt:lpwstr>
  </property>
  <property fmtid="{D5CDD505-2E9C-101B-9397-08002B2CF9AE}" pid="66" name="subfigGrid">
    <vt:lpwstr>False</vt:lpwstr>
  </property>
  <property fmtid="{D5CDD505-2E9C-101B-9397-08002B2CF9AE}" pid="67" name="subfigLabels">
    <vt:lpwstr>alpha a</vt:lpwstr>
  </property>
  <property fmtid="{D5CDD505-2E9C-101B-9397-08002B2CF9AE}" pid="68" name="subfigureChildTemplate">
    <vt:lpwstr>i</vt:lpwstr>
  </property>
  <property fmtid="{D5CDD505-2E9C-101B-9397-08002B2CF9AE}" pid="69" name="subfigureRefIndexTemplate">
    <vt:lpwstr>isuf (s)</vt:lpwstr>
  </property>
  <property fmtid="{D5CDD505-2E9C-101B-9397-08002B2CF9AE}" pid="70" name="subfigureTemplate">
    <vt:lpwstr>figureTitle ititleDelim t. ccs</vt:lpwstr>
  </property>
  <property fmtid="{D5CDD505-2E9C-101B-9397-08002B2CF9AE}" pid="71" name="tableEqns">
    <vt:lpwstr>False</vt:lpwstr>
  </property>
  <property fmtid="{D5CDD505-2E9C-101B-9397-08002B2CF9AE}" pid="72" name="tableTemplate">
    <vt:lpwstr>tableTitle ititleDelim t</vt:lpwstr>
  </property>
  <property fmtid="{D5CDD505-2E9C-101B-9397-08002B2CF9AE}" pid="73" name="tableTitle">
    <vt:lpwstr>Table</vt:lpwstr>
  </property>
  <property fmtid="{D5CDD505-2E9C-101B-9397-08002B2CF9AE}" pid="74" name="tblLabels">
    <vt:lpwstr>arabic</vt:lpwstr>
  </property>
  <property fmtid="{D5CDD505-2E9C-101B-9397-08002B2CF9AE}" pid="75" name="tblPrefix">
    <vt:lpwstr/>
  </property>
  <property fmtid="{D5CDD505-2E9C-101B-9397-08002B2CF9AE}" pid="76" name="tblPrefixTemplate">
    <vt:lpwstr>p i</vt:lpwstr>
  </property>
  <property fmtid="{D5CDD505-2E9C-101B-9397-08002B2CF9AE}" pid="77" name="titleDelim">
    <vt:lpwstr>:</vt:lpwstr>
  </property>
</Properties>
</file>