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21C8C" w14:textId="77777777" w:rsidR="0065117B" w:rsidRDefault="00000000">
      <w:pPr>
        <w:pStyle w:val="a4"/>
      </w:pPr>
      <w:r>
        <w:t>Transforming Diagnosis through Advanced Machine Learning and Data Analytics</w:t>
      </w:r>
    </w:p>
    <w:p w14:paraId="4EBE0126" w14:textId="77777777" w:rsidR="0065117B" w:rsidRDefault="00000000">
      <w:pPr>
        <w:pStyle w:val="Author"/>
      </w:pPr>
      <w:r>
        <w:t>Qingyuan Liu</w:t>
      </w:r>
      <w:r>
        <w:rPr>
          <w:vertAlign w:val="superscript"/>
        </w:rPr>
        <w:t>1</w:t>
      </w:r>
    </w:p>
    <w:p w14:paraId="6A3EE3EC" w14:textId="77777777" w:rsidR="0065117B" w:rsidRDefault="00000000">
      <w:pPr>
        <w:pStyle w:val="a8"/>
      </w:pPr>
      <w:r>
        <w:t xml:space="preserve"> </w:t>
      </w:r>
      <w:r>
        <w:rPr>
          <w:vertAlign w:val="superscript"/>
        </w:rPr>
        <w:t>1</w:t>
      </w:r>
      <w:r>
        <w:t xml:space="preserve">Department of Computing, The Hong Kong Polytechnic University, Hong Kong SAR, China </w:t>
      </w:r>
    </w:p>
    <w:p w14:paraId="09BABBC4" w14:textId="77777777" w:rsidR="0065117B" w:rsidRDefault="00000000">
      <w:pPr>
        <w:pStyle w:val="AbstractTitle"/>
      </w:pPr>
      <w:r>
        <w:t>Abstract</w:t>
      </w:r>
    </w:p>
    <w:p w14:paraId="5BC1F850" w14:textId="77777777" w:rsidR="0065117B" w:rsidRDefault="00000000">
      <w:pPr>
        <w:pStyle w:val="Abstract"/>
      </w:pPr>
      <w:r>
        <w:t xml:space="preserve">Fragmented hospital silos and strict privacy rules often leave medical AI models staring at small, uneven, mismatched tabular cohorts, so models trained directly on those data tend to wobble when moved between sites. Here we sketch </w:t>
      </w:r>
      <w:r>
        <w:rPr>
          <w:i/>
          <w:iCs/>
        </w:rPr>
        <w:t>PANDA</w:t>
      </w:r>
      <w:r>
        <w:t xml:space="preserve"> (Pretrained Adaptation Network with Domain Alignment)–a cross-hospital setup that leans on a pre-trained tabular foundation model, keeps the feature budget lean, and folds in unsupervised domain adaptation, even if calling it a framework is arguably generous. PANDA uses a TabPFN-style Transformer encoder meta-trained on millions of synthetic tables; that pretraining appears to capture higher-order interactions that tuned gradient-boosting ensembles often miss when samples are scarce. A cross-cohort RFE step uses the foundation model to identify eight biomarkers that stay predictive across both hospitals, cutting data-collection demands and stabilizing interpretation. To ease distribution gaps, we add TCA to the training loop so source and target cohorts land in a shared latent space. This mix–foundation-model representations, RFE-filtered features, and TCA–seems to reduce covariate shift and keep those eight variables useful even when each site ranks them differently. On two lung-nodule cohorts (295 training, 190 external), PANDA lifts AUC and sensitivity over supervised and non-adaptive baselines, hinting that pairing foundation-model priors with statistical alignment may improve generalization in small, cross-domain medical tasks.</w:t>
      </w:r>
    </w:p>
    <w:sdt>
      <w:sdtPr>
        <w:rPr>
          <w:sz w:val="24"/>
          <w:szCs w:val="24"/>
        </w:rPr>
        <w:id w:val="-2077894538"/>
      </w:sdtPr>
      <w:sdtContent>
        <w:p w14:paraId="3B5FF20D" w14:textId="77777777" w:rsidR="0065117B" w:rsidRDefault="00000000">
          <w:pPr>
            <w:pStyle w:val="TOC"/>
          </w:pPr>
          <w:r>
            <w:t>List of Figures</w:t>
          </w:r>
        </w:p>
        <w:p w14:paraId="6AD5A028" w14:textId="7E3BA99E" w:rsidR="00304ECD" w:rsidRDefault="00000000">
          <w:pPr>
            <w:pStyle w:val="af0"/>
            <w:tabs>
              <w:tab w:val="right" w:leader="dot" w:pos="8630"/>
            </w:tabs>
            <w:ind w:left="960" w:hanging="480"/>
            <w:rPr>
              <w:noProof/>
            </w:rPr>
          </w:pPr>
          <w:r>
            <w:fldChar w:fldCharType="begin"/>
          </w:r>
          <w:r>
            <w:instrText>TOC \h \z \t "Image Caption" \c</w:instrText>
          </w:r>
          <w:r>
            <w:fldChar w:fldCharType="separate"/>
          </w:r>
          <w:hyperlink w:anchor="_Toc214939465" w:history="1">
            <w:r w:rsidR="00304ECD" w:rsidRPr="00F97865">
              <w:rPr>
                <w:rStyle w:val="af"/>
                <w:noProof/>
              </w:rPr>
              <w:t xml:space="preserve">Figure 1: </w:t>
            </w:r>
            <w:r w:rsidR="00304ECD" w:rsidRPr="00F97865">
              <w:rPr>
                <w:rStyle w:val="af"/>
                <w:b/>
                <w:bCs/>
                <w:noProof/>
              </w:rPr>
              <w:t>The PANDA framework architecture.</w:t>
            </w:r>
            <w:r w:rsidR="00304ECD" w:rsidRPr="00F97865">
              <w:rPr>
                <w:rStyle w:val="af"/>
                <w:noProof/>
              </w:rPr>
              <w:t xml:space="preserve"> (a) Compositional pipeline: from original tabular data through ensemble training, prediction aggregation, class imbalance adjustment, to final classification output. (b) Multi-branch ensemble with </w:t>
            </w:r>
            <m:oMath>
              <m:r>
                <w:rPr>
                  <w:rStyle w:val="af"/>
                  <w:rFonts w:ascii="Cambria Math" w:hAnsi="Cambria Math"/>
                  <w:noProof/>
                </w:rPr>
                <m:t>B</m:t>
              </m:r>
              <m:r>
                <m:rPr>
                  <m:sty m:val="p"/>
                </m:rPr>
                <w:rPr>
                  <w:rStyle w:val="af"/>
                  <w:rFonts w:ascii="Cambria Math" w:hAnsi="Cambria Math"/>
                  <w:noProof/>
                </w:rPr>
                <m:t>=4</m:t>
              </m:r>
            </m:oMath>
            <w:r w:rsidR="00304ECD" w:rsidRPr="00F97865">
              <w:rPr>
                <w:rStyle w:val="af"/>
                <w:noProof/>
              </w:rPr>
              <w:t xml:space="preserve"> preprocessing strategies, each generating </w:t>
            </w:r>
            <m:oMath>
              <m:r>
                <w:rPr>
                  <w:rStyle w:val="af"/>
                  <w:rFonts w:ascii="Cambria Math" w:hAnsi="Cambria Math"/>
                  <w:noProof/>
                </w:rPr>
                <m:t>S</m:t>
              </m:r>
              <m:r>
                <m:rPr>
                  <m:sty m:val="p"/>
                </m:rPr>
                <w:rPr>
                  <w:rStyle w:val="af"/>
                  <w:rFonts w:ascii="Cambria Math" w:hAnsi="Cambria Math"/>
                  <w:noProof/>
                </w:rPr>
                <m:t>=8</m:t>
              </m:r>
            </m:oMath>
            <w:r w:rsidR="00304ECD" w:rsidRPr="00F97865">
              <w:rPr>
                <w:rStyle w:val="af"/>
                <w:noProof/>
              </w:rPr>
              <w:t xml:space="preserve"> ensemble members via different random seeds.</w:t>
            </w:r>
            <w:r w:rsidR="00304ECD">
              <w:rPr>
                <w:noProof/>
                <w:webHidden/>
              </w:rPr>
              <w:tab/>
            </w:r>
            <w:r w:rsidR="00304ECD">
              <w:rPr>
                <w:noProof/>
                <w:webHidden/>
              </w:rPr>
              <w:fldChar w:fldCharType="begin"/>
            </w:r>
            <w:r w:rsidR="00304ECD">
              <w:rPr>
                <w:noProof/>
                <w:webHidden/>
              </w:rPr>
              <w:instrText xml:space="preserve"> PAGEREF _Toc214939465 \h </w:instrText>
            </w:r>
            <w:r w:rsidR="00304ECD">
              <w:rPr>
                <w:noProof/>
                <w:webHidden/>
              </w:rPr>
            </w:r>
            <w:r w:rsidR="00304ECD">
              <w:rPr>
                <w:noProof/>
                <w:webHidden/>
              </w:rPr>
              <w:fldChar w:fldCharType="separate"/>
            </w:r>
            <w:r w:rsidR="00304ECD">
              <w:rPr>
                <w:noProof/>
                <w:webHidden/>
              </w:rPr>
              <w:t>11</w:t>
            </w:r>
            <w:r w:rsidR="00304ECD">
              <w:rPr>
                <w:noProof/>
                <w:webHidden/>
              </w:rPr>
              <w:fldChar w:fldCharType="end"/>
            </w:r>
          </w:hyperlink>
        </w:p>
        <w:p w14:paraId="206E0AA8" w14:textId="4DF4895B" w:rsidR="00304ECD" w:rsidRDefault="00304ECD">
          <w:pPr>
            <w:pStyle w:val="af0"/>
            <w:tabs>
              <w:tab w:val="right" w:leader="dot" w:pos="8630"/>
            </w:tabs>
            <w:ind w:left="960" w:hanging="480"/>
            <w:rPr>
              <w:noProof/>
            </w:rPr>
          </w:pPr>
          <w:hyperlink w:anchor="_Toc214939466" w:history="1">
            <w:r w:rsidRPr="00F97865">
              <w:rPr>
                <w:rStyle w:val="af"/>
                <w:noProof/>
              </w:rPr>
              <w:t xml:space="preserve">Figure 2: </w:t>
            </w:r>
            <w:r w:rsidRPr="00F97865">
              <w:rPr>
                <w:rStyle w:val="af"/>
                <w:b/>
                <w:bCs/>
                <w:noProof/>
              </w:rPr>
              <w:t>Performance comparison across source and target domains.</w:t>
            </w:r>
            <w:r w:rsidRPr="00F97865">
              <w:rPr>
                <w:rStyle w:val="af"/>
                <w:noProof/>
              </w:rPr>
              <w:t xml:space="preserve"> </w:t>
            </w:r>
            <w:r w:rsidRPr="00F97865">
              <w:rPr>
                <w:rStyle w:val="af"/>
                <w:b/>
                <w:bCs/>
                <w:noProof/>
              </w:rPr>
              <w:t>a</w:t>
            </w:r>
            <w:r w:rsidRPr="00F97865">
              <w:rPr>
                <w:rStyle w:val="af"/>
                <w:noProof/>
              </w:rPr>
              <w:t xml:space="preserve"> Source domain 10-fold cross-validation performance heatmap across five classification metrics. The PANDA framework achieves the best overall performance across all metrics. </w:t>
            </w:r>
            <w:r w:rsidRPr="00F97865">
              <w:rPr>
                <w:rStyle w:val="af"/>
                <w:b/>
                <w:bCs/>
                <w:noProof/>
              </w:rPr>
              <w:t>b</w:t>
            </w:r>
            <w:r w:rsidRPr="00F97865">
              <w:rPr>
                <w:rStyle w:val="af"/>
                <w:noProof/>
              </w:rPr>
              <w:t xml:space="preserve"> Cross-domain performance heatmap on the external validation set. The TCA-enhanced PANDA model shows the highest AUC and recall, indicating improved generalization under domain shift.</w:t>
            </w:r>
            <w:r>
              <w:rPr>
                <w:noProof/>
                <w:webHidden/>
              </w:rPr>
              <w:tab/>
            </w:r>
            <w:r>
              <w:rPr>
                <w:noProof/>
                <w:webHidden/>
              </w:rPr>
              <w:fldChar w:fldCharType="begin"/>
            </w:r>
            <w:r>
              <w:rPr>
                <w:noProof/>
                <w:webHidden/>
              </w:rPr>
              <w:instrText xml:space="preserve"> PAGEREF _Toc214939466 \h </w:instrText>
            </w:r>
            <w:r>
              <w:rPr>
                <w:noProof/>
                <w:webHidden/>
              </w:rPr>
            </w:r>
            <w:r>
              <w:rPr>
                <w:noProof/>
                <w:webHidden/>
              </w:rPr>
              <w:fldChar w:fldCharType="separate"/>
            </w:r>
            <w:r>
              <w:rPr>
                <w:noProof/>
                <w:webHidden/>
              </w:rPr>
              <w:t>23</w:t>
            </w:r>
            <w:r>
              <w:rPr>
                <w:noProof/>
                <w:webHidden/>
              </w:rPr>
              <w:fldChar w:fldCharType="end"/>
            </w:r>
          </w:hyperlink>
        </w:p>
        <w:p w14:paraId="389B86B4" w14:textId="5A1566CD" w:rsidR="00304ECD" w:rsidRDefault="00304ECD">
          <w:pPr>
            <w:pStyle w:val="af0"/>
            <w:tabs>
              <w:tab w:val="right" w:leader="dot" w:pos="8630"/>
            </w:tabs>
            <w:ind w:left="960" w:hanging="480"/>
            <w:rPr>
              <w:noProof/>
            </w:rPr>
          </w:pPr>
          <w:hyperlink w:anchor="_Toc214939467" w:history="1">
            <w:r w:rsidRPr="00F97865">
              <w:rPr>
                <w:rStyle w:val="af"/>
                <w:noProof/>
              </w:rPr>
              <w:t xml:space="preserve">Figure 3: TCA-based domain adaptation visualization. </w:t>
            </w:r>
            <w:r w:rsidRPr="00F97865">
              <w:rPr>
                <w:rStyle w:val="af"/>
                <w:b/>
                <w:bCs/>
                <w:noProof/>
              </w:rPr>
              <w:t>a,b</w:t>
            </w:r>
            <w:r w:rsidRPr="00F97865">
              <w:rPr>
                <w:rStyle w:val="af"/>
                <w:noProof/>
              </w:rPr>
              <w:t xml:space="preserve"> PCA visualization before and after TCA transformation, showing improved alignment of target samples with source samples. </w:t>
            </w:r>
            <w:r w:rsidRPr="00F97865">
              <w:rPr>
                <w:rStyle w:val="af"/>
                <w:b/>
                <w:bCs/>
                <w:noProof/>
              </w:rPr>
              <w:t>c,d</w:t>
            </w:r>
            <w:r w:rsidRPr="00F97865">
              <w:rPr>
                <w:rStyle w:val="af"/>
                <w:noProof/>
              </w:rPr>
              <w:t xml:space="preserve"> t-SNE visualization before and after TCA transformation, demonstrating enhanced cluster center alignment and distribution consistency.</w:t>
            </w:r>
            <w:r>
              <w:rPr>
                <w:noProof/>
                <w:webHidden/>
              </w:rPr>
              <w:tab/>
            </w:r>
            <w:r>
              <w:rPr>
                <w:noProof/>
                <w:webHidden/>
              </w:rPr>
              <w:fldChar w:fldCharType="begin"/>
            </w:r>
            <w:r>
              <w:rPr>
                <w:noProof/>
                <w:webHidden/>
              </w:rPr>
              <w:instrText xml:space="preserve"> PAGEREF _Toc214939467 \h </w:instrText>
            </w:r>
            <w:r>
              <w:rPr>
                <w:noProof/>
                <w:webHidden/>
              </w:rPr>
            </w:r>
            <w:r>
              <w:rPr>
                <w:noProof/>
                <w:webHidden/>
              </w:rPr>
              <w:fldChar w:fldCharType="separate"/>
            </w:r>
            <w:r>
              <w:rPr>
                <w:noProof/>
                <w:webHidden/>
              </w:rPr>
              <w:t>24</w:t>
            </w:r>
            <w:r>
              <w:rPr>
                <w:noProof/>
                <w:webHidden/>
              </w:rPr>
              <w:fldChar w:fldCharType="end"/>
            </w:r>
          </w:hyperlink>
        </w:p>
        <w:p w14:paraId="418B7FA8" w14:textId="120A565E" w:rsidR="00304ECD" w:rsidRDefault="00304ECD">
          <w:pPr>
            <w:pStyle w:val="af0"/>
            <w:tabs>
              <w:tab w:val="right" w:leader="dot" w:pos="8630"/>
            </w:tabs>
            <w:ind w:left="960" w:hanging="480"/>
            <w:rPr>
              <w:noProof/>
            </w:rPr>
          </w:pPr>
          <w:hyperlink w:anchor="_Toc214939468" w:history="1">
            <w:r w:rsidRPr="00F97865">
              <w:rPr>
                <w:rStyle w:val="af"/>
                <w:noProof/>
              </w:rPr>
              <w:t xml:space="preserve">Figure 4: Comprehensive feature selection and performance analysis using recursive feature elimination (RFE). </w:t>
            </w:r>
            <w:r w:rsidRPr="00F97865">
              <w:rPr>
                <w:rStyle w:val="af"/>
                <w:b/>
                <w:bCs/>
                <w:noProof/>
              </w:rPr>
              <w:t>a</w:t>
            </w:r>
            <w:r w:rsidRPr="00F97865">
              <w:rPr>
                <w:rStyle w:val="af"/>
                <w:noProof/>
              </w:rPr>
              <w:t xml:space="preserve"> AUC, accuracy, and F1 curves as functions of the number of selected features. Performance plateaus around 9–13 features, aligning with the preference for simpler models. Shaded regions show variance across 10-fold cross-validation. </w:t>
            </w:r>
            <w:r w:rsidRPr="00F97865">
              <w:rPr>
                <w:rStyle w:val="af"/>
                <w:b/>
                <w:bCs/>
                <w:noProof/>
              </w:rPr>
              <w:t>b</w:t>
            </w:r>
            <w:r w:rsidRPr="00F97865">
              <w:rPr>
                <w:rStyle w:val="af"/>
                <w:noProof/>
              </w:rPr>
              <w:t xml:space="preserve"> Class-specific accuracy for malignant and benign cases across feature subset sizes, illustrating how predictive balance shifts as features are removed. </w:t>
            </w:r>
            <w:r w:rsidRPr="00F97865">
              <w:rPr>
                <w:rStyle w:val="af"/>
                <w:b/>
                <w:bCs/>
                <w:noProof/>
              </w:rPr>
              <w:t>c</w:t>
            </w:r>
            <w:r w:rsidRPr="00F97865">
              <w:rPr>
                <w:rStyle w:val="af"/>
                <w:noProof/>
              </w:rPr>
              <w:t xml:space="preserve"> Training-time analysis (seconds per fold) as a function of feature dimensionality, highlighting the computational gain from smaller subsets. </w:t>
            </w:r>
            <w:r w:rsidRPr="00F97865">
              <w:rPr>
                <w:rStyle w:val="af"/>
                <w:b/>
                <w:bCs/>
                <w:noProof/>
              </w:rPr>
              <w:t>d</w:t>
            </w:r>
            <w:r w:rsidRPr="00F97865">
              <w:rPr>
                <w:rStyle w:val="af"/>
                <w:noProof/>
              </w:rPr>
              <w:t xml:space="preserve"> Stability assessment using the coefficient of variation across folds; lower values indicate steadier performance. </w:t>
            </w:r>
            <w:r w:rsidRPr="00F97865">
              <w:rPr>
                <w:rStyle w:val="af"/>
                <w:b/>
                <w:bCs/>
                <w:noProof/>
              </w:rPr>
              <w:t>e</w:t>
            </w:r>
            <w:r w:rsidRPr="00F97865">
              <w:rPr>
                <w:rStyle w:val="af"/>
                <w:noProof/>
              </w:rPr>
              <w:t xml:space="preserve"> Cost-effectiveness index combining multiple criteria (Performance×0.45 + Simplicity×0.25 + Efficiency×0.15 + Stability×0.15) to identify a feature count that balances accuracy with practical deployment considerations.</w:t>
            </w:r>
            <w:r>
              <w:rPr>
                <w:noProof/>
                <w:webHidden/>
              </w:rPr>
              <w:tab/>
            </w:r>
            <w:r>
              <w:rPr>
                <w:noProof/>
                <w:webHidden/>
              </w:rPr>
              <w:fldChar w:fldCharType="begin"/>
            </w:r>
            <w:r>
              <w:rPr>
                <w:noProof/>
                <w:webHidden/>
              </w:rPr>
              <w:instrText xml:space="preserve"> PAGEREF _Toc214939468 \h </w:instrText>
            </w:r>
            <w:r>
              <w:rPr>
                <w:noProof/>
                <w:webHidden/>
              </w:rPr>
            </w:r>
            <w:r>
              <w:rPr>
                <w:noProof/>
                <w:webHidden/>
              </w:rPr>
              <w:fldChar w:fldCharType="separate"/>
            </w:r>
            <w:r>
              <w:rPr>
                <w:noProof/>
                <w:webHidden/>
              </w:rPr>
              <w:t>25</w:t>
            </w:r>
            <w:r>
              <w:rPr>
                <w:noProof/>
                <w:webHidden/>
              </w:rPr>
              <w:fldChar w:fldCharType="end"/>
            </w:r>
          </w:hyperlink>
        </w:p>
        <w:p w14:paraId="1FAD28D3" w14:textId="65317833" w:rsidR="00304ECD" w:rsidRDefault="00304ECD">
          <w:pPr>
            <w:pStyle w:val="af0"/>
            <w:tabs>
              <w:tab w:val="right" w:leader="dot" w:pos="8630"/>
            </w:tabs>
            <w:ind w:left="960" w:hanging="480"/>
            <w:rPr>
              <w:noProof/>
            </w:rPr>
          </w:pPr>
          <w:hyperlink w:anchor="_Toc214939469" w:history="1">
            <w:r w:rsidRPr="00F97865">
              <w:rPr>
                <w:rStyle w:val="af"/>
                <w:noProof/>
              </w:rPr>
              <w:t xml:space="preserve">Figure 5: </w:t>
            </w:r>
            <w:r w:rsidRPr="00F97865">
              <w:rPr>
                <w:rStyle w:val="af"/>
                <w:b/>
                <w:bCs/>
                <w:noProof/>
              </w:rPr>
              <w:t>Performance and utility across source and target domains.</w:t>
            </w:r>
            <w:r w:rsidRPr="00F97865">
              <w:rPr>
                <w:rStyle w:val="af"/>
                <w:noProof/>
              </w:rPr>
              <w:t xml:space="preserve"> </w:t>
            </w:r>
            <w:r w:rsidRPr="00F97865">
              <w:rPr>
                <w:rStyle w:val="af"/>
                <w:b/>
                <w:bCs/>
                <w:noProof/>
              </w:rPr>
              <w:t>a,b</w:t>
            </w:r>
            <w:r w:rsidRPr="00F97865">
              <w:rPr>
                <w:rStyle w:val="af"/>
                <w:noProof/>
              </w:rPr>
              <w:t xml:space="preserve"> ROC curves. </w:t>
            </w:r>
            <w:r w:rsidRPr="00F97865">
              <w:rPr>
                <w:rStyle w:val="af"/>
                <w:b/>
                <w:bCs/>
                <w:noProof/>
              </w:rPr>
              <w:t>c,d</w:t>
            </w:r>
            <w:r w:rsidRPr="00F97865">
              <w:rPr>
                <w:rStyle w:val="af"/>
                <w:noProof/>
              </w:rPr>
              <w:t xml:space="preserve"> Calibration plots. </w:t>
            </w:r>
            <w:r w:rsidRPr="00F97865">
              <w:rPr>
                <w:rStyle w:val="af"/>
                <w:b/>
                <w:bCs/>
                <w:noProof/>
              </w:rPr>
              <w:t>e,f</w:t>
            </w:r>
            <w:r w:rsidRPr="00F97865">
              <w:rPr>
                <w:rStyle w:val="af"/>
                <w:noProof/>
              </w:rPr>
              <w:t xml:space="preserve"> Decision curves.</w:t>
            </w:r>
            <w:r>
              <w:rPr>
                <w:noProof/>
                <w:webHidden/>
              </w:rPr>
              <w:tab/>
            </w:r>
            <w:r>
              <w:rPr>
                <w:noProof/>
                <w:webHidden/>
              </w:rPr>
              <w:fldChar w:fldCharType="begin"/>
            </w:r>
            <w:r>
              <w:rPr>
                <w:noProof/>
                <w:webHidden/>
              </w:rPr>
              <w:instrText xml:space="preserve"> PAGEREF _Toc214939469 \h </w:instrText>
            </w:r>
            <w:r>
              <w:rPr>
                <w:noProof/>
                <w:webHidden/>
              </w:rPr>
            </w:r>
            <w:r>
              <w:rPr>
                <w:noProof/>
                <w:webHidden/>
              </w:rPr>
              <w:fldChar w:fldCharType="separate"/>
            </w:r>
            <w:r>
              <w:rPr>
                <w:noProof/>
                <w:webHidden/>
              </w:rPr>
              <w:t>26</w:t>
            </w:r>
            <w:r>
              <w:rPr>
                <w:noProof/>
                <w:webHidden/>
              </w:rPr>
              <w:fldChar w:fldCharType="end"/>
            </w:r>
          </w:hyperlink>
        </w:p>
        <w:p w14:paraId="5103E37E" w14:textId="77777777" w:rsidR="0065117B" w:rsidRDefault="00000000">
          <w:r>
            <w:fldChar w:fldCharType="end"/>
          </w:r>
        </w:p>
      </w:sdtContent>
    </w:sdt>
    <w:sdt>
      <w:sdtPr>
        <w:rPr>
          <w:sz w:val="24"/>
          <w:szCs w:val="24"/>
        </w:rPr>
        <w:id w:val="-1768688749"/>
      </w:sdtPr>
      <w:sdtContent>
        <w:p w14:paraId="1D3B457F" w14:textId="77777777" w:rsidR="0065117B" w:rsidRDefault="00000000">
          <w:pPr>
            <w:pStyle w:val="TOC"/>
          </w:pPr>
          <w:r>
            <w:t>List of Tables</w:t>
          </w:r>
        </w:p>
        <w:p w14:paraId="05E5E21F" w14:textId="4CE6AC51" w:rsidR="00304ECD" w:rsidRDefault="00000000">
          <w:pPr>
            <w:pStyle w:val="af0"/>
            <w:tabs>
              <w:tab w:val="right" w:leader="dot" w:pos="8630"/>
            </w:tabs>
            <w:ind w:left="960" w:hanging="480"/>
            <w:rPr>
              <w:rFonts w:asciiTheme="minorHAnsi" w:eastAsiaTheme="minorEastAsia" w:hAnsiTheme="minorHAnsi" w:cstheme="minorBidi"/>
              <w:noProof/>
              <w:color w:val="auto"/>
              <w:kern w:val="2"/>
              <w:sz w:val="22"/>
              <w14:ligatures w14:val="standardContextual"/>
            </w:rPr>
          </w:pPr>
          <w:r>
            <w:fldChar w:fldCharType="begin"/>
          </w:r>
          <w:r>
            <w:instrText>TOC \h \z \t "Table Caption" \c</w:instrText>
          </w:r>
          <w:r>
            <w:fldChar w:fldCharType="separate"/>
          </w:r>
          <w:hyperlink w:anchor="_Toc214939470" w:history="1">
            <w:r w:rsidR="00304ECD" w:rsidRPr="008E4420">
              <w:rPr>
                <w:rStyle w:val="af"/>
                <w:noProof/>
              </w:rPr>
              <w:t>Table 1: The training (Cohort A) and testing (Cohort B) cohorts.</w:t>
            </w:r>
            <w:r w:rsidR="00304ECD">
              <w:rPr>
                <w:noProof/>
                <w:webHidden/>
              </w:rPr>
              <w:tab/>
            </w:r>
            <w:r w:rsidR="00304ECD">
              <w:rPr>
                <w:noProof/>
                <w:webHidden/>
              </w:rPr>
              <w:fldChar w:fldCharType="begin"/>
            </w:r>
            <w:r w:rsidR="00304ECD">
              <w:rPr>
                <w:noProof/>
                <w:webHidden/>
              </w:rPr>
              <w:instrText xml:space="preserve"> PAGEREF _Toc214939470 \h </w:instrText>
            </w:r>
            <w:r w:rsidR="00304ECD">
              <w:rPr>
                <w:noProof/>
                <w:webHidden/>
              </w:rPr>
            </w:r>
            <w:r w:rsidR="00304ECD">
              <w:rPr>
                <w:noProof/>
                <w:webHidden/>
              </w:rPr>
              <w:fldChar w:fldCharType="separate"/>
            </w:r>
            <w:r w:rsidR="00304ECD">
              <w:rPr>
                <w:noProof/>
                <w:webHidden/>
              </w:rPr>
              <w:t>21</w:t>
            </w:r>
            <w:r w:rsidR="00304ECD">
              <w:rPr>
                <w:noProof/>
                <w:webHidden/>
              </w:rPr>
              <w:fldChar w:fldCharType="end"/>
            </w:r>
          </w:hyperlink>
        </w:p>
        <w:p w14:paraId="5F206F97" w14:textId="77777777" w:rsidR="0065117B" w:rsidRDefault="00000000">
          <w:r>
            <w:fldChar w:fldCharType="end"/>
          </w:r>
        </w:p>
      </w:sdtContent>
    </w:sdt>
    <w:p w14:paraId="7A65D3C3" w14:textId="77777777" w:rsidR="0065117B" w:rsidRDefault="00000000">
      <w:r>
        <w:t>TABLE OF CONTENTS</w:t>
      </w:r>
    </w:p>
    <w:p w14:paraId="2F79CCDD" w14:textId="1460F505" w:rsidR="00304ECD" w:rsidRDefault="00000000">
      <w:pPr>
        <w:pStyle w:val="TOC1"/>
        <w:tabs>
          <w:tab w:val="right" w:leader="dot" w:pos="8630"/>
        </w:tabs>
        <w:rPr>
          <w:noProof/>
        </w:rPr>
      </w:pPr>
      <w:r>
        <w:fldChar w:fldCharType="begin"/>
      </w:r>
      <w:r>
        <w:instrText>TOC \o "1-3" \h \z \u</w:instrText>
      </w:r>
      <w:r>
        <w:fldChar w:fldCharType="separate"/>
      </w:r>
      <w:hyperlink w:anchor="_Toc214939471" w:history="1">
        <w:r w:rsidR="00304ECD" w:rsidRPr="00B661EA">
          <w:rPr>
            <w:rStyle w:val="af"/>
            <w:noProof/>
          </w:rPr>
          <w:t>Introduction</w:t>
        </w:r>
        <w:r w:rsidR="00304ECD">
          <w:rPr>
            <w:noProof/>
            <w:webHidden/>
          </w:rPr>
          <w:tab/>
        </w:r>
        <w:r w:rsidR="00304ECD">
          <w:rPr>
            <w:noProof/>
            <w:webHidden/>
          </w:rPr>
          <w:fldChar w:fldCharType="begin"/>
        </w:r>
        <w:r w:rsidR="00304ECD">
          <w:rPr>
            <w:noProof/>
            <w:webHidden/>
          </w:rPr>
          <w:instrText xml:space="preserve"> PAGEREF _Toc214939471 \h </w:instrText>
        </w:r>
        <w:r w:rsidR="00304ECD">
          <w:rPr>
            <w:noProof/>
            <w:webHidden/>
          </w:rPr>
        </w:r>
        <w:r w:rsidR="00304ECD">
          <w:rPr>
            <w:noProof/>
            <w:webHidden/>
          </w:rPr>
          <w:fldChar w:fldCharType="separate"/>
        </w:r>
        <w:r w:rsidR="00304ECD">
          <w:rPr>
            <w:noProof/>
            <w:webHidden/>
          </w:rPr>
          <w:t>4</w:t>
        </w:r>
        <w:r w:rsidR="00304ECD">
          <w:rPr>
            <w:noProof/>
            <w:webHidden/>
          </w:rPr>
          <w:fldChar w:fldCharType="end"/>
        </w:r>
      </w:hyperlink>
    </w:p>
    <w:p w14:paraId="6EB4F8D9" w14:textId="509AB58F" w:rsidR="00304ECD" w:rsidRDefault="00304ECD">
      <w:pPr>
        <w:pStyle w:val="TOC1"/>
        <w:tabs>
          <w:tab w:val="right" w:leader="dot" w:pos="8630"/>
        </w:tabs>
        <w:rPr>
          <w:noProof/>
        </w:rPr>
      </w:pPr>
      <w:hyperlink w:anchor="_Toc214939472" w:history="1">
        <w:r w:rsidRPr="00B661EA">
          <w:rPr>
            <w:rStyle w:val="af"/>
            <w:noProof/>
          </w:rPr>
          <w:t>Related Work</w:t>
        </w:r>
        <w:r>
          <w:rPr>
            <w:noProof/>
            <w:webHidden/>
          </w:rPr>
          <w:tab/>
        </w:r>
        <w:r>
          <w:rPr>
            <w:noProof/>
            <w:webHidden/>
          </w:rPr>
          <w:fldChar w:fldCharType="begin"/>
        </w:r>
        <w:r>
          <w:rPr>
            <w:noProof/>
            <w:webHidden/>
          </w:rPr>
          <w:instrText xml:space="preserve"> PAGEREF _Toc214939472 \h </w:instrText>
        </w:r>
        <w:r>
          <w:rPr>
            <w:noProof/>
            <w:webHidden/>
          </w:rPr>
        </w:r>
        <w:r>
          <w:rPr>
            <w:noProof/>
            <w:webHidden/>
          </w:rPr>
          <w:fldChar w:fldCharType="separate"/>
        </w:r>
        <w:r>
          <w:rPr>
            <w:noProof/>
            <w:webHidden/>
          </w:rPr>
          <w:t>5</w:t>
        </w:r>
        <w:r>
          <w:rPr>
            <w:noProof/>
            <w:webHidden/>
          </w:rPr>
          <w:fldChar w:fldCharType="end"/>
        </w:r>
      </w:hyperlink>
    </w:p>
    <w:p w14:paraId="2FBB905F" w14:textId="1CBA3718" w:rsidR="00304ECD" w:rsidRDefault="00304ECD">
      <w:pPr>
        <w:pStyle w:val="TOC2"/>
        <w:tabs>
          <w:tab w:val="right" w:leader="dot" w:pos="8630"/>
        </w:tabs>
        <w:ind w:left="480"/>
        <w:rPr>
          <w:noProof/>
        </w:rPr>
      </w:pPr>
      <w:hyperlink w:anchor="_Toc214939473" w:history="1">
        <w:r w:rsidRPr="00B661EA">
          <w:rPr>
            <w:rStyle w:val="af"/>
            <w:noProof/>
          </w:rPr>
          <w:t>Tabular foundation models</w:t>
        </w:r>
        <w:r>
          <w:rPr>
            <w:noProof/>
            <w:webHidden/>
          </w:rPr>
          <w:tab/>
        </w:r>
        <w:r>
          <w:rPr>
            <w:noProof/>
            <w:webHidden/>
          </w:rPr>
          <w:fldChar w:fldCharType="begin"/>
        </w:r>
        <w:r>
          <w:rPr>
            <w:noProof/>
            <w:webHidden/>
          </w:rPr>
          <w:instrText xml:space="preserve"> PAGEREF _Toc214939473 \h </w:instrText>
        </w:r>
        <w:r>
          <w:rPr>
            <w:noProof/>
            <w:webHidden/>
          </w:rPr>
        </w:r>
        <w:r>
          <w:rPr>
            <w:noProof/>
            <w:webHidden/>
          </w:rPr>
          <w:fldChar w:fldCharType="separate"/>
        </w:r>
        <w:r>
          <w:rPr>
            <w:noProof/>
            <w:webHidden/>
          </w:rPr>
          <w:t>5</w:t>
        </w:r>
        <w:r>
          <w:rPr>
            <w:noProof/>
            <w:webHidden/>
          </w:rPr>
          <w:fldChar w:fldCharType="end"/>
        </w:r>
      </w:hyperlink>
    </w:p>
    <w:p w14:paraId="499E69CC" w14:textId="71AA0633" w:rsidR="00304ECD" w:rsidRDefault="00304ECD">
      <w:pPr>
        <w:pStyle w:val="TOC2"/>
        <w:tabs>
          <w:tab w:val="right" w:leader="dot" w:pos="8630"/>
        </w:tabs>
        <w:ind w:left="480"/>
        <w:rPr>
          <w:noProof/>
        </w:rPr>
      </w:pPr>
      <w:hyperlink w:anchor="_Toc214939474" w:history="1">
        <w:r w:rsidRPr="00B661EA">
          <w:rPr>
            <w:rStyle w:val="af"/>
            <w:noProof/>
          </w:rPr>
          <w:t>Domain adaptation in medical AI</w:t>
        </w:r>
        <w:r>
          <w:rPr>
            <w:noProof/>
            <w:webHidden/>
          </w:rPr>
          <w:tab/>
        </w:r>
        <w:r>
          <w:rPr>
            <w:noProof/>
            <w:webHidden/>
          </w:rPr>
          <w:fldChar w:fldCharType="begin"/>
        </w:r>
        <w:r>
          <w:rPr>
            <w:noProof/>
            <w:webHidden/>
          </w:rPr>
          <w:instrText xml:space="preserve"> PAGEREF _Toc214939474 \h </w:instrText>
        </w:r>
        <w:r>
          <w:rPr>
            <w:noProof/>
            <w:webHidden/>
          </w:rPr>
        </w:r>
        <w:r>
          <w:rPr>
            <w:noProof/>
            <w:webHidden/>
          </w:rPr>
          <w:fldChar w:fldCharType="separate"/>
        </w:r>
        <w:r>
          <w:rPr>
            <w:noProof/>
            <w:webHidden/>
          </w:rPr>
          <w:t>6</w:t>
        </w:r>
        <w:r>
          <w:rPr>
            <w:noProof/>
            <w:webHidden/>
          </w:rPr>
          <w:fldChar w:fldCharType="end"/>
        </w:r>
      </w:hyperlink>
    </w:p>
    <w:p w14:paraId="5D4D966B" w14:textId="3CB7321A" w:rsidR="00304ECD" w:rsidRDefault="00304ECD">
      <w:pPr>
        <w:pStyle w:val="TOC2"/>
        <w:tabs>
          <w:tab w:val="right" w:leader="dot" w:pos="8630"/>
        </w:tabs>
        <w:ind w:left="480"/>
        <w:rPr>
          <w:noProof/>
        </w:rPr>
      </w:pPr>
      <w:hyperlink w:anchor="_Toc214939475" w:history="1">
        <w:r w:rsidRPr="00B661EA">
          <w:rPr>
            <w:rStyle w:val="af"/>
            <w:noProof/>
          </w:rPr>
          <w:t>Pulmonary nodule risk prediction and cross-hospital generalization</w:t>
        </w:r>
        <w:r>
          <w:rPr>
            <w:noProof/>
            <w:webHidden/>
          </w:rPr>
          <w:tab/>
        </w:r>
        <w:r>
          <w:rPr>
            <w:noProof/>
            <w:webHidden/>
          </w:rPr>
          <w:fldChar w:fldCharType="begin"/>
        </w:r>
        <w:r>
          <w:rPr>
            <w:noProof/>
            <w:webHidden/>
          </w:rPr>
          <w:instrText xml:space="preserve"> PAGEREF _Toc214939475 \h </w:instrText>
        </w:r>
        <w:r>
          <w:rPr>
            <w:noProof/>
            <w:webHidden/>
          </w:rPr>
        </w:r>
        <w:r>
          <w:rPr>
            <w:noProof/>
            <w:webHidden/>
          </w:rPr>
          <w:fldChar w:fldCharType="separate"/>
        </w:r>
        <w:r>
          <w:rPr>
            <w:noProof/>
            <w:webHidden/>
          </w:rPr>
          <w:t>7</w:t>
        </w:r>
        <w:r>
          <w:rPr>
            <w:noProof/>
            <w:webHidden/>
          </w:rPr>
          <w:fldChar w:fldCharType="end"/>
        </w:r>
      </w:hyperlink>
    </w:p>
    <w:p w14:paraId="04906283" w14:textId="27D6F538" w:rsidR="00304ECD" w:rsidRDefault="00304ECD">
      <w:pPr>
        <w:pStyle w:val="TOC2"/>
        <w:tabs>
          <w:tab w:val="right" w:leader="dot" w:pos="8630"/>
        </w:tabs>
        <w:ind w:left="480"/>
        <w:rPr>
          <w:noProof/>
        </w:rPr>
      </w:pPr>
      <w:hyperlink w:anchor="_Toc214939476" w:history="1">
        <w:r w:rsidRPr="00B661EA">
          <w:rPr>
            <w:rStyle w:val="af"/>
            <w:noProof/>
          </w:rPr>
          <w:t>Theoretical Foundation</w:t>
        </w:r>
        <w:r>
          <w:rPr>
            <w:noProof/>
            <w:webHidden/>
          </w:rPr>
          <w:tab/>
        </w:r>
        <w:r>
          <w:rPr>
            <w:noProof/>
            <w:webHidden/>
          </w:rPr>
          <w:fldChar w:fldCharType="begin"/>
        </w:r>
        <w:r>
          <w:rPr>
            <w:noProof/>
            <w:webHidden/>
          </w:rPr>
          <w:instrText xml:space="preserve"> PAGEREF _Toc214939476 \h </w:instrText>
        </w:r>
        <w:r>
          <w:rPr>
            <w:noProof/>
            <w:webHidden/>
          </w:rPr>
        </w:r>
        <w:r>
          <w:rPr>
            <w:noProof/>
            <w:webHidden/>
          </w:rPr>
          <w:fldChar w:fldCharType="separate"/>
        </w:r>
        <w:r>
          <w:rPr>
            <w:noProof/>
            <w:webHidden/>
          </w:rPr>
          <w:t>7</w:t>
        </w:r>
        <w:r>
          <w:rPr>
            <w:noProof/>
            <w:webHidden/>
          </w:rPr>
          <w:fldChar w:fldCharType="end"/>
        </w:r>
      </w:hyperlink>
    </w:p>
    <w:p w14:paraId="321FF4B0" w14:textId="593A5E36" w:rsidR="00304ECD" w:rsidRDefault="00304ECD">
      <w:pPr>
        <w:pStyle w:val="TOC1"/>
        <w:tabs>
          <w:tab w:val="right" w:leader="dot" w:pos="8630"/>
        </w:tabs>
        <w:rPr>
          <w:noProof/>
        </w:rPr>
      </w:pPr>
      <w:hyperlink w:anchor="_Toc214939477" w:history="1">
        <w:r w:rsidRPr="00B661EA">
          <w:rPr>
            <w:rStyle w:val="af"/>
            <w:noProof/>
          </w:rPr>
          <w:t>Problem Formulation</w:t>
        </w:r>
        <w:r>
          <w:rPr>
            <w:noProof/>
            <w:webHidden/>
          </w:rPr>
          <w:tab/>
        </w:r>
        <w:r>
          <w:rPr>
            <w:noProof/>
            <w:webHidden/>
          </w:rPr>
          <w:fldChar w:fldCharType="begin"/>
        </w:r>
        <w:r>
          <w:rPr>
            <w:noProof/>
            <w:webHidden/>
          </w:rPr>
          <w:instrText xml:space="preserve"> PAGEREF _Toc214939477 \h </w:instrText>
        </w:r>
        <w:r>
          <w:rPr>
            <w:noProof/>
            <w:webHidden/>
          </w:rPr>
        </w:r>
        <w:r>
          <w:rPr>
            <w:noProof/>
            <w:webHidden/>
          </w:rPr>
          <w:fldChar w:fldCharType="separate"/>
        </w:r>
        <w:r>
          <w:rPr>
            <w:noProof/>
            <w:webHidden/>
          </w:rPr>
          <w:t>8</w:t>
        </w:r>
        <w:r>
          <w:rPr>
            <w:noProof/>
            <w:webHidden/>
          </w:rPr>
          <w:fldChar w:fldCharType="end"/>
        </w:r>
      </w:hyperlink>
    </w:p>
    <w:p w14:paraId="0EFAC727" w14:textId="5501BD74" w:rsidR="00304ECD" w:rsidRDefault="00304ECD">
      <w:pPr>
        <w:pStyle w:val="TOC2"/>
        <w:tabs>
          <w:tab w:val="right" w:leader="dot" w:pos="8630"/>
        </w:tabs>
        <w:ind w:left="480"/>
        <w:rPr>
          <w:noProof/>
        </w:rPr>
      </w:pPr>
      <w:hyperlink w:anchor="_Toc214939478" w:history="1">
        <w:r w:rsidRPr="00B661EA">
          <w:rPr>
            <w:rStyle w:val="af"/>
            <w:noProof/>
          </w:rPr>
          <w:t>Cross-Domain Learning Setup</w:t>
        </w:r>
        <w:r>
          <w:rPr>
            <w:noProof/>
            <w:webHidden/>
          </w:rPr>
          <w:tab/>
        </w:r>
        <w:r>
          <w:rPr>
            <w:noProof/>
            <w:webHidden/>
          </w:rPr>
          <w:fldChar w:fldCharType="begin"/>
        </w:r>
        <w:r>
          <w:rPr>
            <w:noProof/>
            <w:webHidden/>
          </w:rPr>
          <w:instrText xml:space="preserve"> PAGEREF _Toc214939478 \h </w:instrText>
        </w:r>
        <w:r>
          <w:rPr>
            <w:noProof/>
            <w:webHidden/>
          </w:rPr>
        </w:r>
        <w:r>
          <w:rPr>
            <w:noProof/>
            <w:webHidden/>
          </w:rPr>
          <w:fldChar w:fldCharType="separate"/>
        </w:r>
        <w:r>
          <w:rPr>
            <w:noProof/>
            <w:webHidden/>
          </w:rPr>
          <w:t>8</w:t>
        </w:r>
        <w:r>
          <w:rPr>
            <w:noProof/>
            <w:webHidden/>
          </w:rPr>
          <w:fldChar w:fldCharType="end"/>
        </w:r>
      </w:hyperlink>
    </w:p>
    <w:p w14:paraId="45B6D405" w14:textId="7B0D0BE8" w:rsidR="00304ECD" w:rsidRDefault="00304ECD">
      <w:pPr>
        <w:pStyle w:val="TOC2"/>
        <w:tabs>
          <w:tab w:val="right" w:leader="dot" w:pos="8630"/>
        </w:tabs>
        <w:ind w:left="480"/>
        <w:rPr>
          <w:noProof/>
        </w:rPr>
      </w:pPr>
      <w:hyperlink w:anchor="_Toc214939479" w:history="1">
        <w:r w:rsidRPr="00B661EA">
          <w:rPr>
            <w:rStyle w:val="af"/>
            <w:noProof/>
          </w:rPr>
          <w:t>Challenges in Cross-Institutional Learning</w:t>
        </w:r>
        <w:r>
          <w:rPr>
            <w:noProof/>
            <w:webHidden/>
          </w:rPr>
          <w:tab/>
        </w:r>
        <w:r>
          <w:rPr>
            <w:noProof/>
            <w:webHidden/>
          </w:rPr>
          <w:fldChar w:fldCharType="begin"/>
        </w:r>
        <w:r>
          <w:rPr>
            <w:noProof/>
            <w:webHidden/>
          </w:rPr>
          <w:instrText xml:space="preserve"> PAGEREF _Toc214939479 \h </w:instrText>
        </w:r>
        <w:r>
          <w:rPr>
            <w:noProof/>
            <w:webHidden/>
          </w:rPr>
        </w:r>
        <w:r>
          <w:rPr>
            <w:noProof/>
            <w:webHidden/>
          </w:rPr>
          <w:fldChar w:fldCharType="separate"/>
        </w:r>
        <w:r>
          <w:rPr>
            <w:noProof/>
            <w:webHidden/>
          </w:rPr>
          <w:t>8</w:t>
        </w:r>
        <w:r>
          <w:rPr>
            <w:noProof/>
            <w:webHidden/>
          </w:rPr>
          <w:fldChar w:fldCharType="end"/>
        </w:r>
      </w:hyperlink>
    </w:p>
    <w:p w14:paraId="11F0AE25" w14:textId="0319DE63" w:rsidR="00304ECD" w:rsidRDefault="00304ECD">
      <w:pPr>
        <w:pStyle w:val="TOC1"/>
        <w:tabs>
          <w:tab w:val="right" w:leader="dot" w:pos="8630"/>
        </w:tabs>
        <w:rPr>
          <w:noProof/>
        </w:rPr>
      </w:pPr>
      <w:hyperlink w:anchor="_Toc214939480" w:history="1">
        <w:r w:rsidRPr="00B661EA">
          <w:rPr>
            <w:rStyle w:val="af"/>
            <w:noProof/>
          </w:rPr>
          <w:t>Solution</w:t>
        </w:r>
        <w:r>
          <w:rPr>
            <w:noProof/>
            <w:webHidden/>
          </w:rPr>
          <w:tab/>
        </w:r>
        <w:r>
          <w:rPr>
            <w:noProof/>
            <w:webHidden/>
          </w:rPr>
          <w:fldChar w:fldCharType="begin"/>
        </w:r>
        <w:r>
          <w:rPr>
            <w:noProof/>
            <w:webHidden/>
          </w:rPr>
          <w:instrText xml:space="preserve"> PAGEREF _Toc214939480 \h </w:instrText>
        </w:r>
        <w:r>
          <w:rPr>
            <w:noProof/>
            <w:webHidden/>
          </w:rPr>
        </w:r>
        <w:r>
          <w:rPr>
            <w:noProof/>
            <w:webHidden/>
          </w:rPr>
          <w:fldChar w:fldCharType="separate"/>
        </w:r>
        <w:r>
          <w:rPr>
            <w:noProof/>
            <w:webHidden/>
          </w:rPr>
          <w:t>9</w:t>
        </w:r>
        <w:r>
          <w:rPr>
            <w:noProof/>
            <w:webHidden/>
          </w:rPr>
          <w:fldChar w:fldCharType="end"/>
        </w:r>
      </w:hyperlink>
    </w:p>
    <w:p w14:paraId="59556B40" w14:textId="360B63D2" w:rsidR="00304ECD" w:rsidRDefault="00304ECD">
      <w:pPr>
        <w:pStyle w:val="TOC2"/>
        <w:tabs>
          <w:tab w:val="right" w:leader="dot" w:pos="8630"/>
        </w:tabs>
        <w:ind w:left="480"/>
        <w:rPr>
          <w:noProof/>
        </w:rPr>
      </w:pPr>
      <w:hyperlink w:anchor="_Toc214939481" w:history="1">
        <w:r w:rsidRPr="00B661EA">
          <w:rPr>
            <w:rStyle w:val="af"/>
            <w:noProof/>
          </w:rPr>
          <w:t>Compositional Architecture</w:t>
        </w:r>
        <w:r>
          <w:rPr>
            <w:noProof/>
            <w:webHidden/>
          </w:rPr>
          <w:tab/>
        </w:r>
        <w:r>
          <w:rPr>
            <w:noProof/>
            <w:webHidden/>
          </w:rPr>
          <w:fldChar w:fldCharType="begin"/>
        </w:r>
        <w:r>
          <w:rPr>
            <w:noProof/>
            <w:webHidden/>
          </w:rPr>
          <w:instrText xml:space="preserve"> PAGEREF _Toc214939481 \h </w:instrText>
        </w:r>
        <w:r>
          <w:rPr>
            <w:noProof/>
            <w:webHidden/>
          </w:rPr>
        </w:r>
        <w:r>
          <w:rPr>
            <w:noProof/>
            <w:webHidden/>
          </w:rPr>
          <w:fldChar w:fldCharType="separate"/>
        </w:r>
        <w:r>
          <w:rPr>
            <w:noProof/>
            <w:webHidden/>
          </w:rPr>
          <w:t>9</w:t>
        </w:r>
        <w:r>
          <w:rPr>
            <w:noProof/>
            <w:webHidden/>
          </w:rPr>
          <w:fldChar w:fldCharType="end"/>
        </w:r>
      </w:hyperlink>
    </w:p>
    <w:p w14:paraId="3D005DBA" w14:textId="3EC7720B" w:rsidR="00304ECD" w:rsidRDefault="00304ECD">
      <w:pPr>
        <w:pStyle w:val="TOC2"/>
        <w:tabs>
          <w:tab w:val="right" w:leader="dot" w:pos="8630"/>
        </w:tabs>
        <w:ind w:left="480"/>
        <w:rPr>
          <w:noProof/>
        </w:rPr>
      </w:pPr>
      <w:hyperlink w:anchor="_Toc214939482" w:history="1">
        <w:r w:rsidRPr="00B661EA">
          <w:rPr>
            <w:rStyle w:val="af"/>
            <w:noProof/>
          </w:rPr>
          <w:t>Unified Objective</w:t>
        </w:r>
        <w:r>
          <w:rPr>
            <w:noProof/>
            <w:webHidden/>
          </w:rPr>
          <w:tab/>
        </w:r>
        <w:r>
          <w:rPr>
            <w:noProof/>
            <w:webHidden/>
          </w:rPr>
          <w:fldChar w:fldCharType="begin"/>
        </w:r>
        <w:r>
          <w:rPr>
            <w:noProof/>
            <w:webHidden/>
          </w:rPr>
          <w:instrText xml:space="preserve"> PAGEREF _Toc214939482 \h </w:instrText>
        </w:r>
        <w:r>
          <w:rPr>
            <w:noProof/>
            <w:webHidden/>
          </w:rPr>
        </w:r>
        <w:r>
          <w:rPr>
            <w:noProof/>
            <w:webHidden/>
          </w:rPr>
          <w:fldChar w:fldCharType="separate"/>
        </w:r>
        <w:r>
          <w:rPr>
            <w:noProof/>
            <w:webHidden/>
          </w:rPr>
          <w:t>12</w:t>
        </w:r>
        <w:r>
          <w:rPr>
            <w:noProof/>
            <w:webHidden/>
          </w:rPr>
          <w:fldChar w:fldCharType="end"/>
        </w:r>
      </w:hyperlink>
    </w:p>
    <w:p w14:paraId="52187C7D" w14:textId="3024305C" w:rsidR="00304ECD" w:rsidRDefault="00304ECD">
      <w:pPr>
        <w:pStyle w:val="TOC1"/>
        <w:tabs>
          <w:tab w:val="right" w:leader="dot" w:pos="8630"/>
        </w:tabs>
        <w:rPr>
          <w:noProof/>
        </w:rPr>
      </w:pPr>
      <w:hyperlink w:anchor="_Toc214939483" w:history="1">
        <w:r w:rsidRPr="00B661EA">
          <w:rPr>
            <w:rStyle w:val="af"/>
            <w:noProof/>
          </w:rPr>
          <w:t>Methods</w:t>
        </w:r>
        <w:r>
          <w:rPr>
            <w:noProof/>
            <w:webHidden/>
          </w:rPr>
          <w:tab/>
        </w:r>
        <w:r>
          <w:rPr>
            <w:noProof/>
            <w:webHidden/>
          </w:rPr>
          <w:fldChar w:fldCharType="begin"/>
        </w:r>
        <w:r>
          <w:rPr>
            <w:noProof/>
            <w:webHidden/>
          </w:rPr>
          <w:instrText xml:space="preserve"> PAGEREF _Toc214939483 \h </w:instrText>
        </w:r>
        <w:r>
          <w:rPr>
            <w:noProof/>
            <w:webHidden/>
          </w:rPr>
        </w:r>
        <w:r>
          <w:rPr>
            <w:noProof/>
            <w:webHidden/>
          </w:rPr>
          <w:fldChar w:fldCharType="separate"/>
        </w:r>
        <w:r>
          <w:rPr>
            <w:noProof/>
            <w:webHidden/>
          </w:rPr>
          <w:t>12</w:t>
        </w:r>
        <w:r>
          <w:rPr>
            <w:noProof/>
            <w:webHidden/>
          </w:rPr>
          <w:fldChar w:fldCharType="end"/>
        </w:r>
      </w:hyperlink>
    </w:p>
    <w:p w14:paraId="106CB209" w14:textId="3BDB427F" w:rsidR="00304ECD" w:rsidRDefault="00304ECD">
      <w:pPr>
        <w:pStyle w:val="TOC2"/>
        <w:tabs>
          <w:tab w:val="right" w:leader="dot" w:pos="8630"/>
        </w:tabs>
        <w:ind w:left="480"/>
        <w:rPr>
          <w:noProof/>
        </w:rPr>
      </w:pPr>
      <w:hyperlink w:anchor="_Toc214939484" w:history="1">
        <w:r w:rsidRPr="00B661EA">
          <w:rPr>
            <w:rStyle w:val="af"/>
            <w:noProof/>
          </w:rPr>
          <w:t>Motivating Challenges and Methodological Response</w:t>
        </w:r>
        <w:r>
          <w:rPr>
            <w:noProof/>
            <w:webHidden/>
          </w:rPr>
          <w:tab/>
        </w:r>
        <w:r>
          <w:rPr>
            <w:noProof/>
            <w:webHidden/>
          </w:rPr>
          <w:fldChar w:fldCharType="begin"/>
        </w:r>
        <w:r>
          <w:rPr>
            <w:noProof/>
            <w:webHidden/>
          </w:rPr>
          <w:instrText xml:space="preserve"> PAGEREF _Toc214939484 \h </w:instrText>
        </w:r>
        <w:r>
          <w:rPr>
            <w:noProof/>
            <w:webHidden/>
          </w:rPr>
        </w:r>
        <w:r>
          <w:rPr>
            <w:noProof/>
            <w:webHidden/>
          </w:rPr>
          <w:fldChar w:fldCharType="separate"/>
        </w:r>
        <w:r>
          <w:rPr>
            <w:noProof/>
            <w:webHidden/>
          </w:rPr>
          <w:t>12</w:t>
        </w:r>
        <w:r>
          <w:rPr>
            <w:noProof/>
            <w:webHidden/>
          </w:rPr>
          <w:fldChar w:fldCharType="end"/>
        </w:r>
      </w:hyperlink>
    </w:p>
    <w:p w14:paraId="34F6C8F4" w14:textId="4B8434B8" w:rsidR="00304ECD" w:rsidRDefault="00304ECD">
      <w:pPr>
        <w:pStyle w:val="TOC2"/>
        <w:tabs>
          <w:tab w:val="right" w:leader="dot" w:pos="8630"/>
        </w:tabs>
        <w:ind w:left="480"/>
        <w:rPr>
          <w:noProof/>
        </w:rPr>
      </w:pPr>
      <w:hyperlink w:anchor="_Toc214939485" w:history="1">
        <w:r w:rsidRPr="00B661EA">
          <w:rPr>
            <w:rStyle w:val="af"/>
            <w:noProof/>
          </w:rPr>
          <w:t>Foundation Model Architecture</w:t>
        </w:r>
        <w:r>
          <w:rPr>
            <w:noProof/>
            <w:webHidden/>
          </w:rPr>
          <w:tab/>
        </w:r>
        <w:r>
          <w:rPr>
            <w:noProof/>
            <w:webHidden/>
          </w:rPr>
          <w:fldChar w:fldCharType="begin"/>
        </w:r>
        <w:r>
          <w:rPr>
            <w:noProof/>
            <w:webHidden/>
          </w:rPr>
          <w:instrText xml:space="preserve"> PAGEREF _Toc214939485 \h </w:instrText>
        </w:r>
        <w:r>
          <w:rPr>
            <w:noProof/>
            <w:webHidden/>
          </w:rPr>
        </w:r>
        <w:r>
          <w:rPr>
            <w:noProof/>
            <w:webHidden/>
          </w:rPr>
          <w:fldChar w:fldCharType="separate"/>
        </w:r>
        <w:r>
          <w:rPr>
            <w:noProof/>
            <w:webHidden/>
          </w:rPr>
          <w:t>13</w:t>
        </w:r>
        <w:r>
          <w:rPr>
            <w:noProof/>
            <w:webHidden/>
          </w:rPr>
          <w:fldChar w:fldCharType="end"/>
        </w:r>
      </w:hyperlink>
    </w:p>
    <w:p w14:paraId="7A880FA1" w14:textId="2B9609A9" w:rsidR="00304ECD" w:rsidRDefault="00304ECD">
      <w:pPr>
        <w:pStyle w:val="TOC3"/>
        <w:tabs>
          <w:tab w:val="right" w:leader="dot" w:pos="8630"/>
        </w:tabs>
        <w:ind w:left="960"/>
        <w:rPr>
          <w:noProof/>
        </w:rPr>
      </w:pPr>
      <w:hyperlink w:anchor="_Toc214939486" w:history="1">
        <w:r w:rsidRPr="00B661EA">
          <w:rPr>
            <w:rStyle w:val="af"/>
            <w:noProof/>
          </w:rPr>
          <w:t>TabPFN Backbone Details</w:t>
        </w:r>
        <w:r>
          <w:rPr>
            <w:noProof/>
            <w:webHidden/>
          </w:rPr>
          <w:tab/>
        </w:r>
        <w:r>
          <w:rPr>
            <w:noProof/>
            <w:webHidden/>
          </w:rPr>
          <w:fldChar w:fldCharType="begin"/>
        </w:r>
        <w:r>
          <w:rPr>
            <w:noProof/>
            <w:webHidden/>
          </w:rPr>
          <w:instrText xml:space="preserve"> PAGEREF _Toc214939486 \h </w:instrText>
        </w:r>
        <w:r>
          <w:rPr>
            <w:noProof/>
            <w:webHidden/>
          </w:rPr>
        </w:r>
        <w:r>
          <w:rPr>
            <w:noProof/>
            <w:webHidden/>
          </w:rPr>
          <w:fldChar w:fldCharType="separate"/>
        </w:r>
        <w:r>
          <w:rPr>
            <w:noProof/>
            <w:webHidden/>
          </w:rPr>
          <w:t>13</w:t>
        </w:r>
        <w:r>
          <w:rPr>
            <w:noProof/>
            <w:webHidden/>
          </w:rPr>
          <w:fldChar w:fldCharType="end"/>
        </w:r>
      </w:hyperlink>
    </w:p>
    <w:p w14:paraId="50CC8F45" w14:textId="53822298" w:rsidR="00304ECD" w:rsidRDefault="00304ECD">
      <w:pPr>
        <w:pStyle w:val="TOC3"/>
        <w:tabs>
          <w:tab w:val="right" w:leader="dot" w:pos="8630"/>
        </w:tabs>
        <w:ind w:left="960"/>
        <w:rPr>
          <w:noProof/>
        </w:rPr>
      </w:pPr>
      <w:hyperlink w:anchor="_Toc214939487" w:history="1">
        <w:r w:rsidRPr="00B661EA">
          <w:rPr>
            <w:rStyle w:val="af"/>
            <w:noProof/>
          </w:rPr>
          <w:t>Synthetic Task Generation</w:t>
        </w:r>
        <w:r>
          <w:rPr>
            <w:noProof/>
            <w:webHidden/>
          </w:rPr>
          <w:tab/>
        </w:r>
        <w:r>
          <w:rPr>
            <w:noProof/>
            <w:webHidden/>
          </w:rPr>
          <w:fldChar w:fldCharType="begin"/>
        </w:r>
        <w:r>
          <w:rPr>
            <w:noProof/>
            <w:webHidden/>
          </w:rPr>
          <w:instrText xml:space="preserve"> PAGEREF _Toc214939487 \h </w:instrText>
        </w:r>
        <w:r>
          <w:rPr>
            <w:noProof/>
            <w:webHidden/>
          </w:rPr>
        </w:r>
        <w:r>
          <w:rPr>
            <w:noProof/>
            <w:webHidden/>
          </w:rPr>
          <w:fldChar w:fldCharType="separate"/>
        </w:r>
        <w:r>
          <w:rPr>
            <w:noProof/>
            <w:webHidden/>
          </w:rPr>
          <w:t>13</w:t>
        </w:r>
        <w:r>
          <w:rPr>
            <w:noProof/>
            <w:webHidden/>
          </w:rPr>
          <w:fldChar w:fldCharType="end"/>
        </w:r>
      </w:hyperlink>
    </w:p>
    <w:p w14:paraId="52A1269A" w14:textId="4407B64B" w:rsidR="00304ECD" w:rsidRDefault="00304ECD">
      <w:pPr>
        <w:pStyle w:val="TOC2"/>
        <w:tabs>
          <w:tab w:val="right" w:leader="dot" w:pos="8630"/>
        </w:tabs>
        <w:ind w:left="480"/>
        <w:rPr>
          <w:noProof/>
        </w:rPr>
      </w:pPr>
      <w:hyperlink w:anchor="_Toc214939488" w:history="1">
        <w:r w:rsidRPr="00B661EA">
          <w:rPr>
            <w:rStyle w:val="af"/>
            <w:noProof/>
          </w:rPr>
          <w:t>Feature Selection and Preprocessing</w:t>
        </w:r>
        <w:r>
          <w:rPr>
            <w:noProof/>
            <w:webHidden/>
          </w:rPr>
          <w:tab/>
        </w:r>
        <w:r>
          <w:rPr>
            <w:noProof/>
            <w:webHidden/>
          </w:rPr>
          <w:fldChar w:fldCharType="begin"/>
        </w:r>
        <w:r>
          <w:rPr>
            <w:noProof/>
            <w:webHidden/>
          </w:rPr>
          <w:instrText xml:space="preserve"> PAGEREF _Toc214939488 \h </w:instrText>
        </w:r>
        <w:r>
          <w:rPr>
            <w:noProof/>
            <w:webHidden/>
          </w:rPr>
        </w:r>
        <w:r>
          <w:rPr>
            <w:noProof/>
            <w:webHidden/>
          </w:rPr>
          <w:fldChar w:fldCharType="separate"/>
        </w:r>
        <w:r>
          <w:rPr>
            <w:noProof/>
            <w:webHidden/>
          </w:rPr>
          <w:t>13</w:t>
        </w:r>
        <w:r>
          <w:rPr>
            <w:noProof/>
            <w:webHidden/>
          </w:rPr>
          <w:fldChar w:fldCharType="end"/>
        </w:r>
      </w:hyperlink>
    </w:p>
    <w:p w14:paraId="0B52C84D" w14:textId="6AA3AA4D" w:rsidR="00304ECD" w:rsidRDefault="00304ECD">
      <w:pPr>
        <w:pStyle w:val="TOC3"/>
        <w:tabs>
          <w:tab w:val="right" w:leader="dot" w:pos="8630"/>
        </w:tabs>
        <w:ind w:left="960"/>
        <w:rPr>
          <w:noProof/>
        </w:rPr>
      </w:pPr>
      <w:hyperlink w:anchor="_Toc214939489" w:history="1">
        <w:r w:rsidRPr="00B661EA">
          <w:rPr>
            <w:rStyle w:val="af"/>
            <w:noProof/>
          </w:rPr>
          <w:t>Cross-Domain RFE Algorithm</w:t>
        </w:r>
        <w:r>
          <w:rPr>
            <w:noProof/>
            <w:webHidden/>
          </w:rPr>
          <w:tab/>
        </w:r>
        <w:r>
          <w:rPr>
            <w:noProof/>
            <w:webHidden/>
          </w:rPr>
          <w:fldChar w:fldCharType="begin"/>
        </w:r>
        <w:r>
          <w:rPr>
            <w:noProof/>
            <w:webHidden/>
          </w:rPr>
          <w:instrText xml:space="preserve"> PAGEREF _Toc214939489 \h </w:instrText>
        </w:r>
        <w:r>
          <w:rPr>
            <w:noProof/>
            <w:webHidden/>
          </w:rPr>
        </w:r>
        <w:r>
          <w:rPr>
            <w:noProof/>
            <w:webHidden/>
          </w:rPr>
          <w:fldChar w:fldCharType="separate"/>
        </w:r>
        <w:r>
          <w:rPr>
            <w:noProof/>
            <w:webHidden/>
          </w:rPr>
          <w:t>13</w:t>
        </w:r>
        <w:r>
          <w:rPr>
            <w:noProof/>
            <w:webHidden/>
          </w:rPr>
          <w:fldChar w:fldCharType="end"/>
        </w:r>
      </w:hyperlink>
    </w:p>
    <w:p w14:paraId="01DAEA19" w14:textId="7A8242C7" w:rsidR="00304ECD" w:rsidRDefault="00304ECD">
      <w:pPr>
        <w:pStyle w:val="TOC3"/>
        <w:tabs>
          <w:tab w:val="right" w:leader="dot" w:pos="8630"/>
        </w:tabs>
        <w:ind w:left="960"/>
        <w:rPr>
          <w:noProof/>
        </w:rPr>
      </w:pPr>
      <w:hyperlink w:anchor="_Toc214939490" w:history="1">
        <w:r w:rsidRPr="00B661EA">
          <w:rPr>
            <w:rStyle w:val="af"/>
            <w:noProof/>
          </w:rPr>
          <w:t>Multi-Branch Preprocessing Pipeline</w:t>
        </w:r>
        <w:r>
          <w:rPr>
            <w:noProof/>
            <w:webHidden/>
          </w:rPr>
          <w:tab/>
        </w:r>
        <w:r>
          <w:rPr>
            <w:noProof/>
            <w:webHidden/>
          </w:rPr>
          <w:fldChar w:fldCharType="begin"/>
        </w:r>
        <w:r>
          <w:rPr>
            <w:noProof/>
            <w:webHidden/>
          </w:rPr>
          <w:instrText xml:space="preserve"> PAGEREF _Toc214939490 \h </w:instrText>
        </w:r>
        <w:r>
          <w:rPr>
            <w:noProof/>
            <w:webHidden/>
          </w:rPr>
        </w:r>
        <w:r>
          <w:rPr>
            <w:noProof/>
            <w:webHidden/>
          </w:rPr>
          <w:fldChar w:fldCharType="separate"/>
        </w:r>
        <w:r>
          <w:rPr>
            <w:noProof/>
            <w:webHidden/>
          </w:rPr>
          <w:t>13</w:t>
        </w:r>
        <w:r>
          <w:rPr>
            <w:noProof/>
            <w:webHidden/>
          </w:rPr>
          <w:fldChar w:fldCharType="end"/>
        </w:r>
      </w:hyperlink>
    </w:p>
    <w:p w14:paraId="4653766E" w14:textId="6D3EBCDD" w:rsidR="00304ECD" w:rsidRDefault="00304ECD">
      <w:pPr>
        <w:pStyle w:val="TOC2"/>
        <w:tabs>
          <w:tab w:val="right" w:leader="dot" w:pos="8630"/>
        </w:tabs>
        <w:ind w:left="480"/>
        <w:rPr>
          <w:noProof/>
        </w:rPr>
      </w:pPr>
      <w:hyperlink w:anchor="_Toc214939491" w:history="1">
        <w:r w:rsidRPr="00B661EA">
          <w:rPr>
            <w:rStyle w:val="af"/>
            <w:noProof/>
          </w:rPr>
          <w:t>Domain Adaptation Implementation</w:t>
        </w:r>
        <w:r>
          <w:rPr>
            <w:noProof/>
            <w:webHidden/>
          </w:rPr>
          <w:tab/>
        </w:r>
        <w:r>
          <w:rPr>
            <w:noProof/>
            <w:webHidden/>
          </w:rPr>
          <w:fldChar w:fldCharType="begin"/>
        </w:r>
        <w:r>
          <w:rPr>
            <w:noProof/>
            <w:webHidden/>
          </w:rPr>
          <w:instrText xml:space="preserve"> PAGEREF _Toc214939491 \h </w:instrText>
        </w:r>
        <w:r>
          <w:rPr>
            <w:noProof/>
            <w:webHidden/>
          </w:rPr>
        </w:r>
        <w:r>
          <w:rPr>
            <w:noProof/>
            <w:webHidden/>
          </w:rPr>
          <w:fldChar w:fldCharType="separate"/>
        </w:r>
        <w:r>
          <w:rPr>
            <w:noProof/>
            <w:webHidden/>
          </w:rPr>
          <w:t>14</w:t>
        </w:r>
        <w:r>
          <w:rPr>
            <w:noProof/>
            <w:webHidden/>
          </w:rPr>
          <w:fldChar w:fldCharType="end"/>
        </w:r>
      </w:hyperlink>
    </w:p>
    <w:p w14:paraId="0AF34065" w14:textId="2E39D0F8" w:rsidR="00304ECD" w:rsidRDefault="00304ECD">
      <w:pPr>
        <w:pStyle w:val="TOC3"/>
        <w:tabs>
          <w:tab w:val="right" w:leader="dot" w:pos="8630"/>
        </w:tabs>
        <w:ind w:left="960"/>
        <w:rPr>
          <w:noProof/>
        </w:rPr>
      </w:pPr>
      <w:hyperlink w:anchor="_Toc214939492" w:history="1">
        <w:r w:rsidRPr="00B661EA">
          <w:rPr>
            <w:rStyle w:val="af"/>
            <w:noProof/>
          </w:rPr>
          <w:t>TCA Optimization</w:t>
        </w:r>
        <w:r>
          <w:rPr>
            <w:noProof/>
            <w:webHidden/>
          </w:rPr>
          <w:tab/>
        </w:r>
        <w:r>
          <w:rPr>
            <w:noProof/>
            <w:webHidden/>
          </w:rPr>
          <w:fldChar w:fldCharType="begin"/>
        </w:r>
        <w:r>
          <w:rPr>
            <w:noProof/>
            <w:webHidden/>
          </w:rPr>
          <w:instrText xml:space="preserve"> PAGEREF _Toc214939492 \h </w:instrText>
        </w:r>
        <w:r>
          <w:rPr>
            <w:noProof/>
            <w:webHidden/>
          </w:rPr>
        </w:r>
        <w:r>
          <w:rPr>
            <w:noProof/>
            <w:webHidden/>
          </w:rPr>
          <w:fldChar w:fldCharType="separate"/>
        </w:r>
        <w:r>
          <w:rPr>
            <w:noProof/>
            <w:webHidden/>
          </w:rPr>
          <w:t>14</w:t>
        </w:r>
        <w:r>
          <w:rPr>
            <w:noProof/>
            <w:webHidden/>
          </w:rPr>
          <w:fldChar w:fldCharType="end"/>
        </w:r>
      </w:hyperlink>
    </w:p>
    <w:p w14:paraId="30FA126C" w14:textId="10E1FF19" w:rsidR="00304ECD" w:rsidRDefault="00304ECD">
      <w:pPr>
        <w:pStyle w:val="TOC2"/>
        <w:tabs>
          <w:tab w:val="right" w:leader="dot" w:pos="8630"/>
        </w:tabs>
        <w:ind w:left="480"/>
        <w:rPr>
          <w:noProof/>
        </w:rPr>
      </w:pPr>
      <w:hyperlink w:anchor="_Toc214939493" w:history="1">
        <w:r w:rsidRPr="00B661EA">
          <w:rPr>
            <w:rStyle w:val="af"/>
            <w:noProof/>
          </w:rPr>
          <w:t>Ethics Statement and Data Collection</w:t>
        </w:r>
        <w:r>
          <w:rPr>
            <w:noProof/>
            <w:webHidden/>
          </w:rPr>
          <w:tab/>
        </w:r>
        <w:r>
          <w:rPr>
            <w:noProof/>
            <w:webHidden/>
          </w:rPr>
          <w:fldChar w:fldCharType="begin"/>
        </w:r>
        <w:r>
          <w:rPr>
            <w:noProof/>
            <w:webHidden/>
          </w:rPr>
          <w:instrText xml:space="preserve"> PAGEREF _Toc214939493 \h </w:instrText>
        </w:r>
        <w:r>
          <w:rPr>
            <w:noProof/>
            <w:webHidden/>
          </w:rPr>
        </w:r>
        <w:r>
          <w:rPr>
            <w:noProof/>
            <w:webHidden/>
          </w:rPr>
          <w:fldChar w:fldCharType="separate"/>
        </w:r>
        <w:r>
          <w:rPr>
            <w:noProof/>
            <w:webHidden/>
          </w:rPr>
          <w:t>14</w:t>
        </w:r>
        <w:r>
          <w:rPr>
            <w:noProof/>
            <w:webHidden/>
          </w:rPr>
          <w:fldChar w:fldCharType="end"/>
        </w:r>
      </w:hyperlink>
    </w:p>
    <w:p w14:paraId="04A187C3" w14:textId="3C546547" w:rsidR="00304ECD" w:rsidRDefault="00304ECD">
      <w:pPr>
        <w:pStyle w:val="TOC3"/>
        <w:tabs>
          <w:tab w:val="right" w:leader="dot" w:pos="8630"/>
        </w:tabs>
        <w:ind w:left="960"/>
        <w:rPr>
          <w:noProof/>
        </w:rPr>
      </w:pPr>
      <w:hyperlink w:anchor="_Toc214939494" w:history="1">
        <w:r w:rsidRPr="00B661EA">
          <w:rPr>
            <w:rStyle w:val="af"/>
            <w:noProof/>
          </w:rPr>
          <w:t>Data Variables and Measurements</w:t>
        </w:r>
        <w:r>
          <w:rPr>
            <w:noProof/>
            <w:webHidden/>
          </w:rPr>
          <w:tab/>
        </w:r>
        <w:r>
          <w:rPr>
            <w:noProof/>
            <w:webHidden/>
          </w:rPr>
          <w:fldChar w:fldCharType="begin"/>
        </w:r>
        <w:r>
          <w:rPr>
            <w:noProof/>
            <w:webHidden/>
          </w:rPr>
          <w:instrText xml:space="preserve"> PAGEREF _Toc214939494 \h </w:instrText>
        </w:r>
        <w:r>
          <w:rPr>
            <w:noProof/>
            <w:webHidden/>
          </w:rPr>
        </w:r>
        <w:r>
          <w:rPr>
            <w:noProof/>
            <w:webHidden/>
          </w:rPr>
          <w:fldChar w:fldCharType="separate"/>
        </w:r>
        <w:r>
          <w:rPr>
            <w:noProof/>
            <w:webHidden/>
          </w:rPr>
          <w:t>14</w:t>
        </w:r>
        <w:r>
          <w:rPr>
            <w:noProof/>
            <w:webHidden/>
          </w:rPr>
          <w:fldChar w:fldCharType="end"/>
        </w:r>
      </w:hyperlink>
    </w:p>
    <w:p w14:paraId="43E2051A" w14:textId="763B1817" w:rsidR="00304ECD" w:rsidRDefault="00304ECD">
      <w:pPr>
        <w:pStyle w:val="TOC2"/>
        <w:tabs>
          <w:tab w:val="right" w:leader="dot" w:pos="8630"/>
        </w:tabs>
        <w:ind w:left="480"/>
        <w:rPr>
          <w:noProof/>
        </w:rPr>
      </w:pPr>
      <w:hyperlink w:anchor="_Toc214939495" w:history="1">
        <w:r w:rsidRPr="00B661EA">
          <w:rPr>
            <w:rStyle w:val="af"/>
            <w:noProof/>
          </w:rPr>
          <w:t>Experimental Procedures</w:t>
        </w:r>
        <w:r>
          <w:rPr>
            <w:noProof/>
            <w:webHidden/>
          </w:rPr>
          <w:tab/>
        </w:r>
        <w:r>
          <w:rPr>
            <w:noProof/>
            <w:webHidden/>
          </w:rPr>
          <w:fldChar w:fldCharType="begin"/>
        </w:r>
        <w:r>
          <w:rPr>
            <w:noProof/>
            <w:webHidden/>
          </w:rPr>
          <w:instrText xml:space="preserve"> PAGEREF _Toc214939495 \h </w:instrText>
        </w:r>
        <w:r>
          <w:rPr>
            <w:noProof/>
            <w:webHidden/>
          </w:rPr>
        </w:r>
        <w:r>
          <w:rPr>
            <w:noProof/>
            <w:webHidden/>
          </w:rPr>
          <w:fldChar w:fldCharType="separate"/>
        </w:r>
        <w:r>
          <w:rPr>
            <w:noProof/>
            <w:webHidden/>
          </w:rPr>
          <w:t>15</w:t>
        </w:r>
        <w:r>
          <w:rPr>
            <w:noProof/>
            <w:webHidden/>
          </w:rPr>
          <w:fldChar w:fldCharType="end"/>
        </w:r>
      </w:hyperlink>
    </w:p>
    <w:p w14:paraId="50EA984D" w14:textId="3DC985D6" w:rsidR="00304ECD" w:rsidRDefault="00304ECD">
      <w:pPr>
        <w:pStyle w:val="TOC3"/>
        <w:tabs>
          <w:tab w:val="right" w:leader="dot" w:pos="8630"/>
        </w:tabs>
        <w:ind w:left="960"/>
        <w:rPr>
          <w:noProof/>
        </w:rPr>
      </w:pPr>
      <w:hyperlink w:anchor="_Toc214939496" w:history="1">
        <w:r w:rsidRPr="00B661EA">
          <w:rPr>
            <w:rStyle w:val="af"/>
            <w:noProof/>
          </w:rPr>
          <w:t>Cross-Validation Protocol</w:t>
        </w:r>
        <w:r>
          <w:rPr>
            <w:noProof/>
            <w:webHidden/>
          </w:rPr>
          <w:tab/>
        </w:r>
        <w:r>
          <w:rPr>
            <w:noProof/>
            <w:webHidden/>
          </w:rPr>
          <w:fldChar w:fldCharType="begin"/>
        </w:r>
        <w:r>
          <w:rPr>
            <w:noProof/>
            <w:webHidden/>
          </w:rPr>
          <w:instrText xml:space="preserve"> PAGEREF _Toc214939496 \h </w:instrText>
        </w:r>
        <w:r>
          <w:rPr>
            <w:noProof/>
            <w:webHidden/>
          </w:rPr>
        </w:r>
        <w:r>
          <w:rPr>
            <w:noProof/>
            <w:webHidden/>
          </w:rPr>
          <w:fldChar w:fldCharType="separate"/>
        </w:r>
        <w:r>
          <w:rPr>
            <w:noProof/>
            <w:webHidden/>
          </w:rPr>
          <w:t>15</w:t>
        </w:r>
        <w:r>
          <w:rPr>
            <w:noProof/>
            <w:webHidden/>
          </w:rPr>
          <w:fldChar w:fldCharType="end"/>
        </w:r>
      </w:hyperlink>
    </w:p>
    <w:p w14:paraId="52E1A45A" w14:textId="287F2BCC" w:rsidR="00304ECD" w:rsidRDefault="00304ECD">
      <w:pPr>
        <w:pStyle w:val="TOC3"/>
        <w:tabs>
          <w:tab w:val="right" w:leader="dot" w:pos="8630"/>
        </w:tabs>
        <w:ind w:left="960"/>
        <w:rPr>
          <w:noProof/>
        </w:rPr>
      </w:pPr>
      <w:hyperlink w:anchor="_Toc214939497" w:history="1">
        <w:r w:rsidRPr="00B661EA">
          <w:rPr>
            <w:rStyle w:val="af"/>
            <w:noProof/>
          </w:rPr>
          <w:t>Baseline Methods</w:t>
        </w:r>
        <w:r>
          <w:rPr>
            <w:noProof/>
            <w:webHidden/>
          </w:rPr>
          <w:tab/>
        </w:r>
        <w:r>
          <w:rPr>
            <w:noProof/>
            <w:webHidden/>
          </w:rPr>
          <w:fldChar w:fldCharType="begin"/>
        </w:r>
        <w:r>
          <w:rPr>
            <w:noProof/>
            <w:webHidden/>
          </w:rPr>
          <w:instrText xml:space="preserve"> PAGEREF _Toc214939497 \h </w:instrText>
        </w:r>
        <w:r>
          <w:rPr>
            <w:noProof/>
            <w:webHidden/>
          </w:rPr>
        </w:r>
        <w:r>
          <w:rPr>
            <w:noProof/>
            <w:webHidden/>
          </w:rPr>
          <w:fldChar w:fldCharType="separate"/>
        </w:r>
        <w:r>
          <w:rPr>
            <w:noProof/>
            <w:webHidden/>
          </w:rPr>
          <w:t>15</w:t>
        </w:r>
        <w:r>
          <w:rPr>
            <w:noProof/>
            <w:webHidden/>
          </w:rPr>
          <w:fldChar w:fldCharType="end"/>
        </w:r>
      </w:hyperlink>
    </w:p>
    <w:p w14:paraId="356AFD7E" w14:textId="2D09B9A0" w:rsidR="00304ECD" w:rsidRDefault="00304ECD">
      <w:pPr>
        <w:pStyle w:val="TOC1"/>
        <w:tabs>
          <w:tab w:val="right" w:leader="dot" w:pos="8630"/>
        </w:tabs>
        <w:rPr>
          <w:noProof/>
        </w:rPr>
      </w:pPr>
      <w:hyperlink w:anchor="_Toc214939498" w:history="1">
        <w:r w:rsidRPr="00B661EA">
          <w:rPr>
            <w:rStyle w:val="af"/>
            <w:noProof/>
          </w:rPr>
          <w:t>Analysis</w:t>
        </w:r>
        <w:r>
          <w:rPr>
            <w:noProof/>
            <w:webHidden/>
          </w:rPr>
          <w:tab/>
        </w:r>
        <w:r>
          <w:rPr>
            <w:noProof/>
            <w:webHidden/>
          </w:rPr>
          <w:fldChar w:fldCharType="begin"/>
        </w:r>
        <w:r>
          <w:rPr>
            <w:noProof/>
            <w:webHidden/>
          </w:rPr>
          <w:instrText xml:space="preserve"> PAGEREF _Toc214939498 \h </w:instrText>
        </w:r>
        <w:r>
          <w:rPr>
            <w:noProof/>
            <w:webHidden/>
          </w:rPr>
        </w:r>
        <w:r>
          <w:rPr>
            <w:noProof/>
            <w:webHidden/>
          </w:rPr>
          <w:fldChar w:fldCharType="separate"/>
        </w:r>
        <w:r>
          <w:rPr>
            <w:noProof/>
            <w:webHidden/>
          </w:rPr>
          <w:t>15</w:t>
        </w:r>
        <w:r>
          <w:rPr>
            <w:noProof/>
            <w:webHidden/>
          </w:rPr>
          <w:fldChar w:fldCharType="end"/>
        </w:r>
      </w:hyperlink>
    </w:p>
    <w:p w14:paraId="648B9AB8" w14:textId="7FF93EF3" w:rsidR="00304ECD" w:rsidRDefault="00304ECD">
      <w:pPr>
        <w:pStyle w:val="TOC2"/>
        <w:tabs>
          <w:tab w:val="right" w:leader="dot" w:pos="8630"/>
        </w:tabs>
        <w:ind w:left="480"/>
        <w:rPr>
          <w:noProof/>
        </w:rPr>
      </w:pPr>
      <w:hyperlink w:anchor="_Toc214939499" w:history="1">
        <w:r w:rsidRPr="00B661EA">
          <w:rPr>
            <w:rStyle w:val="af"/>
            <w:noProof/>
          </w:rPr>
          <w:t>In-Context Learning for Small-Sample Robustness</w:t>
        </w:r>
        <w:r>
          <w:rPr>
            <w:noProof/>
            <w:webHidden/>
          </w:rPr>
          <w:tab/>
        </w:r>
        <w:r>
          <w:rPr>
            <w:noProof/>
            <w:webHidden/>
          </w:rPr>
          <w:fldChar w:fldCharType="begin"/>
        </w:r>
        <w:r>
          <w:rPr>
            <w:noProof/>
            <w:webHidden/>
          </w:rPr>
          <w:instrText xml:space="preserve"> PAGEREF _Toc214939499 \h </w:instrText>
        </w:r>
        <w:r>
          <w:rPr>
            <w:noProof/>
            <w:webHidden/>
          </w:rPr>
        </w:r>
        <w:r>
          <w:rPr>
            <w:noProof/>
            <w:webHidden/>
          </w:rPr>
          <w:fldChar w:fldCharType="separate"/>
        </w:r>
        <w:r>
          <w:rPr>
            <w:noProof/>
            <w:webHidden/>
          </w:rPr>
          <w:t>15</w:t>
        </w:r>
        <w:r>
          <w:rPr>
            <w:noProof/>
            <w:webHidden/>
          </w:rPr>
          <w:fldChar w:fldCharType="end"/>
        </w:r>
      </w:hyperlink>
    </w:p>
    <w:p w14:paraId="5ABB7DC7" w14:textId="12DE9E12" w:rsidR="00304ECD" w:rsidRDefault="00304ECD">
      <w:pPr>
        <w:pStyle w:val="TOC2"/>
        <w:tabs>
          <w:tab w:val="right" w:leader="dot" w:pos="8630"/>
        </w:tabs>
        <w:ind w:left="480"/>
        <w:rPr>
          <w:noProof/>
        </w:rPr>
      </w:pPr>
      <w:hyperlink w:anchor="_Toc214939500" w:history="1">
        <w:r w:rsidRPr="00B661EA">
          <w:rPr>
            <w:rStyle w:val="af"/>
            <w:noProof/>
          </w:rPr>
          <w:t>Mitigating Distributional Heterogeneity</w:t>
        </w:r>
        <w:r>
          <w:rPr>
            <w:noProof/>
            <w:webHidden/>
          </w:rPr>
          <w:tab/>
        </w:r>
        <w:r>
          <w:rPr>
            <w:noProof/>
            <w:webHidden/>
          </w:rPr>
          <w:fldChar w:fldCharType="begin"/>
        </w:r>
        <w:r>
          <w:rPr>
            <w:noProof/>
            <w:webHidden/>
          </w:rPr>
          <w:instrText xml:space="preserve"> PAGEREF _Toc214939500 \h </w:instrText>
        </w:r>
        <w:r>
          <w:rPr>
            <w:noProof/>
            <w:webHidden/>
          </w:rPr>
        </w:r>
        <w:r>
          <w:rPr>
            <w:noProof/>
            <w:webHidden/>
          </w:rPr>
          <w:fldChar w:fldCharType="separate"/>
        </w:r>
        <w:r>
          <w:rPr>
            <w:noProof/>
            <w:webHidden/>
          </w:rPr>
          <w:t>16</w:t>
        </w:r>
        <w:r>
          <w:rPr>
            <w:noProof/>
            <w:webHidden/>
          </w:rPr>
          <w:fldChar w:fldCharType="end"/>
        </w:r>
      </w:hyperlink>
    </w:p>
    <w:p w14:paraId="65D51B93" w14:textId="45BDECB0" w:rsidR="00304ECD" w:rsidRDefault="00304ECD">
      <w:pPr>
        <w:pStyle w:val="TOC2"/>
        <w:tabs>
          <w:tab w:val="right" w:leader="dot" w:pos="8630"/>
        </w:tabs>
        <w:ind w:left="480"/>
        <w:rPr>
          <w:noProof/>
        </w:rPr>
      </w:pPr>
      <w:hyperlink w:anchor="_Toc214939501" w:history="1">
        <w:r w:rsidRPr="00B661EA">
          <w:rPr>
            <w:rStyle w:val="af"/>
            <w:noProof/>
          </w:rPr>
          <w:t>Addressing Feature Inconsistency</w:t>
        </w:r>
        <w:r>
          <w:rPr>
            <w:noProof/>
            <w:webHidden/>
          </w:rPr>
          <w:tab/>
        </w:r>
        <w:r>
          <w:rPr>
            <w:noProof/>
            <w:webHidden/>
          </w:rPr>
          <w:fldChar w:fldCharType="begin"/>
        </w:r>
        <w:r>
          <w:rPr>
            <w:noProof/>
            <w:webHidden/>
          </w:rPr>
          <w:instrText xml:space="preserve"> PAGEREF _Toc214939501 \h </w:instrText>
        </w:r>
        <w:r>
          <w:rPr>
            <w:noProof/>
            <w:webHidden/>
          </w:rPr>
        </w:r>
        <w:r>
          <w:rPr>
            <w:noProof/>
            <w:webHidden/>
          </w:rPr>
          <w:fldChar w:fldCharType="separate"/>
        </w:r>
        <w:r>
          <w:rPr>
            <w:noProof/>
            <w:webHidden/>
          </w:rPr>
          <w:t>17</w:t>
        </w:r>
        <w:r>
          <w:rPr>
            <w:noProof/>
            <w:webHidden/>
          </w:rPr>
          <w:fldChar w:fldCharType="end"/>
        </w:r>
      </w:hyperlink>
    </w:p>
    <w:p w14:paraId="3B8FBFE7" w14:textId="55F8EA6C" w:rsidR="00304ECD" w:rsidRDefault="00304ECD">
      <w:pPr>
        <w:pStyle w:val="TOC2"/>
        <w:tabs>
          <w:tab w:val="right" w:leader="dot" w:pos="8630"/>
        </w:tabs>
        <w:ind w:left="480"/>
        <w:rPr>
          <w:noProof/>
        </w:rPr>
      </w:pPr>
      <w:hyperlink w:anchor="_Toc214939502" w:history="1">
        <w:r w:rsidRPr="00B661EA">
          <w:rPr>
            <w:rStyle w:val="af"/>
            <w:noProof/>
          </w:rPr>
          <w:t>Latent Space Alignment for Covariate Shift</w:t>
        </w:r>
        <w:r>
          <w:rPr>
            <w:noProof/>
            <w:webHidden/>
          </w:rPr>
          <w:tab/>
        </w:r>
        <w:r>
          <w:rPr>
            <w:noProof/>
            <w:webHidden/>
          </w:rPr>
          <w:fldChar w:fldCharType="begin"/>
        </w:r>
        <w:r>
          <w:rPr>
            <w:noProof/>
            <w:webHidden/>
          </w:rPr>
          <w:instrText xml:space="preserve"> PAGEREF _Toc214939502 \h </w:instrText>
        </w:r>
        <w:r>
          <w:rPr>
            <w:noProof/>
            <w:webHidden/>
          </w:rPr>
        </w:r>
        <w:r>
          <w:rPr>
            <w:noProof/>
            <w:webHidden/>
          </w:rPr>
          <w:fldChar w:fldCharType="separate"/>
        </w:r>
        <w:r>
          <w:rPr>
            <w:noProof/>
            <w:webHidden/>
          </w:rPr>
          <w:t>18</w:t>
        </w:r>
        <w:r>
          <w:rPr>
            <w:noProof/>
            <w:webHidden/>
          </w:rPr>
          <w:fldChar w:fldCharType="end"/>
        </w:r>
      </w:hyperlink>
    </w:p>
    <w:p w14:paraId="14C1D12B" w14:textId="2145D101" w:rsidR="00304ECD" w:rsidRDefault="00304ECD">
      <w:pPr>
        <w:pStyle w:val="TOC2"/>
        <w:tabs>
          <w:tab w:val="right" w:leader="dot" w:pos="8630"/>
        </w:tabs>
        <w:ind w:left="480"/>
        <w:rPr>
          <w:noProof/>
        </w:rPr>
      </w:pPr>
      <w:hyperlink w:anchor="_Toc214939503" w:history="1">
        <w:r w:rsidRPr="00B661EA">
          <w:rPr>
            <w:rStyle w:val="af"/>
            <w:noProof/>
          </w:rPr>
          <w:t>Stabilizing Predictions with Ensemble Aggregation</w:t>
        </w:r>
        <w:r>
          <w:rPr>
            <w:noProof/>
            <w:webHidden/>
          </w:rPr>
          <w:tab/>
        </w:r>
        <w:r>
          <w:rPr>
            <w:noProof/>
            <w:webHidden/>
          </w:rPr>
          <w:fldChar w:fldCharType="begin"/>
        </w:r>
        <w:r>
          <w:rPr>
            <w:noProof/>
            <w:webHidden/>
          </w:rPr>
          <w:instrText xml:space="preserve"> PAGEREF _Toc214939503 \h </w:instrText>
        </w:r>
        <w:r>
          <w:rPr>
            <w:noProof/>
            <w:webHidden/>
          </w:rPr>
        </w:r>
        <w:r>
          <w:rPr>
            <w:noProof/>
            <w:webHidden/>
          </w:rPr>
          <w:fldChar w:fldCharType="separate"/>
        </w:r>
        <w:r>
          <w:rPr>
            <w:noProof/>
            <w:webHidden/>
          </w:rPr>
          <w:t>19</w:t>
        </w:r>
        <w:r>
          <w:rPr>
            <w:noProof/>
            <w:webHidden/>
          </w:rPr>
          <w:fldChar w:fldCharType="end"/>
        </w:r>
      </w:hyperlink>
    </w:p>
    <w:p w14:paraId="6A8226B3" w14:textId="747ED17E" w:rsidR="00304ECD" w:rsidRDefault="00304ECD">
      <w:pPr>
        <w:pStyle w:val="TOC2"/>
        <w:tabs>
          <w:tab w:val="right" w:leader="dot" w:pos="8630"/>
        </w:tabs>
        <w:ind w:left="480"/>
        <w:rPr>
          <w:noProof/>
        </w:rPr>
      </w:pPr>
      <w:hyperlink w:anchor="_Toc214939504" w:history="1">
        <w:r w:rsidRPr="00B661EA">
          <w:rPr>
            <w:rStyle w:val="af"/>
            <w:noProof/>
          </w:rPr>
          <w:t>Why PANDA Outperforms Baselines</w:t>
        </w:r>
        <w:r>
          <w:rPr>
            <w:noProof/>
            <w:webHidden/>
          </w:rPr>
          <w:tab/>
        </w:r>
        <w:r>
          <w:rPr>
            <w:noProof/>
            <w:webHidden/>
          </w:rPr>
          <w:fldChar w:fldCharType="begin"/>
        </w:r>
        <w:r>
          <w:rPr>
            <w:noProof/>
            <w:webHidden/>
          </w:rPr>
          <w:instrText xml:space="preserve"> PAGEREF _Toc214939504 \h </w:instrText>
        </w:r>
        <w:r>
          <w:rPr>
            <w:noProof/>
            <w:webHidden/>
          </w:rPr>
        </w:r>
        <w:r>
          <w:rPr>
            <w:noProof/>
            <w:webHidden/>
          </w:rPr>
          <w:fldChar w:fldCharType="separate"/>
        </w:r>
        <w:r>
          <w:rPr>
            <w:noProof/>
            <w:webHidden/>
          </w:rPr>
          <w:t>19</w:t>
        </w:r>
        <w:r>
          <w:rPr>
            <w:noProof/>
            <w:webHidden/>
          </w:rPr>
          <w:fldChar w:fldCharType="end"/>
        </w:r>
      </w:hyperlink>
    </w:p>
    <w:p w14:paraId="1E139731" w14:textId="3925D1E5" w:rsidR="00304ECD" w:rsidRDefault="00304ECD">
      <w:pPr>
        <w:pStyle w:val="TOC1"/>
        <w:tabs>
          <w:tab w:val="right" w:leader="dot" w:pos="8630"/>
        </w:tabs>
        <w:rPr>
          <w:noProof/>
        </w:rPr>
      </w:pPr>
      <w:hyperlink w:anchor="_Toc214939505" w:history="1">
        <w:r w:rsidRPr="00B661EA">
          <w:rPr>
            <w:rStyle w:val="af"/>
            <w:noProof/>
          </w:rPr>
          <w:t>Evaluation</w:t>
        </w:r>
        <w:r>
          <w:rPr>
            <w:noProof/>
            <w:webHidden/>
          </w:rPr>
          <w:tab/>
        </w:r>
        <w:r>
          <w:rPr>
            <w:noProof/>
            <w:webHidden/>
          </w:rPr>
          <w:fldChar w:fldCharType="begin"/>
        </w:r>
        <w:r>
          <w:rPr>
            <w:noProof/>
            <w:webHidden/>
          </w:rPr>
          <w:instrText xml:space="preserve"> PAGEREF _Toc214939505 \h </w:instrText>
        </w:r>
        <w:r>
          <w:rPr>
            <w:noProof/>
            <w:webHidden/>
          </w:rPr>
        </w:r>
        <w:r>
          <w:rPr>
            <w:noProof/>
            <w:webHidden/>
          </w:rPr>
          <w:fldChar w:fldCharType="separate"/>
        </w:r>
        <w:r>
          <w:rPr>
            <w:noProof/>
            <w:webHidden/>
          </w:rPr>
          <w:t>20</w:t>
        </w:r>
        <w:r>
          <w:rPr>
            <w:noProof/>
            <w:webHidden/>
          </w:rPr>
          <w:fldChar w:fldCharType="end"/>
        </w:r>
      </w:hyperlink>
    </w:p>
    <w:p w14:paraId="709BF76F" w14:textId="3282B43F" w:rsidR="00304ECD" w:rsidRDefault="00304ECD">
      <w:pPr>
        <w:pStyle w:val="TOC2"/>
        <w:tabs>
          <w:tab w:val="right" w:leader="dot" w:pos="8630"/>
        </w:tabs>
        <w:ind w:left="480"/>
        <w:rPr>
          <w:noProof/>
        </w:rPr>
      </w:pPr>
      <w:hyperlink w:anchor="_Toc214939506" w:history="1">
        <w:r w:rsidRPr="00B661EA">
          <w:rPr>
            <w:rStyle w:val="af"/>
            <w:noProof/>
          </w:rPr>
          <w:t>Evaluation Metrics and Statistical Analysis</w:t>
        </w:r>
        <w:r>
          <w:rPr>
            <w:noProof/>
            <w:webHidden/>
          </w:rPr>
          <w:tab/>
        </w:r>
        <w:r>
          <w:rPr>
            <w:noProof/>
            <w:webHidden/>
          </w:rPr>
          <w:fldChar w:fldCharType="begin"/>
        </w:r>
        <w:r>
          <w:rPr>
            <w:noProof/>
            <w:webHidden/>
          </w:rPr>
          <w:instrText xml:space="preserve"> PAGEREF _Toc214939506 \h </w:instrText>
        </w:r>
        <w:r>
          <w:rPr>
            <w:noProof/>
            <w:webHidden/>
          </w:rPr>
        </w:r>
        <w:r>
          <w:rPr>
            <w:noProof/>
            <w:webHidden/>
          </w:rPr>
          <w:fldChar w:fldCharType="separate"/>
        </w:r>
        <w:r>
          <w:rPr>
            <w:noProof/>
            <w:webHidden/>
          </w:rPr>
          <w:t>20</w:t>
        </w:r>
        <w:r>
          <w:rPr>
            <w:noProof/>
            <w:webHidden/>
          </w:rPr>
          <w:fldChar w:fldCharType="end"/>
        </w:r>
      </w:hyperlink>
    </w:p>
    <w:p w14:paraId="2A7045DA" w14:textId="32BB7E86" w:rsidR="00304ECD" w:rsidRDefault="00304ECD">
      <w:pPr>
        <w:pStyle w:val="TOC3"/>
        <w:tabs>
          <w:tab w:val="right" w:leader="dot" w:pos="8630"/>
        </w:tabs>
        <w:ind w:left="960"/>
        <w:rPr>
          <w:noProof/>
        </w:rPr>
      </w:pPr>
      <w:hyperlink w:anchor="_Toc214939507" w:history="1">
        <w:r w:rsidRPr="00B661EA">
          <w:rPr>
            <w:rStyle w:val="af"/>
            <w:noProof/>
          </w:rPr>
          <w:t>Classification Performance Metrics</w:t>
        </w:r>
        <w:r>
          <w:rPr>
            <w:noProof/>
            <w:webHidden/>
          </w:rPr>
          <w:tab/>
        </w:r>
        <w:r>
          <w:rPr>
            <w:noProof/>
            <w:webHidden/>
          </w:rPr>
          <w:fldChar w:fldCharType="begin"/>
        </w:r>
        <w:r>
          <w:rPr>
            <w:noProof/>
            <w:webHidden/>
          </w:rPr>
          <w:instrText xml:space="preserve"> PAGEREF _Toc214939507 \h </w:instrText>
        </w:r>
        <w:r>
          <w:rPr>
            <w:noProof/>
            <w:webHidden/>
          </w:rPr>
        </w:r>
        <w:r>
          <w:rPr>
            <w:noProof/>
            <w:webHidden/>
          </w:rPr>
          <w:fldChar w:fldCharType="separate"/>
        </w:r>
        <w:r>
          <w:rPr>
            <w:noProof/>
            <w:webHidden/>
          </w:rPr>
          <w:t>20</w:t>
        </w:r>
        <w:r>
          <w:rPr>
            <w:noProof/>
            <w:webHidden/>
          </w:rPr>
          <w:fldChar w:fldCharType="end"/>
        </w:r>
      </w:hyperlink>
    </w:p>
    <w:p w14:paraId="30347EA8" w14:textId="18C490BD" w:rsidR="00304ECD" w:rsidRDefault="00304ECD">
      <w:pPr>
        <w:pStyle w:val="TOC3"/>
        <w:tabs>
          <w:tab w:val="right" w:leader="dot" w:pos="8630"/>
        </w:tabs>
        <w:ind w:left="960"/>
        <w:rPr>
          <w:noProof/>
        </w:rPr>
      </w:pPr>
      <w:hyperlink w:anchor="_Toc214939508" w:history="1">
        <w:r w:rsidRPr="00B661EA">
          <w:rPr>
            <w:rStyle w:val="af"/>
            <w:noProof/>
          </w:rPr>
          <w:t>Visualization-Based Evaluation</w:t>
        </w:r>
        <w:r>
          <w:rPr>
            <w:noProof/>
            <w:webHidden/>
          </w:rPr>
          <w:tab/>
        </w:r>
        <w:r>
          <w:rPr>
            <w:noProof/>
            <w:webHidden/>
          </w:rPr>
          <w:fldChar w:fldCharType="begin"/>
        </w:r>
        <w:r>
          <w:rPr>
            <w:noProof/>
            <w:webHidden/>
          </w:rPr>
          <w:instrText xml:space="preserve"> PAGEREF _Toc214939508 \h </w:instrText>
        </w:r>
        <w:r>
          <w:rPr>
            <w:noProof/>
            <w:webHidden/>
          </w:rPr>
        </w:r>
        <w:r>
          <w:rPr>
            <w:noProof/>
            <w:webHidden/>
          </w:rPr>
          <w:fldChar w:fldCharType="separate"/>
        </w:r>
        <w:r>
          <w:rPr>
            <w:noProof/>
            <w:webHidden/>
          </w:rPr>
          <w:t>21</w:t>
        </w:r>
        <w:r>
          <w:rPr>
            <w:noProof/>
            <w:webHidden/>
          </w:rPr>
          <w:fldChar w:fldCharType="end"/>
        </w:r>
      </w:hyperlink>
    </w:p>
    <w:p w14:paraId="68EBD14A" w14:textId="1168440B" w:rsidR="00304ECD" w:rsidRDefault="00304ECD">
      <w:pPr>
        <w:pStyle w:val="TOC2"/>
        <w:tabs>
          <w:tab w:val="right" w:leader="dot" w:pos="8630"/>
        </w:tabs>
        <w:ind w:left="480"/>
        <w:rPr>
          <w:noProof/>
        </w:rPr>
      </w:pPr>
      <w:hyperlink w:anchor="_Toc214939509" w:history="1">
        <w:r w:rsidRPr="00B661EA">
          <w:rPr>
            <w:rStyle w:val="af"/>
            <w:noProof/>
          </w:rPr>
          <w:t>Experimental Setup and Results</w:t>
        </w:r>
        <w:r>
          <w:rPr>
            <w:noProof/>
            <w:webHidden/>
          </w:rPr>
          <w:tab/>
        </w:r>
        <w:r>
          <w:rPr>
            <w:noProof/>
            <w:webHidden/>
          </w:rPr>
          <w:fldChar w:fldCharType="begin"/>
        </w:r>
        <w:r>
          <w:rPr>
            <w:noProof/>
            <w:webHidden/>
          </w:rPr>
          <w:instrText xml:space="preserve"> PAGEREF _Toc214939509 \h </w:instrText>
        </w:r>
        <w:r>
          <w:rPr>
            <w:noProof/>
            <w:webHidden/>
          </w:rPr>
        </w:r>
        <w:r>
          <w:rPr>
            <w:noProof/>
            <w:webHidden/>
          </w:rPr>
          <w:fldChar w:fldCharType="separate"/>
        </w:r>
        <w:r>
          <w:rPr>
            <w:noProof/>
            <w:webHidden/>
          </w:rPr>
          <w:t>21</w:t>
        </w:r>
        <w:r>
          <w:rPr>
            <w:noProof/>
            <w:webHidden/>
          </w:rPr>
          <w:fldChar w:fldCharType="end"/>
        </w:r>
      </w:hyperlink>
    </w:p>
    <w:p w14:paraId="39C8F10E" w14:textId="73E15281" w:rsidR="00304ECD" w:rsidRDefault="00304ECD">
      <w:pPr>
        <w:pStyle w:val="TOC2"/>
        <w:tabs>
          <w:tab w:val="right" w:leader="dot" w:pos="8630"/>
        </w:tabs>
        <w:ind w:left="480"/>
        <w:rPr>
          <w:noProof/>
        </w:rPr>
      </w:pPr>
      <w:hyperlink w:anchor="_Toc214939510" w:history="1">
        <w:r w:rsidRPr="00B661EA">
          <w:rPr>
            <w:rStyle w:val="af"/>
            <w:noProof/>
          </w:rPr>
          <w:t>Model Explainability, Reliability, and Clinical Utility</w:t>
        </w:r>
        <w:r>
          <w:rPr>
            <w:noProof/>
            <w:webHidden/>
          </w:rPr>
          <w:tab/>
        </w:r>
        <w:r>
          <w:rPr>
            <w:noProof/>
            <w:webHidden/>
          </w:rPr>
          <w:fldChar w:fldCharType="begin"/>
        </w:r>
        <w:r>
          <w:rPr>
            <w:noProof/>
            <w:webHidden/>
          </w:rPr>
          <w:instrText xml:space="preserve"> PAGEREF _Toc214939510 \h </w:instrText>
        </w:r>
        <w:r>
          <w:rPr>
            <w:noProof/>
            <w:webHidden/>
          </w:rPr>
        </w:r>
        <w:r>
          <w:rPr>
            <w:noProof/>
            <w:webHidden/>
          </w:rPr>
          <w:fldChar w:fldCharType="separate"/>
        </w:r>
        <w:r>
          <w:rPr>
            <w:noProof/>
            <w:webHidden/>
          </w:rPr>
          <w:t>24</w:t>
        </w:r>
        <w:r>
          <w:rPr>
            <w:noProof/>
            <w:webHidden/>
          </w:rPr>
          <w:fldChar w:fldCharType="end"/>
        </w:r>
      </w:hyperlink>
    </w:p>
    <w:p w14:paraId="6CD47283" w14:textId="41C94FFF" w:rsidR="00304ECD" w:rsidRDefault="00304ECD">
      <w:pPr>
        <w:pStyle w:val="TOC1"/>
        <w:tabs>
          <w:tab w:val="right" w:leader="dot" w:pos="8630"/>
        </w:tabs>
        <w:rPr>
          <w:noProof/>
        </w:rPr>
      </w:pPr>
      <w:hyperlink w:anchor="_Toc214939511" w:history="1">
        <w:r w:rsidRPr="00B661EA">
          <w:rPr>
            <w:rStyle w:val="af"/>
            <w:noProof/>
          </w:rPr>
          <w:t>Conclusion</w:t>
        </w:r>
        <w:r>
          <w:rPr>
            <w:noProof/>
            <w:webHidden/>
          </w:rPr>
          <w:tab/>
        </w:r>
        <w:r>
          <w:rPr>
            <w:noProof/>
            <w:webHidden/>
          </w:rPr>
          <w:fldChar w:fldCharType="begin"/>
        </w:r>
        <w:r>
          <w:rPr>
            <w:noProof/>
            <w:webHidden/>
          </w:rPr>
          <w:instrText xml:space="preserve"> PAGEREF _Toc214939511 \h </w:instrText>
        </w:r>
        <w:r>
          <w:rPr>
            <w:noProof/>
            <w:webHidden/>
          </w:rPr>
        </w:r>
        <w:r>
          <w:rPr>
            <w:noProof/>
            <w:webHidden/>
          </w:rPr>
          <w:fldChar w:fldCharType="separate"/>
        </w:r>
        <w:r>
          <w:rPr>
            <w:noProof/>
            <w:webHidden/>
          </w:rPr>
          <w:t>26</w:t>
        </w:r>
        <w:r>
          <w:rPr>
            <w:noProof/>
            <w:webHidden/>
          </w:rPr>
          <w:fldChar w:fldCharType="end"/>
        </w:r>
      </w:hyperlink>
    </w:p>
    <w:p w14:paraId="2D39EFEC" w14:textId="49FD7F04" w:rsidR="00304ECD" w:rsidRDefault="00304ECD">
      <w:pPr>
        <w:pStyle w:val="TOC1"/>
        <w:tabs>
          <w:tab w:val="right" w:leader="dot" w:pos="8630"/>
        </w:tabs>
        <w:rPr>
          <w:noProof/>
        </w:rPr>
      </w:pPr>
      <w:hyperlink w:anchor="_Toc214939512" w:history="1">
        <w:r w:rsidRPr="00B661EA">
          <w:rPr>
            <w:rStyle w:val="af"/>
            <w:noProof/>
          </w:rPr>
          <w:t>Acknowledgements</w:t>
        </w:r>
        <w:r>
          <w:rPr>
            <w:noProof/>
            <w:webHidden/>
          </w:rPr>
          <w:tab/>
        </w:r>
        <w:r>
          <w:rPr>
            <w:noProof/>
            <w:webHidden/>
          </w:rPr>
          <w:fldChar w:fldCharType="begin"/>
        </w:r>
        <w:r>
          <w:rPr>
            <w:noProof/>
            <w:webHidden/>
          </w:rPr>
          <w:instrText xml:space="preserve"> PAGEREF _Toc214939512 \h </w:instrText>
        </w:r>
        <w:r>
          <w:rPr>
            <w:noProof/>
            <w:webHidden/>
          </w:rPr>
        </w:r>
        <w:r>
          <w:rPr>
            <w:noProof/>
            <w:webHidden/>
          </w:rPr>
          <w:fldChar w:fldCharType="separate"/>
        </w:r>
        <w:r>
          <w:rPr>
            <w:noProof/>
            <w:webHidden/>
          </w:rPr>
          <w:t>27</w:t>
        </w:r>
        <w:r>
          <w:rPr>
            <w:noProof/>
            <w:webHidden/>
          </w:rPr>
          <w:fldChar w:fldCharType="end"/>
        </w:r>
      </w:hyperlink>
    </w:p>
    <w:p w14:paraId="22B5EC9B" w14:textId="77777777" w:rsidR="0065117B" w:rsidRDefault="00000000">
      <w:r>
        <w:rPr>
          <w:b/>
          <w:bCs/>
          <w:noProof/>
        </w:rPr>
        <w:fldChar w:fldCharType="end"/>
      </w:r>
    </w:p>
    <w:p w14:paraId="3842AECE" w14:textId="77777777" w:rsidR="0065117B" w:rsidRDefault="00000000">
      <w:pPr>
        <w:pStyle w:val="1"/>
      </w:pPr>
      <w:bookmarkStart w:id="0" w:name="introduction"/>
      <w:bookmarkStart w:id="1" w:name="_Toc214939471"/>
      <w:r>
        <w:t>Introduction</w:t>
      </w:r>
      <w:bookmarkEnd w:id="1"/>
    </w:p>
    <w:p w14:paraId="7138ED06" w14:textId="77777777" w:rsidR="0065117B" w:rsidRDefault="00000000">
      <w:pPr>
        <w:pStyle w:val="FirstParagraph"/>
      </w:pPr>
      <w:r>
        <w:t>Early and accurate prediction of pulmonary nodule malignancy still shapes lung cancer outcomes, yet many decision support tools struggle in everyday clinical use. Nodules discovered on routine CT scans create tricky triage decisions, with malignancy estimates ranging anywhere from 5% to 70% depending on setting and patient mix [</w:t>
      </w:r>
      <w:hyperlink w:anchor="ref-swensen1997chest">
        <w:r>
          <w:rPr>
            <w:rStyle w:val="af"/>
          </w:rPr>
          <w:t>1</w:t>
        </w:r>
      </w:hyperlink>
      <w:r>
        <w:t>]. Classic risk scores such as the Mayo Clinic, Veterans Affairs, and Brock models estimate probabilities through logistic regression on carefully curated cohorts, and although they proved useful in development they do not generalize reliably once they are applied outside their derivation hospitals [</w:t>
      </w:r>
      <w:hyperlink w:anchor="ref-swensen1997chest">
        <w:r>
          <w:rPr>
            <w:rStyle w:val="af"/>
          </w:rPr>
          <w:t>1</w:t>
        </w:r>
      </w:hyperlink>
      <w:r>
        <w:t>–</w:t>
      </w:r>
      <w:hyperlink w:anchor="ref-cui_comparison_2019">
        <w:r>
          <w:rPr>
            <w:rStyle w:val="af"/>
          </w:rPr>
          <w:t>3</w:t>
        </w:r>
      </w:hyperlink>
      <w:r>
        <w:t>]. The real-world challenge is therefore not just building an accurate classifier but building one that can travel across healthcare systems while keeping the sensitivity expectations of lung cancer screening workflows.</w:t>
      </w:r>
    </w:p>
    <w:p w14:paraId="2FE9F75E" w14:textId="77777777" w:rsidR="0065117B" w:rsidRDefault="00000000">
      <w:pPr>
        <w:pStyle w:val="a0"/>
      </w:pPr>
      <w:r>
        <w:t>The community has pursued a wide array of artificial intelligence solutions to that end. Gradient-boosted decision trees like XGBoost still dominate tabular benchmarks, radiomics pipelines try to engineer robust texture descriptors from segmentation masks, and deep learning models ingest full CT volumes with convolutional stacks to learn representations directly from voxels [</w:t>
      </w:r>
      <w:hyperlink w:anchor="ref-hassani_radiomics_2019">
        <w:r>
          <w:rPr>
            <w:rStyle w:val="af"/>
          </w:rPr>
          <w:t>4</w:t>
        </w:r>
      </w:hyperlink>
      <w:r>
        <w:t>,</w:t>
      </w:r>
      <w:hyperlink w:anchor="ref-lin_combined_2024">
        <w:r>
          <w:rPr>
            <w:rStyle w:val="af"/>
          </w:rPr>
          <w:t>5</w:t>
        </w:r>
      </w:hyperlink>
      <w:r>
        <w:t>]. These efforts are paired with foundation models such as TabPFN that meta-learn small-sample inference via synthetic priors and self-attention, promising strong performance with only hundreds of patients [</w:t>
      </w:r>
      <w:hyperlink w:anchor="ref-hollmann2025accurate">
        <w:r>
          <w:rPr>
            <w:rStyle w:val="af"/>
          </w:rPr>
          <w:t>6</w:t>
        </w:r>
      </w:hyperlink>
      <w:r>
        <w:t>]. In parallel, domain adaptation literature has shown that maximizing overlap in feature distributions can rescue performance in cross-site imaging tasks [</w:t>
      </w:r>
      <w:hyperlink w:anchor="ref-zech_variable_2018">
        <w:r>
          <w:rPr>
            <w:rStyle w:val="af"/>
          </w:rPr>
          <w:t>7</w:t>
        </w:r>
      </w:hyperlink>
      <w:r>
        <w:t>,</w:t>
      </w:r>
      <w:hyperlink w:anchor="ref-guan2021domain">
        <w:r>
          <w:rPr>
            <w:rStyle w:val="af"/>
          </w:rPr>
          <w:t>8</w:t>
        </w:r>
      </w:hyperlink>
      <w:r>
        <w:t>].</w:t>
      </w:r>
    </w:p>
    <w:p w14:paraId="3DC3921D" w14:textId="77777777" w:rsidR="0065117B" w:rsidRDefault="00000000">
      <w:pPr>
        <w:pStyle w:val="a0"/>
      </w:pPr>
      <w:r>
        <w:t>Yet each of these strands falls short in the cross-hospital pulmonary nodule scenario. Classical scores collapse because covariate and concept shifts make nominally predictive covariates behave differently when patient mixes, prevalence, or imaging acquisition protocols change [</w:t>
      </w:r>
      <w:hyperlink w:anchor="ref-guo_evaluation_2022">
        <w:r>
          <w:rPr>
            <w:rStyle w:val="af"/>
          </w:rPr>
          <w:t>9</w:t>
        </w:r>
      </w:hyperlink>
      <w:r>
        <w:t>]. Radiomics features are scanner-sensitive, turning what should be a biological signal into a proxy for acquisition settings and thereby disabling transfer without explicit harmonization. Deep CNNs trained on large curated datasets still latch onto shortcut cues, and their weights drift when presented with even minor differences in reconstruction kernels or demographic distributions [</w:t>
      </w:r>
      <w:hyperlink w:anchor="ref-zech_variable_2018">
        <w:r>
          <w:rPr>
            <w:rStyle w:val="af"/>
          </w:rPr>
          <w:t>7</w:t>
        </w:r>
      </w:hyperlink>
      <w:r>
        <w:t>]. TabPFN and other unadapted tabular foundation models assume the context set and query set share a distribution, so when the test hospital introduces a drifted feature scale or a new biomarker the attention weights no longer reflect the right similarities [</w:t>
      </w:r>
      <w:hyperlink w:anchor="ref-schneider2024foundation">
        <w:r>
          <w:rPr>
            <w:rStyle w:val="af"/>
          </w:rPr>
          <w:t>10</w:t>
        </w:r>
      </w:hyperlink>
      <w:r>
        <w:t>]. The net result is that the external AUC can plummet by 20–30% in cross-domain validation, turning high-performing research models into unsafe clinical decisions [</w:t>
      </w:r>
      <w:hyperlink w:anchor="ref-guo_evaluation_2022">
        <w:r>
          <w:rPr>
            <w:rStyle w:val="af"/>
          </w:rPr>
          <w:t>9</w:t>
        </w:r>
      </w:hyperlink>
      <w:r>
        <w:t>,</w:t>
      </w:r>
      <w:hyperlink w:anchor="ref-borisov2022deep">
        <w:r>
          <w:rPr>
            <w:rStyle w:val="af"/>
          </w:rPr>
          <w:t>11</w:t>
        </w:r>
      </w:hyperlink>
      <w:r>
        <w:t>].</w:t>
      </w:r>
    </w:p>
    <w:p w14:paraId="12C92885" w14:textId="77777777" w:rsidR="0065117B" w:rsidRDefault="00000000">
      <w:pPr>
        <w:pStyle w:val="a0"/>
      </w:pPr>
      <w:r>
        <w:t xml:space="preserve">These gaps trace back to three core properties of this task. First, the small-sample nature of pulmonary nodule cohorts (often a few hundred labeled cases per hospital) forbids fully supervised training of high-capacity networks without severe overfitting, forcing </w:t>
      </w:r>
      <w:r>
        <w:lastRenderedPageBreak/>
        <w:t xml:space="preserve">reliance on pre-training or classical models. Second, domain shift manifests aggressively: differences in patient demographics, imaging equipment, disease prevalence, and clinical practice mean the marginal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and conditional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both wiggle between hospitals. Third, feature heterogeneity is endemic; institutions collect different lab panels, code variables differently, and occasionally omit entire measurements, which prevents straightforward feature alignment. Most off-the-shelf AI systems fail because they address only one of these properties, typically assuming that the target domain mirrors the source. Bridging this triple knot of small data, distribution shift, and feature mismatch requires unsupervised alignment techniques that work on structured data, not merely imaging.</w:t>
      </w:r>
    </w:p>
    <w:p w14:paraId="4A2442D1" w14:textId="77777777" w:rsidR="0065117B" w:rsidRDefault="00000000">
      <w:pPr>
        <w:pStyle w:val="a0"/>
      </w:pPr>
      <w:r>
        <w:t xml:space="preserve">We present </w:t>
      </w:r>
      <w:r>
        <w:rPr>
          <w:i/>
          <w:iCs/>
        </w:rPr>
        <w:t>PANDA</w:t>
      </w:r>
      <w:r>
        <w:t xml:space="preserve"> (Pretrained Adaptation Network with Domain Alignment), a pragmatic attempt to pair a pre-trained tabular foundation model with unsupervised domain adaptation for cross-hospital pulmonary nodule malignancy prediction. The recipe mixes three pieces: (1) TabPFN’s small-sample modeling via meta-training on millions of synthetic tasks; (2) Transfer Component Analysis (TCA) to align feature distributions across hospitals while keeping clinical signal; and (3) Recursive Feature Elimination (RFE) to surface stable variables, softening the feature heterogeneity that would otherwise derail cross-domain transfer. The goal is cross-hospital prediction while holding the high sensitivity (94.4%) screening usually demands, rather than optimizing purely for internal accuracy.</w:t>
      </w:r>
    </w:p>
    <w:p w14:paraId="6C243739" w14:textId="77777777" w:rsidR="0065117B" w:rsidRDefault="00000000">
      <w:pPr>
        <w:pStyle w:val="1"/>
      </w:pPr>
      <w:bookmarkStart w:id="2" w:name="sec:related-work"/>
      <w:bookmarkStart w:id="3" w:name="_Toc214939472"/>
      <w:bookmarkEnd w:id="0"/>
      <w:r>
        <w:t>Related Work</w:t>
      </w:r>
      <w:bookmarkEnd w:id="3"/>
    </w:p>
    <w:p w14:paraId="446763BE" w14:textId="77777777" w:rsidR="0065117B" w:rsidRDefault="00000000">
      <w:pPr>
        <w:pStyle w:val="2"/>
      </w:pPr>
      <w:bookmarkStart w:id="4" w:name="tabular-foundation-models"/>
      <w:bookmarkStart w:id="5" w:name="_Toc214939473"/>
      <w:r>
        <w:t>Tabular foundation models</w:t>
      </w:r>
      <w:bookmarkEnd w:id="5"/>
    </w:p>
    <w:p w14:paraId="4D6A485D" w14:textId="77777777" w:rsidR="0065117B" w:rsidRDefault="00000000">
      <w:pPr>
        <w:pStyle w:val="FirstParagraph"/>
      </w:pPr>
      <w:r>
        <w:t>Tabular foundation models have shifted small-sample learning by pairing large-scale pre-training with meta-learning. Gradient-boosted trees remain strong baselines for heterogeneous clinical data but need ample examples and often overfit small cohorts [</w:t>
      </w:r>
      <w:hyperlink w:anchor="ref-borisov2022deep">
        <w:r>
          <w:rPr>
            <w:rStyle w:val="af"/>
          </w:rPr>
          <w:t>11</w:t>
        </w:r>
      </w:hyperlink>
      <w:r>
        <w:t>,</w:t>
      </w:r>
      <w:hyperlink w:anchor="ref-chen2016xgboost">
        <w:r>
          <w:rPr>
            <w:rStyle w:val="af"/>
          </w:rPr>
          <w:t>12</w:t>
        </w:r>
      </w:hyperlink>
      <w:r>
        <w:t>]. Attention-based designs–TabNet, TabTransformer, SAINT, FT-Transformer–brought competitive performance with interpretability or streamlined architectures [</w:t>
      </w:r>
      <w:hyperlink w:anchor="ref-arik2021tabnet">
        <w:r>
          <w:rPr>
            <w:rStyle w:val="af"/>
          </w:rPr>
          <w:t>13</w:t>
        </w:r>
      </w:hyperlink>
      <w:r>
        <w:t>–</w:t>
      </w:r>
      <w:hyperlink w:anchor="ref-gorishniy2021revisiting">
        <w:r>
          <w:rPr>
            <w:rStyle w:val="af"/>
          </w:rPr>
          <w:t>16</w:t>
        </w:r>
      </w:hyperlink>
      <w:r>
        <w:t>].</w:t>
      </w:r>
    </w:p>
    <w:p w14:paraId="0166F78C" w14:textId="77777777" w:rsidR="0065117B" w:rsidRDefault="00000000">
      <w:pPr>
        <w:pStyle w:val="a0"/>
      </w:pPr>
      <w:r>
        <w:t>Pre-trained tabular foundation models take the next step by training on millions of synthetic tasks to work with minimal real examples. TabPFN is a good example: its meta-trained Transformer can make a full prediction in a single forward pass, often matching the accuracy of tuned ensembles that typically take hours to run [</w:t>
      </w:r>
      <w:hyperlink w:anchor="ref-hollmann2025accurate">
        <w:r>
          <w:rPr>
            <w:rStyle w:val="af"/>
          </w:rPr>
          <w:t>6</w:t>
        </w:r>
      </w:hyperlink>
      <w:r>
        <w:t>,</w:t>
      </w:r>
      <w:hyperlink w:anchor="ref-hollmann_accurate_2025">
        <w:r>
          <w:rPr>
            <w:rStyle w:val="af"/>
          </w:rPr>
          <w:t>17</w:t>
        </w:r>
      </w:hyperlink>
      <w:r>
        <w:t>]. This speed–and the way it handles tiny datasets–is well suited to clinical settings where data are rarely abundant. Still, the model implicitly counts on reasonably stable feature distributions, which real hospitals don’t always provide.</w:t>
      </w:r>
    </w:p>
    <w:p w14:paraId="66336E94" w14:textId="77777777" w:rsidR="0065117B" w:rsidRDefault="00000000">
      <w:pPr>
        <w:pStyle w:val="a0"/>
      </w:pPr>
      <w:r>
        <w:t>Follow-up work has expanded TabPFN’s reach without changing this closed-world assumption. TabPFN-2.5 relaxes the quadratic attention bottleneck, handles tens of thousands of context rows, and documents its augmented pre-training suite [</w:t>
      </w:r>
      <w:hyperlink w:anchor="ref-noauthor_pdf_2025">
        <w:r>
          <w:rPr>
            <w:rStyle w:val="af"/>
          </w:rPr>
          <w:t>18</w:t>
        </w:r>
      </w:hyperlink>
      <w:r>
        <w:t xml:space="preserve">]. Subsequent diagnostics such as “A Closer Look at TabPFN v2” and independent evaluations of TabPFN v2 in open environments highlight that the model can still be overconfident when covariate shift creeps in, motivating wrappers that adjust the </w:t>
      </w:r>
      <w:r>
        <w:lastRenderedPageBreak/>
        <w:t>representation before prediction [</w:t>
      </w:r>
      <w:hyperlink w:anchor="ref-noauthor_closer_nodate">
        <w:r>
          <w:rPr>
            <w:rStyle w:val="af"/>
          </w:rPr>
          <w:t>19</w:t>
        </w:r>
      </w:hyperlink>
      <w:r>
        <w:t>,</w:t>
      </w:r>
      <w:hyperlink w:anchor="ref-noauthor_realistic_nodate">
        <w:r>
          <w:rPr>
            <w:rStyle w:val="af"/>
          </w:rPr>
          <w:t>20</w:t>
        </w:r>
      </w:hyperlink>
      <w:r>
        <w:t>]. Drift-resilient variants model temporal distribution shifts explicitly through a secondary structural causal model, showing measurable gains when deployments span evolving patient mixes [</w:t>
      </w:r>
      <w:hyperlink w:anchor="ref-helli_drift-resilient_2024">
        <w:r>
          <w:rPr>
            <w:rStyle w:val="af"/>
          </w:rPr>
          <w:t>21</w:t>
        </w:r>
      </w:hyperlink>
      <w:r>
        <w:t>,</w:t>
      </w:r>
      <w:hyperlink w:anchor="X60a9a1bcb93ef50ea8b7bc291808839e814cc23">
        <w:r>
          <w:rPr>
            <w:rStyle w:val="af"/>
          </w:rPr>
          <w:t>22</w:t>
        </w:r>
      </w:hyperlink>
      <w:r>
        <w:t>]. There is also momentum to reuse tabular foundation models in other domains, e.g., by turning them into graph foundation models through neighborhood aggregation and structural embeddings; these works remind us that the same prior-learning paradigm can reach beyond flat tables [</w:t>
      </w:r>
      <w:hyperlink w:anchor="ref-eremeev_turning_2025">
        <w:r>
          <w:rPr>
            <w:rStyle w:val="af"/>
          </w:rPr>
          <w:t>23</w:t>
        </w:r>
      </w:hyperlink>
      <w:r>
        <w:t>].</w:t>
      </w:r>
    </w:p>
    <w:p w14:paraId="5E2610DC" w14:textId="77777777" w:rsidR="0065117B" w:rsidRDefault="00000000">
      <w:pPr>
        <w:pStyle w:val="2"/>
      </w:pPr>
      <w:bookmarkStart w:id="6" w:name="domain-adaptation-in-medical-ai"/>
      <w:bookmarkStart w:id="7" w:name="_Toc214939474"/>
      <w:bookmarkEnd w:id="4"/>
      <w:r>
        <w:t>Domain adaptation in medical AI</w:t>
      </w:r>
      <w:bookmarkEnd w:id="7"/>
    </w:p>
    <w:p w14:paraId="7561BF34" w14:textId="77777777" w:rsidR="0065117B" w:rsidRDefault="00000000">
      <w:pPr>
        <w:pStyle w:val="FirstParagraph"/>
      </w:pPr>
      <w:r>
        <w:t>Domain adaptation has tried to bridge these distribution gaps, especially in medical imaging, where scanners, protocols, and patient mixes routinely differ from one institution to another. Alignment strategies–adversarial discriminators, CORAL, maximum mean discrepancy minimization–and domain generalization methods like meta-learning and invariant risk minimization have shown gains [</w:t>
      </w:r>
      <w:hyperlink w:anchor="ref-guo_evaluation_2022">
        <w:r>
          <w:rPr>
            <w:rStyle w:val="af"/>
          </w:rPr>
          <w:t>9</w:t>
        </w:r>
      </w:hyperlink>
      <w:r>
        <w:t>,</w:t>
      </w:r>
      <w:hyperlink w:anchor="ref-zhang_adadiag_2022">
        <w:r>
          <w:rPr>
            <w:rStyle w:val="af"/>
          </w:rPr>
          <w:t>24</w:t>
        </w:r>
      </w:hyperlink>
      <w:r>
        <w:t>,</w:t>
      </w:r>
      <w:hyperlink w:anchor="Xd20ec9efaf7cad77fe2665a3b298a644c8be26c">
        <w:r>
          <w:rPr>
            <w:rStyle w:val="af"/>
          </w:rPr>
          <w:t>25</w:t>
        </w:r>
      </w:hyperlink>
      <w:r>
        <w:t>].</w:t>
      </w:r>
    </w:p>
    <w:p w14:paraId="41F134B0" w14:textId="77777777" w:rsidR="0065117B" w:rsidRDefault="00000000">
      <w:pPr>
        <w:pStyle w:val="a0"/>
      </w:pPr>
      <w:r>
        <w:t>Even so, evaluations show that methods such as GroupDRO, IRM, and adversarial training still leave gaps on truly shifted populations [</w:t>
      </w:r>
      <w:hyperlink w:anchor="ref-guo_evaluation_2022">
        <w:r>
          <w:rPr>
            <w:rStyle w:val="af"/>
          </w:rPr>
          <w:t>9</w:t>
        </w:r>
      </w:hyperlink>
      <w:r>
        <w:t>]. The focus on imaging leaves structured clinical data underexplored; feature heterogeneity and missingness pose different challenges than those in images [</w:t>
      </w:r>
      <w:hyperlink w:anchor="ref-guan2021domain">
        <w:r>
          <w:rPr>
            <w:rStyle w:val="af"/>
          </w:rPr>
          <w:t>8</w:t>
        </w:r>
      </w:hyperlink>
      <w:r>
        <w:t>]. Tabular deployment thus inherits the hard parts of adaptation without many tailored tools.</w:t>
      </w:r>
    </w:p>
    <w:p w14:paraId="5D7F1515" w14:textId="77777777" w:rsidR="0065117B" w:rsidRDefault="00000000">
      <w:pPr>
        <w:pStyle w:val="a0"/>
      </w:pPr>
      <w:r>
        <w:t xml:space="preserve">Recently, the TableShift benchmark has surfaced specifically to quantify these tabular shifts: its 15 binary healthcare, finance, and policy tasks expose how easily models lose accuracy when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and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drift, and its open-source suite gives researchers datasets plus synthetic shift protocols to stress-test new algorithms [</w:t>
      </w:r>
      <w:hyperlink w:anchor="ref-gardner_benchmarking_2024">
        <w:r>
          <w:rPr>
            <w:rStyle w:val="af"/>
          </w:rPr>
          <w:t>26</w:t>
        </w:r>
      </w:hyperlink>
      <w:r>
        <w:t>,</w:t>
      </w:r>
      <w:hyperlink w:anchor="X4f9f0e8a6fc6d4d5516fc073f21d764bfed9221">
        <w:r>
          <w:rPr>
            <w:rStyle w:val="af"/>
          </w:rPr>
          <w:t>27</w:t>
        </w:r>
      </w:hyperlink>
      <w:r>
        <w:t>]. Benchmarks like this highlight that domain adaptation must reduce both the feature divergence and the representative error, a dual goal shared by Transfer Component Analysis, optimal transport alignments for extra target-domain features, and physics-aware samplers [</w:t>
      </w:r>
      <w:hyperlink w:anchor="ref-aritake_unsupervised_2022">
        <w:r>
          <w:rPr>
            <w:rStyle w:val="af"/>
          </w:rPr>
          <w:t>28</w:t>
        </w:r>
      </w:hyperlink>
      <w:r>
        <w:t>].</w:t>
      </w:r>
    </w:p>
    <w:p w14:paraId="6F58BBF7" w14:textId="77777777" w:rsidR="0065117B" w:rsidRDefault="00000000">
      <w:pPr>
        <w:pStyle w:val="a0"/>
      </w:pPr>
      <w:r>
        <w:t>Targeted work on structured data now explicitly handles heterogeneity and missing features. Cross-domain adaptation techniques that rely on pseudo-labeling and sample reweighting still struggle, but optimal transport strategies demonstrate that aligning marginal moments while preserving the additional target-only features improves calibration in small datasets [</w:t>
      </w:r>
      <w:hyperlink w:anchor="ref-aritake_unsupervised_2022">
        <w:r>
          <w:rPr>
            <w:rStyle w:val="af"/>
          </w:rPr>
          <w:t>28</w:t>
        </w:r>
      </w:hyperlink>
      <w:r>
        <w:t>]. Studies on biological datasets call attention to modular adapters that select stable features and minimize pooled covariance differences, while animal activity recognition benchmarks show optimal transport can regularize sensor variability across species [</w:t>
      </w:r>
      <w:hyperlink w:anchor="ref-orouji_domain_nodate">
        <w:r>
          <w:rPr>
            <w:rStyle w:val="af"/>
          </w:rPr>
          <w:t>29</w:t>
        </w:r>
      </w:hyperlink>
      <w:r>
        <w:t>,</w:t>
      </w:r>
      <w:hyperlink w:anchor="ref-ahn_unsupervised_2023">
        <w:r>
          <w:rPr>
            <w:rStyle w:val="af"/>
          </w:rPr>
          <w:t>30</w:t>
        </w:r>
      </w:hyperlink>
      <w:r>
        <w:t>].</w:t>
      </w:r>
    </w:p>
    <w:p w14:paraId="3A2FDDCE" w14:textId="77777777" w:rsidR="0065117B" w:rsidRDefault="00000000">
      <w:pPr>
        <w:pStyle w:val="a0"/>
      </w:pPr>
      <w:r>
        <w:t>Privacy concerns push the field toward federated domain adaptation, where explicit feature alignment happens without sharing raw data. FedFusion and similar approaches build diversity- and cluster-aware encoders, share confidence-filtered pseudo-labels, and combine local personalization with global coherence, directly addressing the label scarcity and client heterogeneity encountered in cross-hospital deployments [</w:t>
      </w:r>
      <w:hyperlink w:anchor="ref-kahenga_fedfusion_2025">
        <w:r>
          <w:rPr>
            <w:rStyle w:val="af"/>
          </w:rPr>
          <w:t>31</w:t>
        </w:r>
      </w:hyperlink>
      <w:r>
        <w:t>]. Federated learning for radiology underscores the practical constraints in HIPAA/GDPR environments and reinforces why unsupervised adaptation must be coupled with communication-efficient aggregation [</w:t>
      </w:r>
      <w:hyperlink w:anchor="ref-rehman_federated_2023">
        <w:r>
          <w:rPr>
            <w:rStyle w:val="af"/>
          </w:rPr>
          <w:t>32</w:t>
        </w:r>
      </w:hyperlink>
      <w:r>
        <w:t>].</w:t>
      </w:r>
    </w:p>
    <w:p w14:paraId="595CF10A" w14:textId="77777777" w:rsidR="0065117B" w:rsidRDefault="00000000">
      <w:pPr>
        <w:pStyle w:val="2"/>
      </w:pPr>
      <w:bookmarkStart w:id="8" w:name="X92abfc1f83e4bdef96e8889b9558fb7e0fe4063"/>
      <w:bookmarkStart w:id="9" w:name="_Toc214939475"/>
      <w:bookmarkEnd w:id="6"/>
      <w:r>
        <w:lastRenderedPageBreak/>
        <w:t>Pulmonary nodule risk prediction and cross-hospital generalization</w:t>
      </w:r>
      <w:bookmarkEnd w:id="9"/>
    </w:p>
    <w:p w14:paraId="5D97F83A" w14:textId="77777777" w:rsidR="0065117B" w:rsidRDefault="00000000">
      <w:pPr>
        <w:pStyle w:val="FirstParagraph"/>
      </w:pPr>
      <w:r>
        <w:t>Pulmonary nodule malignancy prediction makes the cross-hospital problem concrete. Clinical risk models (Mayo Clinic, Veterans Affairs, Brock University) perform well in development cohorts (AUC 0.83–0.94) but drop sharply on external validation (AUC 0.60–0.77) [</w:t>
      </w:r>
      <w:hyperlink w:anchor="ref-swensen1997chest">
        <w:r>
          <w:rPr>
            <w:rStyle w:val="af"/>
          </w:rPr>
          <w:t>1</w:t>
        </w:r>
      </w:hyperlink>
      <w:r>
        <w:t>–</w:t>
      </w:r>
      <w:hyperlink w:anchor="ref-cui_comparison_2019">
        <w:r>
          <w:rPr>
            <w:rStyle w:val="af"/>
          </w:rPr>
          <w:t>3</w:t>
        </w:r>
      </w:hyperlink>
      <w:r>
        <w:t>,</w:t>
      </w:r>
      <w:hyperlink w:anchor="ref-mcwilliams2013probability">
        <w:r>
          <w:rPr>
            <w:rStyle w:val="af"/>
          </w:rPr>
          <w:t>33</w:t>
        </w:r>
      </w:hyperlink>
      <w:r>
        <w:t>,</w:t>
      </w:r>
      <w:hyperlink w:anchor="ref-li_evaluation_2020">
        <w:r>
          <w:rPr>
            <w:rStyle w:val="af"/>
          </w:rPr>
          <w:t>34</w:t>
        </w:r>
      </w:hyperlink>
      <w:r>
        <w:t>]. Radiomics and deep learning show similar declines, often losing 0.1–0.2 AUC when moved across institutions because of scanner variation and demographic shifts [</w:t>
      </w:r>
      <w:hyperlink w:anchor="ref-hassani_radiomics_2019">
        <w:r>
          <w:rPr>
            <w:rStyle w:val="af"/>
          </w:rPr>
          <w:t>4</w:t>
        </w:r>
      </w:hyperlink>
      <w:r>
        <w:t>,</w:t>
      </w:r>
      <w:hyperlink w:anchor="ref-causey_highly_2018">
        <w:r>
          <w:rPr>
            <w:rStyle w:val="af"/>
          </w:rPr>
          <w:t>35</w:t>
        </w:r>
      </w:hyperlink>
      <w:r>
        <w:t>].</w:t>
      </w:r>
    </w:p>
    <w:p w14:paraId="2A1AC2FB" w14:textId="77777777" w:rsidR="0065117B" w:rsidRDefault="00000000">
      <w:pPr>
        <w:pStyle w:val="a0"/>
      </w:pPr>
      <w:r>
        <w:t>Cross-hospital variability stems from demographic differences, equipment heterogeneity, and practice patterns that change coding and disease definitions [</w:t>
      </w:r>
      <w:hyperlink w:anchor="ref-zech_variable_2018">
        <w:r>
          <w:rPr>
            <w:rStyle w:val="af"/>
          </w:rPr>
          <w:t>7</w:t>
        </w:r>
      </w:hyperlink>
      <w:r>
        <w:t>,</w:t>
      </w:r>
      <w:hyperlink w:anchor="ref-koch2024distribution">
        <w:r>
          <w:rPr>
            <w:rStyle w:val="af"/>
          </w:rPr>
          <w:t>36</w:t>
        </w:r>
      </w:hyperlink>
      <w:r>
        <w:t>,</w:t>
      </w:r>
      <w:hyperlink w:anchor="ref-musa2025addressing">
        <w:r>
          <w:rPr>
            <w:rStyle w:val="af"/>
          </w:rPr>
          <w:t>37</w:t>
        </w:r>
      </w:hyperlink>
      <w:r>
        <w:t>]. Feature heterogeneity adds inconsistent documentation and missing data patterns [</w:t>
      </w:r>
      <w:hyperlink w:anchor="X580bbd5a4cb92a3d59368e9e148e5b52805b7cb">
        <w:r>
          <w:rPr>
            <w:rStyle w:val="af"/>
          </w:rPr>
          <w:t>38</w:t>
        </w:r>
      </w:hyperlink>
      <w:r>
        <w:t>]. No single approach currently handles small sample sizes, feature heterogeneity, and distribution shift together for pulmonary nodules, leaving a gap for integrating pre-trained tabular models with feature selection and unsupervised adaptation.</w:t>
      </w:r>
    </w:p>
    <w:p w14:paraId="5FB6DEF7" w14:textId="77777777" w:rsidR="0065117B" w:rsidRDefault="00000000">
      <w:pPr>
        <w:pStyle w:val="2"/>
      </w:pPr>
      <w:bookmarkStart w:id="10" w:name="theoretical-foundation"/>
      <w:bookmarkStart w:id="11" w:name="_Toc214939476"/>
      <w:bookmarkEnd w:id="8"/>
      <w:r>
        <w:t>Theoretical Foundation</w:t>
      </w:r>
      <w:bookmarkEnd w:id="11"/>
    </w:p>
    <w:p w14:paraId="05948406" w14:textId="77777777" w:rsidR="0065117B" w:rsidRDefault="00000000">
      <w:pPr>
        <w:pStyle w:val="FirstParagraph"/>
      </w:pPr>
      <w:r>
        <w:t>Our approach leans on three theoretical ideas that motivate joining foundation models with domain adaptation; they hold under specific assumptions and should be read with that caveat.</w:t>
      </w:r>
    </w:p>
    <w:p w14:paraId="2D9988F0" w14:textId="77777777" w:rsidR="0065117B" w:rsidRDefault="00000000">
      <w:pPr>
        <w:pStyle w:val="a0"/>
      </w:pPr>
      <w:r>
        <w:t xml:space="preserve">The smooth representation benefit notes that foundation model representations can contract domain discrepancies. Let </w:t>
      </w:r>
      <m:oMath>
        <m:sSub>
          <m:sSubPr>
            <m:ctrlPr>
              <w:rPr>
                <w:rFonts w:ascii="Cambria Math" w:hAnsi="Cambria Math"/>
              </w:rPr>
            </m:ctrlPr>
          </m:sSubPr>
          <m:e>
            <m:r>
              <m:rPr>
                <m:sty m:val="p"/>
              </m:rPr>
              <w:rPr>
                <w:rFonts w:ascii="Cambria Math" w:hAnsi="Cambria Math"/>
              </w:rPr>
              <m:t>Φ</m:t>
            </m:r>
          </m:e>
          <m:sub>
            <m:r>
              <m:rPr>
                <m:sty m:val="p"/>
              </m:rPr>
              <w:rPr>
                <w:rFonts w:ascii="Cambria Math" w:hAnsi="Cambria Math"/>
              </w:rPr>
              <m:t>FM</m:t>
            </m:r>
          </m:sub>
        </m:sSub>
        <m:r>
          <m:rPr>
            <m:scr m:val="script"/>
            <m:sty m:val="p"/>
          </m:rPr>
          <w:rPr>
            <w:rFonts w:ascii="Cambria Math" w:hAnsi="Cambria Math"/>
          </w:rPr>
          <m:t>:X→Z</m:t>
        </m:r>
      </m:oMath>
      <w:r>
        <w:t xml:space="preserve"> be </w:t>
      </w:r>
      <m:oMath>
        <m:r>
          <w:rPr>
            <w:rFonts w:ascii="Cambria Math" w:hAnsi="Cambria Math"/>
          </w:rPr>
          <m:t>L</m:t>
        </m:r>
      </m:oMath>
      <w:r>
        <w:t xml:space="preserve">-Lipschitz. Let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be source and target distributions on </w:t>
      </w:r>
      <m:oMath>
        <m:r>
          <m:rPr>
            <m:scr m:val="script"/>
            <m:sty m:val="p"/>
          </m:rPr>
          <w:rPr>
            <w:rFonts w:ascii="Cambria Math" w:hAnsi="Cambria Math"/>
          </w:rPr>
          <m:t>X</m:t>
        </m:r>
      </m:oMath>
      <w:r>
        <w:t xml:space="preserve"> and </w:t>
      </w:r>
      <m:oMath>
        <m:sSub>
          <m:sSubPr>
            <m:ctrlPr>
              <w:rPr>
                <w:rFonts w:ascii="Cambria Math" w:hAnsi="Cambria Math"/>
              </w:rPr>
            </m:ctrlPr>
          </m:sSubPr>
          <m:e>
            <m:r>
              <w:rPr>
                <w:rFonts w:ascii="Cambria Math" w:hAnsi="Cambria Math"/>
              </w:rPr>
              <m:t>P</m:t>
            </m:r>
          </m:e>
          <m:sub>
            <m:r>
              <m:rPr>
                <m:sty m:val="p"/>
              </m:rPr>
              <w:rPr>
                <w:rFonts w:ascii="Cambria Math" w:hAnsi="Cambria Math"/>
              </w:rPr>
              <m:t>Φ,</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Φ,</m:t>
            </m:r>
            <m:r>
              <w:rPr>
                <w:rFonts w:ascii="Cambria Math" w:hAnsi="Cambria Math"/>
              </w:rPr>
              <m:t>t</m:t>
            </m:r>
          </m:sub>
        </m:sSub>
      </m:oMath>
      <w:r>
        <w:t xml:space="preserve"> their pushforwards on </w:t>
      </w:r>
      <m:oMath>
        <m:r>
          <m:rPr>
            <m:scr m:val="script"/>
            <m:sty m:val="p"/>
          </m:rPr>
          <w:rPr>
            <w:rFonts w:ascii="Cambria Math" w:hAnsi="Cambria Math"/>
          </w:rPr>
          <m:t>Z</m:t>
        </m:r>
      </m:oMath>
      <w:r>
        <w:t xml:space="preserve">. For an RKHS </w:t>
      </w:r>
      <m:oMath>
        <m:r>
          <m:rPr>
            <m:scr m:val="script"/>
            <m:sty m:val="p"/>
          </m:rPr>
          <w:rPr>
            <w:rFonts w:ascii="Cambria Math" w:hAnsi="Cambria Math"/>
          </w:rPr>
          <m:t>H</m:t>
        </m:r>
      </m:oMath>
      <w:r>
        <w:t xml:space="preserve"> with a Lipschitz-bounded feature map, the induced MMD admits the bound</w:t>
      </w:r>
    </w:p>
    <w:p w14:paraId="76271FD9" w14:textId="77777777" w:rsidR="0065117B" w:rsidRDefault="00000000">
      <w:pPr>
        <w:pStyle w:val="a0"/>
      </w:pPr>
      <m:oMathPara>
        <m:oMathParaPr>
          <m:jc m:val="center"/>
        </m:oMathParaP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Φ,</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Φ,</m:t>
              </m:r>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 L</m:t>
          </m:r>
          <m:r>
            <m:rPr>
              <m:sty m:val="p"/>
            </m:rPr>
            <w:rPr>
              <w:rFonts w:ascii="Cambria Math" w:hAnsi="Cambria Math"/>
            </w:rPr>
            <m:t>⋅</m:t>
          </m:r>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oMath>
      </m:oMathPara>
    </w:p>
    <w:p w14:paraId="55FDBEAB" w14:textId="77777777" w:rsidR="0065117B" w:rsidRDefault="00000000">
      <w:pPr>
        <w:pStyle w:val="FirstParagraph"/>
      </w:pPr>
      <w:r>
        <w:t xml:space="preserve">where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sub>
        </m:sSub>
      </m:oMath>
      <w:r>
        <w:t xml:space="preserve"> denotes maximum mean discrepancy. Under suitable kernel assumptions, smoother representations may contract domain discrepancies.</w:t>
      </w:r>
    </w:p>
    <w:p w14:paraId="0288831C" w14:textId="77777777" w:rsidR="0065117B" w:rsidRDefault="00000000">
      <w:pPr>
        <w:pStyle w:val="a0"/>
      </w:pPr>
      <w:r>
        <w:t xml:space="preserve">Feature selection and domain adaptation interact. Let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xml:space="preserve"> be the subset of shared features minimizing cross-domain variance, i.e.</w:t>
      </w:r>
    </w:p>
    <w:p w14:paraId="4A1A8C9B" w14:textId="77777777" w:rsidR="0065117B" w:rsidRDefault="00000000">
      <w:pPr>
        <w:pStyle w:val="a0"/>
      </w:pPr>
      <m:oMathPara>
        <m:oMathParaPr>
          <m:jc m:val="center"/>
        </m:oMathParaP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cr m:val="script"/>
                  <m:sty m:val="p"/>
                </m:rPr>
                <w:rPr>
                  <w:rFonts w:ascii="Cambria Math" w:hAnsi="Cambria Math"/>
                </w:rPr>
                <m:t>⊆F</m:t>
              </m:r>
            </m:lim>
          </m:limLow>
          <m:sSub>
            <m:sSubPr>
              <m:ctrlPr>
                <w:rPr>
                  <w:rFonts w:ascii="Cambria Math" w:hAnsi="Cambria Math"/>
                </w:rPr>
              </m:ctrlPr>
            </m:sSubPr>
            <m:e>
              <m:r>
                <m:rPr>
                  <m:sty m:val="p"/>
                </m:rPr>
                <w:rPr>
                  <w:rFonts w:ascii="Cambria Math" w:hAnsi="Cambria Math"/>
                </w:rPr>
                <m:t>Var</m:t>
              </m:r>
            </m:e>
            <m:sub>
              <m:r>
                <m:rPr>
                  <m:nor/>
                </m:rPr>
                <m:t>domain</m:t>
              </m:r>
            </m:sub>
          </m:sSub>
          <m:r>
            <m:rPr>
              <m:sty m:val="p"/>
            </m:rPr>
            <w:rPr>
              <w:rFonts w:ascii="Cambria Math" w:hAnsi="Cambria Math"/>
            </w:rPr>
            <m:t>(</m:t>
          </m:r>
          <m:sSub>
            <m:sSubPr>
              <m:ctrlPr>
                <w:rPr>
                  <w:rFonts w:ascii="Cambria Math" w:hAnsi="Cambria Math"/>
                </w:rPr>
              </m:ctrlPr>
            </m:sSubPr>
            <m:e>
              <m:r>
                <w:rPr>
                  <w:rFonts w:ascii="Cambria Math" w:hAnsi="Cambria Math"/>
                </w:rPr>
                <m:t>x</m:t>
              </m:r>
            </m:e>
            <m:sub>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sub>
          </m:sSub>
          <m:r>
            <m:rPr>
              <m:sty m:val="p"/>
            </m:rPr>
            <w:rPr>
              <w:rFonts w:ascii="Cambria Math" w:hAnsi="Cambria Math"/>
            </w:rPr>
            <m:t>),</m:t>
          </m:r>
        </m:oMath>
      </m:oMathPara>
    </w:p>
    <w:p w14:paraId="7791026E" w14:textId="77777777" w:rsidR="0065117B" w:rsidRDefault="00000000">
      <w:pPr>
        <w:pStyle w:val="FirstParagraph"/>
      </w:pPr>
      <w:r>
        <w:t xml:space="preserve">where </w:t>
      </w:r>
      <m:oMath>
        <m:sSub>
          <m:sSubPr>
            <m:ctrlPr>
              <w:rPr>
                <w:rFonts w:ascii="Cambria Math" w:hAnsi="Cambria Math"/>
              </w:rPr>
            </m:ctrlPr>
          </m:sSubPr>
          <m:e>
            <m:r>
              <m:rPr>
                <m:sty m:val="p"/>
              </m:rPr>
              <w:rPr>
                <w:rFonts w:ascii="Cambria Math" w:hAnsi="Cambria Math"/>
              </w:rPr>
              <m:t>Var</m:t>
            </m:r>
          </m:e>
          <m:sub>
            <m:r>
              <m:rPr>
                <m:nor/>
              </m:rPr>
              <m:t>domain</m:t>
            </m:r>
          </m:sub>
        </m:sSub>
        <m:r>
          <m:rPr>
            <m:sty m:val="p"/>
          </m:rPr>
          <w:rPr>
            <w:rFonts w:ascii="Cambria Math" w:hAnsi="Cambria Math"/>
          </w:rPr>
          <m:t>(⋅)</m:t>
        </m:r>
      </m:oMath>
      <w:r>
        <w:t xml:space="preserve"> denotes the pooled covariance across source and target domains. Assuming the TCA operator </w:t>
      </w:r>
      <m:oMath>
        <m:sSub>
          <m:sSubPr>
            <m:ctrlPr>
              <w:rPr>
                <w:rFonts w:ascii="Cambria Math" w:hAnsi="Cambria Math"/>
              </w:rPr>
            </m:ctrlPr>
          </m:sSubPr>
          <m:e>
            <m:r>
              <w:rPr>
                <w:rFonts w:ascii="Cambria Math" w:hAnsi="Cambria Math"/>
              </w:rPr>
              <m:t>A</m:t>
            </m:r>
          </m:e>
          <m:sub>
            <m:r>
              <m:rPr>
                <m:sty m:val="p"/>
              </m:rPr>
              <w:rPr>
                <w:rFonts w:ascii="Cambria Math" w:hAnsi="Cambria Math"/>
              </w:rPr>
              <m:t>TCA</m:t>
            </m:r>
          </m:sub>
        </m:sSub>
      </m:oMath>
      <w:r>
        <w:t xml:space="preserve"> is linear with bounded operator norm and letting </w:t>
      </w:r>
      <m:oMath>
        <m:sSub>
          <m:sSubPr>
            <m:ctrlPr>
              <w:rPr>
                <w:rFonts w:ascii="Cambria Math" w:hAnsi="Cambria Math"/>
              </w:rPr>
            </m:ctrlPr>
          </m:sSubPr>
          <m:e>
            <m:r>
              <m:rPr>
                <m:sty m:val="p"/>
              </m:rPr>
              <w:rPr>
                <w:rFonts w:ascii="Cambria Math" w:hAnsi="Cambria Math"/>
              </w:rPr>
              <m:t>Σ</m:t>
            </m:r>
          </m:e>
          <m:sub>
            <m:r>
              <m:rPr>
                <m:scr m:val="script"/>
                <m:sty m:val="p"/>
              </m:rPr>
              <w:rPr>
                <w:rFonts w:ascii="Cambria Math" w:hAnsi="Cambria Math"/>
              </w:rPr>
              <m:t>F</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sub>
        </m:sSub>
      </m:oMath>
      <w:r>
        <w:t xml:space="preserve"> denote the corresponding covariance matrices in the encoded space, we have</w:t>
      </w:r>
    </w:p>
    <w:p w14:paraId="11172AED" w14:textId="77777777" w:rsidR="0065117B" w:rsidRDefault="00000000">
      <w:pPr>
        <w:pStyle w:val="a0"/>
      </w:pPr>
      <m:oMathPara>
        <m:oMathParaPr>
          <m:jc m:val="center"/>
        </m:oMathParaPr>
        <m:oMath>
          <m:r>
            <m:rPr>
              <m:sty m:val="p"/>
            </m:rPr>
            <w:rPr>
              <w:rFonts w:ascii="Cambria Math" w:hAnsi="Cambria Math"/>
            </w:rPr>
            <m:t>Var</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TCA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m:rPr>
                      <m:sty m:val="p"/>
                    </m:rP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sub>
              </m:sSub>
              <m:r>
                <m:rPr>
                  <m:sty m:val="p"/>
                </m:rPr>
                <w:rPr>
                  <w:rFonts w:ascii="Cambria Math" w:hAnsi="Cambria Math"/>
                </w:rPr>
                <m:t>))</m:t>
              </m:r>
            </m:e>
          </m:d>
          <m:r>
            <m:rPr>
              <m:sty m:val="p"/>
            </m:rPr>
            <w:rPr>
              <w:rFonts w:ascii="Cambria Math" w:hAnsi="Cambria Math"/>
            </w:rPr>
            <m:t>=tr</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TCA</m:t>
                  </m:r>
                </m:sub>
              </m:sSub>
              <m:sSub>
                <m:sSubPr>
                  <m:ctrlPr>
                    <w:rPr>
                      <w:rFonts w:ascii="Cambria Math" w:hAnsi="Cambria Math"/>
                    </w:rPr>
                  </m:ctrlPr>
                </m:sSubPr>
                <m:e>
                  <m:r>
                    <m:rPr>
                      <m:sty m:val="p"/>
                    </m:rPr>
                    <w:rPr>
                      <w:rFonts w:ascii="Cambria Math" w:hAnsi="Cambria Math"/>
                    </w:rPr>
                    <m:t>Σ</m:t>
                  </m:r>
                </m:e>
                <m:sub>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sub>
              </m:sSub>
              <m:sSubSup>
                <m:sSubSupPr>
                  <m:ctrlPr>
                    <w:rPr>
                      <w:rFonts w:ascii="Cambria Math" w:hAnsi="Cambria Math"/>
                    </w:rPr>
                  </m:ctrlPr>
                </m:sSubSupPr>
                <m:e>
                  <m:r>
                    <w:rPr>
                      <w:rFonts w:ascii="Cambria Math" w:hAnsi="Cambria Math"/>
                    </w:rPr>
                    <m:t>A</m:t>
                  </m:r>
                </m:e>
                <m:sub>
                  <m:r>
                    <m:rPr>
                      <m:sty m:val="p"/>
                    </m:rPr>
                    <w:rPr>
                      <w:rFonts w:ascii="Cambria Math" w:hAnsi="Cambria Math"/>
                    </w:rPr>
                    <m:t>TCA</m:t>
                  </m:r>
                </m:sub>
                <m:sup>
                  <m:r>
                    <m:rPr>
                      <m:sty m:val="p"/>
                    </m:rPr>
                    <w:rPr>
                      <w:rFonts w:ascii="Cambria Math" w:hAnsi="Cambria Math"/>
                    </w:rPr>
                    <m:t>⊤</m:t>
                  </m:r>
                </m:sup>
              </m:sSubSup>
            </m:e>
          </m:d>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tr</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TCA</m:t>
                  </m:r>
                </m:sub>
              </m:sSub>
              <m:sSub>
                <m:sSubPr>
                  <m:ctrlPr>
                    <w:rPr>
                      <w:rFonts w:ascii="Cambria Math" w:hAnsi="Cambria Math"/>
                    </w:rPr>
                  </m:ctrlPr>
                </m:sSubPr>
                <m:e>
                  <m:r>
                    <m:rPr>
                      <m:sty m:val="p"/>
                    </m:rPr>
                    <w:rPr>
                      <w:rFonts w:ascii="Cambria Math" w:hAnsi="Cambria Math"/>
                    </w:rPr>
                    <m:t>Σ</m:t>
                  </m:r>
                </m:e>
                <m:sub>
                  <m:r>
                    <m:rPr>
                      <m:scr m:val="script"/>
                      <m:sty m:val="p"/>
                    </m:rPr>
                    <w:rPr>
                      <w:rFonts w:ascii="Cambria Math" w:hAnsi="Cambria Math"/>
                    </w:rPr>
                    <m:t>F</m:t>
                  </m:r>
                </m:sub>
              </m:sSub>
              <m:sSubSup>
                <m:sSubSupPr>
                  <m:ctrlPr>
                    <w:rPr>
                      <w:rFonts w:ascii="Cambria Math" w:hAnsi="Cambria Math"/>
                    </w:rPr>
                  </m:ctrlPr>
                </m:sSubSupPr>
                <m:e>
                  <m:r>
                    <w:rPr>
                      <w:rFonts w:ascii="Cambria Math" w:hAnsi="Cambria Math"/>
                    </w:rPr>
                    <m:t>A</m:t>
                  </m:r>
                </m:e>
                <m:sub>
                  <m:r>
                    <m:rPr>
                      <m:sty m:val="p"/>
                    </m:rPr>
                    <w:rPr>
                      <w:rFonts w:ascii="Cambria Math" w:hAnsi="Cambria Math"/>
                    </w:rPr>
                    <m:t>TCA</m:t>
                  </m:r>
                </m:sub>
                <m:sup>
                  <m:r>
                    <m:rPr>
                      <m:sty m:val="p"/>
                    </m:rPr>
                    <w:rPr>
                      <w:rFonts w:ascii="Cambria Math" w:hAnsi="Cambria Math"/>
                    </w:rPr>
                    <m:t>⊤</m:t>
                  </m:r>
                </m:sup>
              </m:sSubSup>
            </m:e>
          </m:d>
          <m:r>
            <m:rPr>
              <m:sty m:val="p"/>
            </m:rPr>
            <w:rPr>
              <w:rFonts w:ascii="Cambria Math" w:hAnsi="Cambria Math"/>
            </w:rPr>
            <m:t>=Var</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m:rPr>
                      <m:sty m:val="p"/>
                    </m:rPr>
                    <w:rPr>
                      <w:rFonts w:ascii="Cambria Math" w:hAnsi="Cambria Math"/>
                    </w:rPr>
                    <m:t>TCA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m:rPr>
                      <m:sty m:val="p"/>
                    </m:rP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cr m:val="script"/>
                      <m:sty m:val="p"/>
                    </m:rPr>
                    <w:rPr>
                      <w:rFonts w:ascii="Cambria Math" w:hAnsi="Cambria Math"/>
                    </w:rPr>
                    <m:t>F</m:t>
                  </m:r>
                </m:sub>
              </m:sSub>
              <m:r>
                <m:rPr>
                  <m:sty m:val="p"/>
                </m:rPr>
                <w:rPr>
                  <w:rFonts w:ascii="Cambria Math" w:hAnsi="Cambria Math"/>
                </w:rPr>
                <m:t>))</m:t>
              </m:r>
            </m:e>
          </m:d>
          <m:r>
            <m:rPr>
              <m:sty m:val="p"/>
            </m:rPr>
            <w:rPr>
              <w:rFonts w:ascii="Cambria Math" w:hAnsi="Cambria Math"/>
            </w:rPr>
            <m:t>,</m:t>
          </m:r>
        </m:oMath>
      </m:oMathPara>
    </w:p>
    <w:p w14:paraId="40D68E67" w14:textId="77777777" w:rsidR="0065117B" w:rsidRDefault="00000000">
      <w:pPr>
        <w:pStyle w:val="FirstParagraph"/>
      </w:pPr>
      <w:r>
        <w:t>which indicates that selecting low-variance features can reduce alignment complexity.</w:t>
      </w:r>
    </w:p>
    <w:p w14:paraId="0221EA20" w14:textId="77777777" w:rsidR="0065117B" w:rsidRDefault="00000000">
      <w:pPr>
        <w:pStyle w:val="a0"/>
      </w:pPr>
      <w:r>
        <w:t xml:space="preserve">Finally, sample complexity reduction motivates the use of pre-training. Standard generalization bounds for classification in a hypothesis class of effective dimension </w:t>
      </w:r>
      <m:oMath>
        <m:sSub>
          <m:sSubPr>
            <m:ctrlPr>
              <w:rPr>
                <w:rFonts w:ascii="Cambria Math" w:hAnsi="Cambria Math"/>
              </w:rPr>
            </m:ctrlPr>
          </m:sSubPr>
          <m:e>
            <m:r>
              <w:rPr>
                <w:rFonts w:ascii="Cambria Math" w:hAnsi="Cambria Math"/>
              </w:rPr>
              <m:t>d</m:t>
            </m:r>
          </m:e>
          <m:sub>
            <m:r>
              <m:rPr>
                <m:sty m:val="p"/>
              </m:rPr>
              <w:rPr>
                <w:rFonts w:ascii="Cambria Math" w:hAnsi="Cambria Math"/>
              </w:rPr>
              <m:t>eff</m:t>
            </m:r>
          </m:sub>
        </m:sSub>
      </m:oMath>
      <w:r>
        <w:t xml:space="preserve"> yield</w:t>
      </w:r>
    </w:p>
    <w:p w14:paraId="6A1F85E5" w14:textId="77777777" w:rsidR="0065117B"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r>
            <m:rPr>
              <m:sty m:val="p"/>
            </m:rPr>
            <w:rPr>
              <w:rFonts w:ascii="Cambria Math" w:hAnsi="Cambria Math"/>
            </w:rPr>
            <m:t>=</m:t>
          </m:r>
          <m:r>
            <w:rPr>
              <w:rFonts w:ascii="Cambria Math" w:hAnsi="Cambria Math"/>
            </w:rPr>
            <m:t>O​</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m:rPr>
                          <m:sty m:val="p"/>
                        </m:rPr>
                        <w:rPr>
                          <w:rFonts w:ascii="Cambria Math" w:hAnsi="Cambria Math"/>
                        </w:rPr>
                        <m:t>eff</m:t>
                      </m:r>
                    </m:sub>
                  </m:sSub>
                </m:num>
                <m:den>
                  <m:sSup>
                    <m:sSupPr>
                      <m:ctrlPr>
                        <w:rPr>
                          <w:rFonts w:ascii="Cambria Math" w:hAnsi="Cambria Math"/>
                        </w:rPr>
                      </m:ctrlPr>
                    </m:sSupPr>
                    <m:e>
                      <m:r>
                        <w:rPr>
                          <w:rFonts w:ascii="Cambria Math" w:hAnsi="Cambria Math"/>
                        </w:rPr>
                        <m:t>ε</m:t>
                      </m:r>
                    </m:e>
                    <m:sup>
                      <m:r>
                        <w:rPr>
                          <w:rFonts w:ascii="Cambria Math" w:hAnsi="Cambria Math"/>
                        </w:rPr>
                        <m:t>2</m:t>
                      </m:r>
                    </m:sup>
                  </m:sSup>
                </m:den>
              </m:f>
            </m:e>
          </m:d>
          <m:r>
            <m:rPr>
              <m:sty m:val="p"/>
            </m:rPr>
            <w:rPr>
              <w:rFonts w:ascii="Cambria Math" w:hAnsi="Cambria Math"/>
            </w:rPr>
            <m:t>.</m:t>
          </m:r>
        </m:oMath>
      </m:oMathPara>
    </w:p>
    <w:p w14:paraId="56608BD7" w14:textId="77777777" w:rsidR="0065117B" w:rsidRDefault="00000000">
      <w:pPr>
        <w:pStyle w:val="FirstParagraph"/>
      </w:pPr>
      <w:r>
        <w:t xml:space="preserve">Mapping inputs into a pretrained representation </w:t>
      </w:r>
      <m:oMath>
        <m:sSub>
          <m:sSubPr>
            <m:ctrlPr>
              <w:rPr>
                <w:rFonts w:ascii="Cambria Math" w:hAnsi="Cambria Math"/>
              </w:rPr>
            </m:ctrlPr>
          </m:sSubPr>
          <m:e>
            <m:r>
              <m:rPr>
                <m:sty m:val="p"/>
              </m:rPr>
              <w:rPr>
                <w:rFonts w:ascii="Cambria Math" w:hAnsi="Cambria Math"/>
              </w:rPr>
              <m:t>Φ</m:t>
            </m:r>
          </m:e>
          <m:sub>
            <m:r>
              <m:rPr>
                <m:sty m:val="p"/>
              </m:rPr>
              <w:rPr>
                <w:rFonts w:ascii="Cambria Math" w:hAnsi="Cambria Math"/>
              </w:rPr>
              <m:t>FM</m:t>
            </m:r>
          </m:sub>
        </m:sSub>
      </m:oMath>
      <w:r>
        <w:t xml:space="preserve"> shapes a lower-dimensional, more structured hypothesis space than the raw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-dimensional space, effectively reducing </w:t>
      </w:r>
      <m:oMath>
        <m:sSub>
          <m:sSubPr>
            <m:ctrlPr>
              <w:rPr>
                <w:rFonts w:ascii="Cambria Math" w:hAnsi="Cambria Math"/>
              </w:rPr>
            </m:ctrlPr>
          </m:sSubPr>
          <m:e>
            <m:r>
              <w:rPr>
                <w:rFonts w:ascii="Cambria Math" w:hAnsi="Cambria Math"/>
              </w:rPr>
              <m:t>d</m:t>
            </m:r>
          </m:e>
          <m:sub>
            <m:r>
              <m:rPr>
                <m:sty m:val="p"/>
              </m:rPr>
              <w:rPr>
                <w:rFonts w:ascii="Cambria Math" w:hAnsi="Cambria Math"/>
              </w:rPr>
              <m:t>eff</m:t>
            </m:r>
          </m:sub>
        </m:sSub>
      </m:oMath>
      <w:r>
        <w:t xml:space="preserve"> to roughly </w:t>
      </w:r>
      <m:oMath>
        <m:rad>
          <m:radPr>
            <m:degHide m:val="1"/>
            <m:ctrlPr>
              <w:rPr>
                <w:rFonts w:ascii="Cambria Math" w:hAnsi="Cambria Math"/>
              </w:rPr>
            </m:ctrlPr>
          </m:radPr>
          <m:deg/>
          <m:e>
            <m:sSup>
              <m:sSupPr>
                <m:ctrlPr>
                  <w:rPr>
                    <w:rFonts w:ascii="Cambria Math" w:hAnsi="Cambria Math"/>
                  </w:rPr>
                </m:ctrlPr>
              </m:sSupPr>
              <m:e>
                <m:r>
                  <w:rPr>
                    <w:rFonts w:ascii="Cambria Math" w:hAnsi="Cambria Math"/>
                  </w:rPr>
                  <m:t>d</m:t>
                </m:r>
              </m:e>
              <m:sup>
                <m:r>
                  <m:rPr>
                    <m:sty m:val="p"/>
                  </m:rPr>
                  <w:rPr>
                    <w:rFonts w:ascii="Cambria Math" w:hAnsi="Cambria Math"/>
                  </w:rPr>
                  <m:t>'</m:t>
                </m:r>
              </m:sup>
            </m:sSup>
          </m:e>
        </m:rad>
      </m:oMath>
      <w:r>
        <w:t xml:space="preserve"> in our setting. The sample size then scales as </w:t>
      </w:r>
      <m:oMath>
        <m:r>
          <w:rPr>
            <w:rFonts w:ascii="Cambria Math" w:hAnsi="Cambria Math"/>
          </w:rPr>
          <m:t>O</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d</m:t>
                </m:r>
              </m:e>
              <m:sup>
                <m:r>
                  <m:rPr>
                    <m:sty m:val="p"/>
                  </m:rPr>
                  <w:rPr>
                    <w:rFonts w:ascii="Cambria Math" w:hAnsi="Cambria Math"/>
                  </w:rPr>
                  <m:t>'</m:t>
                </m:r>
              </m:sup>
            </m:sSup>
          </m:e>
        </m:rad>
        <m:r>
          <m:rPr>
            <m:sty m:val="p"/>
          </m:rPr>
          <w:rPr>
            <w:rFonts w:ascii="Cambria Math" w:hAnsi="Cambria Math"/>
          </w:rPr>
          <m:t>/</m:t>
        </m:r>
        <m:sSup>
          <m:sSupPr>
            <m:ctrlPr>
              <w:rPr>
                <w:rFonts w:ascii="Cambria Math" w:hAnsi="Cambria Math"/>
              </w:rPr>
            </m:ctrlPr>
          </m:sSupPr>
          <m:e>
            <m:r>
              <w:rPr>
                <w:rFonts w:ascii="Cambria Math" w:hAnsi="Cambria Math"/>
              </w:rPr>
              <m:t>ε</m:t>
            </m:r>
          </m:e>
          <m:sup>
            <m:r>
              <w:rPr>
                <w:rFonts w:ascii="Cambria Math" w:hAnsi="Cambria Math"/>
              </w:rPr>
              <m:t>2</m:t>
            </m:r>
          </m:sup>
        </m:sSup>
        <m:r>
          <m:rPr>
            <m:sty m:val="p"/>
          </m:rPr>
          <w:rPr>
            <w:rFonts w:ascii="Cambria Math" w:hAnsi="Cambria Math"/>
          </w:rPr>
          <m:t>)</m:t>
        </m:r>
      </m:oMath>
      <w:r>
        <w:t xml:space="preserve"> instead of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ε</m:t>
            </m:r>
          </m:e>
          <m:sup>
            <m:r>
              <w:rPr>
                <w:rFonts w:ascii="Cambria Math" w:hAnsi="Cambria Math"/>
              </w:rPr>
              <m:t>2</m:t>
            </m:r>
          </m:sup>
        </m:sSup>
        <m:r>
          <m:rPr>
            <m:sty m:val="p"/>
          </m:rPr>
          <w:rPr>
            <w:rFonts w:ascii="Cambria Math" w:hAnsi="Cambria Math"/>
          </w:rPr>
          <m:t>)</m:t>
        </m:r>
      </m:oMath>
      <w:r>
        <w:t>, reflecting transferred sample efficiency [</w:t>
      </w:r>
      <w:hyperlink w:anchor="ref-hollmann2025accurate">
        <w:r>
          <w:rPr>
            <w:rStyle w:val="af"/>
          </w:rPr>
          <w:t>6</w:t>
        </w:r>
      </w:hyperlink>
      <w:r>
        <w:t>,</w:t>
      </w:r>
      <w:hyperlink w:anchor="ref-bommasani2021opportunities">
        <w:r>
          <w:rPr>
            <w:rStyle w:val="af"/>
          </w:rPr>
          <w:t>39</w:t>
        </w:r>
      </w:hyperlink>
      <w:r>
        <w:t>].</w:t>
      </w:r>
    </w:p>
    <w:p w14:paraId="50E1AC4B" w14:textId="77777777" w:rsidR="0065117B" w:rsidRDefault="00000000">
      <w:pPr>
        <w:pStyle w:val="1"/>
      </w:pPr>
      <w:bookmarkStart w:id="12" w:name="sec:problem-formulation"/>
      <w:bookmarkStart w:id="13" w:name="_Toc214939477"/>
      <w:bookmarkEnd w:id="2"/>
      <w:bookmarkEnd w:id="10"/>
      <w:r>
        <w:t>Problem Formulation</w:t>
      </w:r>
      <w:bookmarkEnd w:id="13"/>
    </w:p>
    <w:p w14:paraId="7C9B9661" w14:textId="77777777" w:rsidR="0065117B" w:rsidRDefault="00000000">
      <w:pPr>
        <w:pStyle w:val="FirstParagraph"/>
      </w:pPr>
      <w:r>
        <w:t>Cross-hospital medical classification mixes distribution shift, sample scarcity, and feature heterogeneity. We cast it as an unsupervised domain adaptation (UDA) problem on structured clinical data: the goal is reliable prediction in a target hospital without target labels. The framing mirrors common deployment constraints in medical AI.</w:t>
      </w:r>
    </w:p>
    <w:p w14:paraId="77E4FEF8" w14:textId="77777777" w:rsidR="0065117B" w:rsidRDefault="00000000">
      <w:pPr>
        <w:pStyle w:val="2"/>
      </w:pPr>
      <w:bookmarkStart w:id="14" w:name="cross-domain-learning-setup"/>
      <w:bookmarkStart w:id="15" w:name="_Toc214939478"/>
      <w:r>
        <w:t>Cross-Domain Learning Setup</w:t>
      </w:r>
      <w:bookmarkEnd w:id="15"/>
    </w:p>
    <w:p w14:paraId="27167A57" w14:textId="77777777" w:rsidR="0065117B" w:rsidRDefault="00000000">
      <w:pPr>
        <w:pStyle w:val="FirstParagraph"/>
      </w:pPr>
      <w:r>
        <w:t xml:space="preserve">We consider two cohorts from different institutions. The source domain is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i</m:t>
            </m:r>
          </m:sub>
          <m:sup>
            <m:r>
              <w:rPr>
                <w:rFonts w:ascii="Cambria Math" w:hAnsi="Cambria Math"/>
              </w:rPr>
              <m:t>s</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s</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sSubSup>
      </m:oMath>
      <w:r>
        <w:t xml:space="preserve"> with labels; the target domain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j</m:t>
            </m:r>
          </m:sub>
          <m:sup>
            <m:r>
              <w:rPr>
                <w:rFonts w:ascii="Cambria Math" w:hAnsi="Cambria Math"/>
              </w:rPr>
              <m:t>t</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sSubSup>
      </m:oMath>
      <w:r>
        <w:t xml:space="preserve"> has only unlabeled records. Each sample </w:t>
      </w:r>
      <m:oMath>
        <m:r>
          <m:rPr>
            <m:sty m:val="b"/>
          </m:rP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is a tabular feature vector and </w:t>
      </w: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denotes malignancy.</w:t>
      </w:r>
    </w:p>
    <w:p w14:paraId="24601407" w14:textId="77777777" w:rsidR="0065117B" w:rsidRDefault="00000000">
      <w:pPr>
        <w:pStyle w:val="a0"/>
      </w:pPr>
      <w:r>
        <w:t>Institutional differences in populations and measurement protocols create both marginal and conditional shifts:</w:t>
      </w:r>
    </w:p>
    <w:p w14:paraId="14ED21C5" w14:textId="77777777" w:rsidR="0065117B"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oMath>
      </m:oMathPara>
    </w:p>
    <w:p w14:paraId="68353225" w14:textId="77777777" w:rsidR="0065117B" w:rsidRDefault="00000000">
      <w:pPr>
        <w:pStyle w:val="FirstParagraph"/>
      </w:pPr>
      <w:r>
        <w:t xml:space="preserve">Hospitals usually record only partially overlapping feature sets. Let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s</m:t>
            </m:r>
          </m:sub>
        </m:sSub>
      </m:oMath>
      <w:r>
        <w:t xml:space="preserve"> and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oMath>
      <w:r>
        <w:t xml:space="preserve"> be the available indices, and </w:t>
      </w:r>
      <m:oMath>
        <m:r>
          <m:rPr>
            <m:scr m:val="script"/>
            <m:sty m:val="p"/>
          </m:rPr>
          <w:rPr>
            <w:rFonts w:ascii="Cambria Math" w:hAnsi="Cambria Math"/>
          </w:rPr>
          <m:t>F=</m:t>
        </m:r>
        <m:sSub>
          <m:sSubPr>
            <m:ctrlPr>
              <w:rPr>
                <w:rFonts w:ascii="Cambria Math" w:hAnsi="Cambria Math"/>
              </w:rPr>
            </m:ctrlPr>
          </m:sSubPr>
          <m:e>
            <m:r>
              <m:rPr>
                <m:scr m:val="script"/>
                <m:sty m:val="p"/>
              </m:rPr>
              <w:rPr>
                <w:rFonts w:ascii="Cambria Math" w:hAnsi="Cambria Math"/>
              </w:rPr>
              <m:t>F</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oMath>
      <w:r>
        <w:t xml:space="preserve"> the shared subset with dimension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&lt;</m:t>
        </m:r>
        <m:r>
          <w:rPr>
            <w:rFonts w:ascii="Cambria Math" w:hAnsi="Cambria Math"/>
          </w:rPr>
          <m:t>d</m:t>
        </m:r>
      </m:oMath>
      <w:r>
        <w:t>. We assume the shared features hold enough discriminative information for prediction in the reduced space.</w:t>
      </w:r>
    </w:p>
    <w:p w14:paraId="5BD19C64" w14:textId="77777777" w:rsidR="0065117B" w:rsidRDefault="00000000">
      <w:pPr>
        <w:pStyle w:val="a0"/>
      </w:pPr>
      <w:r>
        <w:t xml:space="preserve">The aim is to learn a classifier </w:t>
      </w:r>
      <m:oMath>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X</m:t>
            </m:r>
          </m:e>
          <m:sub>
            <m:r>
              <m:rPr>
                <m:scr m:val="script"/>
                <m:sty m:val="p"/>
              </m:rPr>
              <w:rPr>
                <w:rFonts w:ascii="Cambria Math" w:hAnsi="Cambria Math"/>
              </w:rPr>
              <m:t>F</m:t>
            </m:r>
          </m:sub>
        </m:sSub>
        <m:r>
          <m:rPr>
            <m:scr m:val="script"/>
            <m:sty m:val="p"/>
          </m:rPr>
          <w:rPr>
            <w:rFonts w:ascii="Cambria Math" w:hAnsi="Cambria Math"/>
          </w:rPr>
          <m:t>→Y</m:t>
        </m:r>
      </m:oMath>
      <w:r>
        <w:t xml:space="preserve"> using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oMath>
      <w:r>
        <w:t xml:space="preserve"> and unlabeled target samples so that the target risk</w:t>
      </w:r>
    </w:p>
    <w:p w14:paraId="13699833" w14:textId="77777777" w:rsidR="0065117B"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f</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5009745" w14:textId="77777777" w:rsidR="0065117B" w:rsidRDefault="00000000">
      <w:pPr>
        <w:pStyle w:val="FirstParagraph"/>
      </w:pPr>
      <w:r>
        <w:t>is minimized. This mirrors deployment settings where target labels cannot be shared because of privacy constraints.</w:t>
      </w:r>
    </w:p>
    <w:p w14:paraId="12B81B7E" w14:textId="77777777" w:rsidR="0065117B" w:rsidRDefault="00000000">
      <w:pPr>
        <w:pStyle w:val="2"/>
      </w:pPr>
      <w:bookmarkStart w:id="16" w:name="X4b7d87563ad5aa21bb8ad4632dd83095ac7aa13"/>
      <w:bookmarkStart w:id="17" w:name="_Toc214939479"/>
      <w:bookmarkEnd w:id="14"/>
      <w:r>
        <w:t>Challenges in Cross-Institutional Learning</w:t>
      </w:r>
      <w:bookmarkEnd w:id="17"/>
    </w:p>
    <w:p w14:paraId="3C037A0E" w14:textId="77777777" w:rsidR="0065117B" w:rsidRDefault="00000000">
      <w:pPr>
        <w:pStyle w:val="FirstParagraph"/>
      </w:pPr>
      <w:r>
        <w:t xml:space="preserve">Clinical tabular cohorts usually include only a few hundred labeled patients. For hypothesis classes on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shared features, estimation error scales as </w:t>
      </w:r>
      <m:oMath>
        <m:acc>
          <m:accPr>
            <m:chr m:val="̃"/>
            <m:ctrlPr>
              <w:rPr>
                <w:rFonts w:ascii="Cambria Math" w:hAnsi="Cambria Math"/>
              </w:rPr>
            </m:ctrlPr>
          </m:accPr>
          <m:e>
            <m:r>
              <w:rPr>
                <w:rFonts w:ascii="Cambria Math" w:hAnsi="Cambria Math"/>
              </w:rPr>
              <m:t>O</m:t>
            </m:r>
          </m:e>
        </m:acc>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e>
        </m:rad>
        <m:r>
          <m:rPr>
            <m:sty m:val="p"/>
          </m:rPr>
          <w:rPr>
            <w:rFonts w:ascii="Cambria Math" w:hAnsi="Cambria Math"/>
          </w:rPr>
          <m:t>)</m:t>
        </m:r>
      </m:oMath>
      <w:r>
        <w:t xml:space="preserve">, making high-capacity models unreliable once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500</m:t>
        </m:r>
      </m:oMath>
      <w:r>
        <w:t>. Many UDA techniques implicitly bank on larger sample sizes than most hospitals can release.</w:t>
      </w:r>
    </w:p>
    <w:p w14:paraId="6C6E3749" w14:textId="77777777" w:rsidR="0065117B" w:rsidRDefault="00000000">
      <w:pPr>
        <w:pStyle w:val="a0"/>
      </w:pPr>
      <w:r>
        <w:t>Distributional mismatch compounds the limits. Under the standard domain adaptation bound</w:t>
      </w:r>
    </w:p>
    <w:p w14:paraId="5B4BE14E" w14:textId="77777777" w:rsidR="0065117B"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λ</m:t>
          </m:r>
          <m:r>
            <m:rPr>
              <m:sty m:val="p"/>
            </m:rPr>
            <w:rPr>
              <w:rFonts w:ascii="Cambria Math" w:hAnsi="Cambria Math"/>
            </w:rPr>
            <m:t>,</m:t>
          </m:r>
        </m:oMath>
      </m:oMathPara>
    </w:p>
    <w:p w14:paraId="090F5BDC" w14:textId="77777777" w:rsidR="0065117B" w:rsidRDefault="00000000">
      <w:pPr>
        <w:pStyle w:val="FirstParagraph"/>
      </w:pPr>
      <w:r>
        <w:t>the divergence term dominates when variability is substantial–differences in CT scanners, assays, and patient populations. Partial feature overlap means source and target supports only partly coincide, straining assumptions behind kernel alignment and adversarial methods.</w:t>
      </w:r>
    </w:p>
    <w:p w14:paraId="2D43B754" w14:textId="77777777" w:rsidR="0065117B" w:rsidRDefault="00000000">
      <w:pPr>
        <w:pStyle w:val="a0"/>
      </w:pPr>
      <w:r>
        <w:t xml:space="preserve">Deep neural networks face the same hurdle: effective dimension </w:t>
      </w:r>
      <m:oMath>
        <m:sSub>
          <m:sSubPr>
            <m:ctrlPr>
              <w:rPr>
                <w:rFonts w:ascii="Cambria Math" w:hAnsi="Cambria Math"/>
              </w:rPr>
            </m:ctrlPr>
          </m:sSubPr>
          <m:e>
            <m:r>
              <w:rPr>
                <w:rFonts w:ascii="Cambria Math" w:hAnsi="Cambria Math"/>
              </w:rPr>
              <m:t>d</m:t>
            </m:r>
          </m:e>
          <m:sub>
            <m:r>
              <m:rPr>
                <m:sty m:val="p"/>
              </m:rPr>
              <w:rPr>
                <w:rFonts w:ascii="Cambria Math" w:hAnsi="Cambria Math"/>
              </w:rPr>
              <m:t>eff</m:t>
            </m:r>
          </m:sub>
        </m:sSub>
      </m:oMath>
      <w:r>
        <w:t xml:space="preserve"> yields sample complexity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=Ω(</m:t>
        </m:r>
        <m:sSub>
          <m:sSubPr>
            <m:ctrlPr>
              <w:rPr>
                <w:rFonts w:ascii="Cambria Math" w:hAnsi="Cambria Math"/>
              </w:rPr>
            </m:ctrlPr>
          </m:sSubPr>
          <m:e>
            <m:r>
              <w:rPr>
                <w:rFonts w:ascii="Cambria Math" w:hAnsi="Cambria Math"/>
              </w:rPr>
              <m:t>d</m:t>
            </m:r>
          </m:e>
          <m:sub>
            <m:r>
              <m:rPr>
                <m:sty m:val="p"/>
              </m:rPr>
              <w:rPr>
                <w:rFonts w:ascii="Cambria Math" w:hAnsi="Cambria Math"/>
              </w:rPr>
              <m:t>eff</m:t>
            </m:r>
          </m:sub>
        </m:sSub>
        <m:r>
          <m:rPr>
            <m:sty m:val="p"/>
          </m:rPr>
          <w:rPr>
            <w:rFonts w:ascii="Cambria Math" w:hAnsi="Cambria Math"/>
          </w:rPr>
          <m:t>/</m:t>
        </m:r>
        <m:sSup>
          <m:sSupPr>
            <m:ctrlPr>
              <w:rPr>
                <w:rFonts w:ascii="Cambria Math" w:hAnsi="Cambria Math"/>
              </w:rPr>
            </m:ctrlPr>
          </m:sSupPr>
          <m:e>
            <m:r>
              <w:rPr>
                <w:rFonts w:ascii="Cambria Math" w:hAnsi="Cambria Math"/>
              </w:rPr>
              <m:t>ϵ</m:t>
            </m:r>
          </m:e>
          <m:sup>
            <m:r>
              <w:rPr>
                <w:rFonts w:ascii="Cambria Math" w:hAnsi="Cambria Math"/>
              </w:rPr>
              <m:t>2</m:t>
            </m:r>
          </m:sup>
        </m:sSup>
        <m:r>
          <m:rPr>
            <m:sty m:val="p"/>
          </m:rPr>
          <w:rPr>
            <w:rFonts w:ascii="Cambria Math" w:hAnsi="Cambria Math"/>
          </w:rPr>
          <m:t>)</m:t>
        </m:r>
      </m:oMath>
      <w:r>
        <w:t xml:space="preserve">, leaving conventional representation learning under-specified in medical tabular contexts where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is modest but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is tiny.</w:t>
      </w:r>
    </w:p>
    <w:p w14:paraId="19DCD208" w14:textId="77777777" w:rsidR="0065117B" w:rsidRDefault="00000000">
      <w:pPr>
        <w:pStyle w:val="1"/>
      </w:pPr>
      <w:bookmarkStart w:id="18" w:name="sec:solution"/>
      <w:bookmarkStart w:id="19" w:name="_Toc214939480"/>
      <w:bookmarkEnd w:id="12"/>
      <w:bookmarkEnd w:id="16"/>
      <w:r>
        <w:t>Solution</w:t>
      </w:r>
      <w:bookmarkEnd w:id="19"/>
    </w:p>
    <w:p w14:paraId="47723F71" w14:textId="77777777" w:rsidR="0065117B" w:rsidRDefault="00000000">
      <w:pPr>
        <w:pStyle w:val="FirstParagraph"/>
      </w:pPr>
      <w:r>
        <w:t>PANDA targets the three core limitations identified in sample scarcity, distribution shift, and feature heterogeneity.</w:t>
      </w:r>
    </w:p>
    <w:p w14:paraId="04F8B748" w14:textId="77777777" w:rsidR="0065117B" w:rsidRDefault="00000000">
      <w:pPr>
        <w:pStyle w:val="2"/>
      </w:pPr>
      <w:bookmarkStart w:id="20" w:name="compositional-architecture"/>
      <w:bookmarkStart w:id="21" w:name="_Toc214939481"/>
      <w:r>
        <w:t>Compositional Architecture</w:t>
      </w:r>
      <w:bookmarkEnd w:id="21"/>
    </w:p>
    <w:p w14:paraId="549C07D7" w14:textId="77777777" w:rsidR="0065117B" w:rsidRDefault="00000000">
      <w:pPr>
        <w:pStyle w:val="FirstParagraph"/>
      </w:pPr>
      <w:r>
        <w:t>PANDA consists of four sequential operators, each resolving a specific challenge in cross-hospital prediction, as depicted in Fig. </w:t>
      </w:r>
      <w:hyperlink w:anchor="fig:model_details">
        <w:r>
          <w:rPr>
            <w:rStyle w:val="af"/>
          </w:rPr>
          <w:t>1</w:t>
        </w:r>
      </w:hyperlink>
      <w:r>
        <w:t>.</w:t>
      </w:r>
    </w:p>
    <w:p w14:paraId="00E5B646" w14:textId="77777777" w:rsidR="0065117B" w:rsidRDefault="00000000">
      <w:pPr>
        <w:pStyle w:val="4"/>
      </w:pPr>
      <w:bookmarkStart w:id="22" w:name="cross-domain-feature-selection."/>
      <w:r>
        <w:t>(1) Cross-domain feature selection.</w:t>
      </w:r>
    </w:p>
    <w:p w14:paraId="078E55E1" w14:textId="77777777" w:rsidR="0065117B" w:rsidRDefault="00000000">
      <w:pPr>
        <w:pStyle w:val="FirstParagraph"/>
      </w:pPr>
      <w:r>
        <w:t xml:space="preserve">The operator </w:t>
      </w:r>
      <m:oMath>
        <m:sSub>
          <m:sSubPr>
            <m:ctrlPr>
              <w:rPr>
                <w:rFonts w:ascii="Cambria Math" w:hAnsi="Cambria Math"/>
              </w:rPr>
            </m:ctrlPr>
          </m:sSubPr>
          <m:e>
            <m:r>
              <m:rPr>
                <m:scr m:val="script"/>
                <m:sty m:val="p"/>
              </m:rPr>
              <w:rPr>
                <w:rFonts w:ascii="Cambria Math" w:hAnsi="Cambria Math"/>
              </w:rPr>
              <m:t>T</m:t>
            </m:r>
          </m:e>
          <m:sub>
            <m:r>
              <m:rPr>
                <m:nor/>
              </m:rPr>
              <m:t>RFE</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d</m:t>
                </m:r>
              </m:e>
              <m:sup>
                <m:r>
                  <m:rPr>
                    <m:sty m:val="p"/>
                  </m:rPr>
                  <w:rPr>
                    <w:rFonts w:ascii="Cambria Math" w:hAnsi="Cambria Math"/>
                  </w:rPr>
                  <m:t>'</m:t>
                </m:r>
              </m:sup>
            </m:sSup>
          </m:sup>
        </m:sSup>
      </m:oMath>
      <w:r>
        <w:t xml:space="preserve"> selects a domain-stable subset of features via cross-domain recursive elimination:</w:t>
      </w:r>
    </w:p>
    <w:p w14:paraId="7A813FEC" w14:textId="77777777" w:rsidR="0065117B"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T</m:t>
              </m:r>
            </m:e>
            <m:sub>
              <m:r>
                <m:rPr>
                  <m:nor/>
                </m:rPr>
                <m:t>RFE</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sub>
          </m:sSub>
          <m:r>
            <m:rPr>
              <m:sty m:val="p"/>
            </m:rPr>
            <w:rPr>
              <w:rFonts w:ascii="Cambria Math" w:hAnsi="Cambria Math"/>
            </w:rPr>
            <m:t>,</m:t>
          </m:r>
          <m:r>
            <w:rPr>
              <w:rFonts w:ascii="Cambria Math" w:hAnsi="Cambria Math"/>
            </w:rPr>
            <m:t>  </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sub>
            <m:sup>
              <m:r>
                <w:rPr>
                  <w:rFonts w:ascii="Cambria Math" w:hAnsi="Cambria Math"/>
                </w:rPr>
                <m:t>​</m:t>
              </m:r>
            </m:sup>
            <m:e>
              <m:sSub>
                <m:sSubPr>
                  <m:ctrlPr>
                    <w:rPr>
                      <w:rFonts w:ascii="Cambria Math" w:hAnsi="Cambria Math"/>
                    </w:rPr>
                  </m:ctrlPr>
                </m:sSubPr>
                <m:e>
                  <m:r>
                    <m:rPr>
                      <m:sty m:val="p"/>
                    </m:rPr>
                    <w:rPr>
                      <w:rFonts w:ascii="Cambria Math" w:hAnsi="Cambria Math"/>
                    </w:rPr>
                    <m:t>Var</m:t>
                  </m:r>
                </m:e>
                <m:sub>
                  <m:r>
                    <m:rPr>
                      <m:sty m:val="p"/>
                    </m:rPr>
                    <w:rPr>
                      <w:rFonts w:ascii="Cambria Math" w:hAnsi="Cambria Math"/>
                    </w:rPr>
                    <m:t>domain</m:t>
                  </m:r>
                </m:sub>
              </m:sSub>
            </m:e>
          </m:nary>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λ</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oMath>
      </m:oMathPara>
    </w:p>
    <w:p w14:paraId="4B7E4C5D" w14:textId="77777777" w:rsidR="0065117B" w:rsidRDefault="00000000">
      <w:pPr>
        <w:pStyle w:val="FirstParagraph"/>
      </w:pPr>
      <w:r>
        <w:t>This yields a compact and clinically consistent feature set shared across institutions.</w:t>
      </w:r>
    </w:p>
    <w:p w14:paraId="4744652D" w14:textId="77777777" w:rsidR="0065117B" w:rsidRDefault="00000000">
      <w:pPr>
        <w:pStyle w:val="4"/>
      </w:pPr>
      <w:bookmarkStart w:id="23" w:name="foundation-model-representation."/>
      <w:bookmarkEnd w:id="22"/>
      <w:r>
        <w:t>(2) Foundation-model representation.</w:t>
      </w:r>
    </w:p>
    <w:p w14:paraId="25EA3D93" w14:textId="77777777" w:rsidR="0065117B" w:rsidRDefault="00000000">
      <w:pPr>
        <w:pStyle w:val="FirstParagraph"/>
      </w:pPr>
      <w:r>
        <w:t xml:space="preserve">The pretrained TabPFN encoder </w:t>
      </w:r>
      <m:oMath>
        <m:sSub>
          <m:sSubPr>
            <m:ctrlPr>
              <w:rPr>
                <w:rFonts w:ascii="Cambria Math" w:hAnsi="Cambria Math"/>
              </w:rPr>
            </m:ctrlPr>
          </m:sSubPr>
          <m:e>
            <m:r>
              <m:rPr>
                <m:sty m:val="p"/>
              </m:rPr>
              <w:rPr>
                <w:rFonts w:ascii="Cambria Math" w:hAnsi="Cambria Math"/>
              </w:rPr>
              <m:t>Φ</m:t>
            </m:r>
          </m:e>
          <m:sub>
            <m:r>
              <m:rPr>
                <m:sty m:val="p"/>
              </m:rPr>
              <w:rPr>
                <w:rFonts w:ascii="Cambria Math" w:hAnsi="Cambria Math"/>
              </w:rPr>
              <m:t>FM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d</m:t>
                </m:r>
              </m:e>
              <m:sup>
                <m:r>
                  <m:rPr>
                    <m:sty m:val="p"/>
                  </m:rPr>
                  <w:rPr>
                    <w:rFonts w:ascii="Cambria Math" w:hAnsi="Cambria Math"/>
                  </w:rPr>
                  <m:t>'</m:t>
                </m:r>
              </m:sup>
            </m:sSup>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m:t>
            </m:r>
          </m:sup>
        </m:sSup>
      </m:oMath>
      <w:r>
        <w:t xml:space="preserve"> maps the reduced features into a smooth latent space:</w:t>
      </w:r>
    </w:p>
    <w:p w14:paraId="2648FC28" w14:textId="77777777" w:rsidR="0065117B" w:rsidRDefault="00000000">
      <w:pPr>
        <w:pStyle w:val="a0"/>
      </w:pPr>
      <m:oMathPara>
        <m:oMathParaPr>
          <m:jc m:val="center"/>
        </m:oMathParaPr>
        <m:oMath>
          <m:sSub>
            <m:sSubPr>
              <m:ctrlPr>
                <w:rPr>
                  <w:rFonts w:ascii="Cambria Math" w:hAnsi="Cambria Math"/>
                </w:rPr>
              </m:ctrlPr>
            </m:sSubPr>
            <m:e>
              <m:r>
                <m:rPr>
                  <m:sty m:val="p"/>
                </m:rPr>
                <w:rPr>
                  <w:rFonts w:ascii="Cambria Math" w:hAnsi="Cambria Math"/>
                </w:rPr>
                <m:t>Φ</m:t>
              </m:r>
            </m:e>
            <m:sub>
              <m:r>
                <m:rPr>
                  <m:sty m:val="p"/>
                </m:rPr>
                <w:rPr>
                  <w:rFonts w:ascii="Cambria Math" w:hAnsi="Cambria Math"/>
                </w:rPr>
                <m:t>FM</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Transformer</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(Tokenize(</m:t>
          </m:r>
          <m:r>
            <m:rPr>
              <m:sty m:val="b"/>
            </m:rPr>
            <w:rPr>
              <w:rFonts w:ascii="Cambria Math" w:hAnsi="Cambria Math"/>
            </w:rPr>
            <m:t>x</m:t>
          </m:r>
          <m:r>
            <m:rPr>
              <m:sty m:val="p"/>
            </m:rPr>
            <w:rPr>
              <w:rFonts w:ascii="Cambria Math" w:hAnsi="Cambria Math"/>
            </w:rPr>
            <m:t>)).</m:t>
          </m:r>
        </m:oMath>
      </m:oMathPara>
    </w:p>
    <w:p w14:paraId="58FE5682" w14:textId="77777777" w:rsidR="0065117B" w:rsidRDefault="00000000">
      <w:pPr>
        <w:pStyle w:val="FirstParagraph"/>
      </w:pPr>
      <w:r>
        <w:t>This step injects inductive priors learned from millions of synthetic tasks, yielding representations that generalize even when few labeled samples exist.</w:t>
      </w:r>
    </w:p>
    <w:p w14:paraId="30499A1C" w14:textId="77777777" w:rsidR="0065117B" w:rsidRDefault="00000000">
      <w:pPr>
        <w:pStyle w:val="4"/>
      </w:pPr>
      <w:bookmarkStart w:id="24" w:name="domain-invariant-alignment-via-tca."/>
      <w:bookmarkEnd w:id="23"/>
      <w:r>
        <w:t>(3) Domain-invariant alignment via TCA.</w:t>
      </w:r>
    </w:p>
    <w:p w14:paraId="12A9F8B2" w14:textId="77777777" w:rsidR="0065117B" w:rsidRDefault="00000000">
      <w:pPr>
        <w:pStyle w:val="FirstParagraph"/>
      </w:pPr>
      <w:r>
        <w:t>Transfer Component Analysis (TCA) learns a projection that reduces distribution discrepancies between hospitals:</w:t>
      </w:r>
    </w:p>
    <w:p w14:paraId="1DB673F2" w14:textId="77777777" w:rsidR="0065117B" w:rsidRDefault="00000000">
      <w:pPr>
        <w:pStyle w:val="a0"/>
      </w:pPr>
      <m:oMathPara>
        <m:oMathParaPr>
          <m:jc m:val="center"/>
        </m:oMathParaPr>
        <m:oMath>
          <m:limLow>
            <m:limLowPr>
              <m:ctrlPr>
                <w:rPr>
                  <w:rFonts w:ascii="Cambria Math" w:hAnsi="Cambria Math"/>
                </w:rPr>
              </m:ctrlPr>
            </m:limLowPr>
            <m:e>
              <m:r>
                <m:rPr>
                  <m:sty m:val="p"/>
                </m:rPr>
                <w:rPr>
                  <w:rFonts w:ascii="Cambria Math" w:hAnsi="Cambria Math"/>
                </w:rPr>
                <m:t>min</m:t>
              </m:r>
            </m:e>
            <m:lim>
              <m:r>
                <w:rPr>
                  <w:rFonts w:ascii="Cambria Math" w:hAnsi="Cambria Math"/>
                </w:rPr>
                <m:t>W</m:t>
              </m:r>
            </m:lim>
          </m:limLow>
          <m:r>
            <w:rPr>
              <w:rFonts w:ascii="Cambria Math" w:hAnsi="Cambria Math"/>
            </w:rPr>
            <m:t> </m:t>
          </m:r>
          <m:r>
            <m:rPr>
              <m:sty m:val="p"/>
            </m:rPr>
            <w:rPr>
              <w:rFonts w:ascii="Cambria Math" w:hAnsi="Cambria Math"/>
            </w:rPr>
            <m:t>tr(</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KL</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w:rPr>
              <w:rFonts w:ascii="Cambria Math" w:hAnsi="Cambria Math"/>
            </w:rPr>
            <m:t>W</m:t>
          </m:r>
          <m:r>
            <m:rPr>
              <m:sty m:val="p"/>
            </m:rPr>
            <w:rPr>
              <w:rFonts w:ascii="Cambria Math" w:hAnsi="Cambria Math"/>
            </w:rPr>
            <m:t>)+</m:t>
          </m:r>
          <m:r>
            <w:rPr>
              <w:rFonts w:ascii="Cambria Math" w:hAnsi="Cambria Math"/>
            </w:rPr>
            <m:t>μ </m:t>
          </m:r>
          <m:r>
            <m:rPr>
              <m:sty m:val="p"/>
            </m:rPr>
            <w:rPr>
              <w:rFonts w:ascii="Cambria Math" w:hAnsi="Cambria Math"/>
            </w:rPr>
            <m:t>tr(</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KH</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w:rPr>
              <w:rFonts w:ascii="Cambria Math" w:hAnsi="Cambria Math"/>
            </w:rPr>
            <m:t>W</m:t>
          </m:r>
          <m:r>
            <m:rPr>
              <m:sty m:val="p"/>
            </m:rPr>
            <w:rPr>
              <w:rFonts w:ascii="Cambria Math" w:hAnsi="Cambria Math"/>
            </w:rPr>
            <m:t>),</m:t>
          </m:r>
        </m:oMath>
      </m:oMathPara>
    </w:p>
    <w:p w14:paraId="7B8AD5FD" w14:textId="77777777" w:rsidR="0065117B" w:rsidRDefault="00000000">
      <w:pPr>
        <w:pStyle w:val="FirstParagraph"/>
      </w:pPr>
      <w:r>
        <w:lastRenderedPageBreak/>
        <w:t xml:space="preserve">where </w:t>
      </w:r>
      <m:oMath>
        <m:r>
          <w:rPr>
            <w:rFonts w:ascii="Cambria Math" w:hAnsi="Cambria Math"/>
          </w:rPr>
          <m:t>L</m:t>
        </m:r>
      </m:oMath>
      <w:r>
        <w:t xml:space="preserve"> encodes maximum mean discrepancy (MMD), </w:t>
      </w:r>
      <m:oMath>
        <m:r>
          <w:rPr>
            <w:rFonts w:ascii="Cambria Math" w:hAnsi="Cambria Math"/>
          </w:rPr>
          <m:t>H</m:t>
        </m:r>
      </m:oMath>
      <w:r>
        <w:t xml:space="preserve"> is a centering matrix, and </w:t>
      </w:r>
      <m:oMath>
        <m:r>
          <w:rPr>
            <w:rFonts w:ascii="Cambria Math" w:hAnsi="Cambria Math"/>
          </w:rPr>
          <m:t>K</m:t>
        </m:r>
      </m:oMath>
      <w:r>
        <w:t xml:space="preserve"> is a kernel matrix (linear kernel in our implementation). The aligned representation is</w:t>
      </w:r>
    </w:p>
    <w:p w14:paraId="18404B44" w14:textId="77777777" w:rsidR="0065117B" w:rsidRDefault="00000000">
      <w:pPr>
        <w:pStyle w:val="a0"/>
      </w:pPr>
      <m:oMathPara>
        <m:oMathParaPr>
          <m:jc m:val="center"/>
        </m:oMathParaPr>
        <m:oMath>
          <m:r>
            <m:rPr>
              <m:sty m:val="b"/>
            </m:rP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ϕ</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  ϕ</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r>
            <m:rPr>
              <m:sty m:val="p"/>
            </m:rPr>
            <w:rPr>
              <w:rFonts w:ascii="Cambria Math" w:hAnsi="Cambria Math"/>
            </w:rPr>
            <m:t>,</m:t>
          </m:r>
        </m:oMath>
      </m:oMathPara>
    </w:p>
    <w:p w14:paraId="75942905" w14:textId="77777777" w:rsidR="0065117B" w:rsidRDefault="00000000">
      <w:pPr>
        <w:pStyle w:val="FirstParagraph"/>
      </w:pPr>
      <w:r>
        <w:t xml:space="preserve">with </w:t>
      </w:r>
      <m:oMath>
        <m:r>
          <w:rPr>
            <w:rFonts w:ascii="Cambria Math" w:hAnsi="Cambria Math"/>
          </w:rPr>
          <m:t>k</m:t>
        </m:r>
      </m:oMath>
      <w:r>
        <w:t xml:space="preserve"> chosen automatically to preserve information while enabling effective alignment.</w:t>
      </w:r>
    </w:p>
    <w:p w14:paraId="4FF6A34B" w14:textId="77777777" w:rsidR="0065117B" w:rsidRDefault="00000000">
      <w:pPr>
        <w:pStyle w:val="4"/>
      </w:pPr>
      <w:bookmarkStart w:id="25" w:name="X5a44a325e74ce0c954bcf7cf3000f97e974fd60"/>
      <w:bookmarkEnd w:id="24"/>
      <w:r>
        <w:t>(4) Classification head with ensemble aggregation.</w:t>
      </w:r>
    </w:p>
    <w:p w14:paraId="43E36576" w14:textId="77777777" w:rsidR="0065117B" w:rsidRDefault="00000000">
      <w:pPr>
        <w:pStyle w:val="FirstParagraph"/>
      </w:pPr>
      <w:r>
        <w:t xml:space="preserve">The final classifier </w:t>
      </w:r>
      <m:oMath>
        <m:r>
          <w:rPr>
            <w:rFonts w:ascii="Cambria Math" w:hAnsi="Cambria Math"/>
          </w:rPr>
          <m:t>h</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operates on aligned features and aggregates predictions across multiple preprocessing branches and random seeds:</w:t>
      </w:r>
    </w:p>
    <w:p w14:paraId="05B84B51" w14:textId="77777777" w:rsidR="0065117B" w:rsidRDefault="00000000">
      <w:pPr>
        <w:pStyle w:val="a0"/>
      </w:pPr>
      <m:oMathPara>
        <m:oMathParaPr>
          <m:jc m:val="center"/>
        </m:oMathParaPr>
        <m:oMath>
          <m:r>
            <w:rPr>
              <w:rFonts w:ascii="Cambria Math" w:hAnsi="Cambria Math"/>
            </w:rPr>
            <m:t>f</m:t>
          </m:r>
          <m:r>
            <m:rPr>
              <m:sty m:val="p"/>
            </m:rPr>
            <w:rPr>
              <w:rFonts w:ascii="Cambria Math" w:hAnsi="Cambria Math"/>
            </w:rPr>
            <m:t>(</m:t>
          </m:r>
          <m:r>
            <m:rPr>
              <m:sty m:val="b"/>
            </m:rP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1</m:t>
              </m:r>
            </m:sub>
            <m:sup>
              <m:r>
                <w:rPr>
                  <w:rFonts w:ascii="Cambria Math" w:hAnsi="Cambria Math"/>
                </w:rPr>
                <m:t>B</m:t>
              </m:r>
            </m:sup>
            <m:e>
              <m:sSub>
                <m:sSubPr>
                  <m:ctrlPr>
                    <w:rPr>
                      <w:rFonts w:ascii="Cambria Math" w:hAnsi="Cambria Math"/>
                    </w:rPr>
                  </m:ctrlPr>
                </m:sSubPr>
                <m:e>
                  <m:r>
                    <w:rPr>
                      <w:rFonts w:ascii="Cambria Math" w:hAnsi="Cambria Math"/>
                    </w:rPr>
                    <m:t>h</m:t>
                  </m:r>
                </m:e>
                <m:sub>
                  <m:r>
                    <w:rPr>
                      <w:rFonts w:ascii="Cambria Math" w:hAnsi="Cambria Math"/>
                    </w:rPr>
                    <m:t>b</m:t>
                  </m:r>
                </m:sub>
              </m:sSub>
            </m:e>
          </m:nary>
          <m:r>
            <w:rPr>
              <w:rFonts w:ascii="Cambria Math" w:hAnsi="Cambria Math"/>
            </w:rPr>
            <m:t>​</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TCA</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Φ</m:t>
                  </m:r>
                </m:e>
                <m:sub>
                  <m:r>
                    <m:rPr>
                      <m:sty m:val="p"/>
                    </m:rPr>
                    <w:rPr>
                      <w:rFonts w:ascii="Cambria Math" w:hAnsi="Cambria Math"/>
                    </w:rPr>
                    <m:t>FM</m:t>
                  </m:r>
                </m:sub>
                <m:sup>
                  <m:r>
                    <m:rPr>
                      <m:sty m:val="p"/>
                    </m:rPr>
                    <w:rPr>
                      <w:rFonts w:ascii="Cambria Math" w:hAnsi="Cambria Math"/>
                    </w:rPr>
                    <m:t>(</m:t>
                  </m:r>
                  <m:r>
                    <w:rPr>
                      <w:rFonts w:ascii="Cambria Math" w:hAnsi="Cambria Math"/>
                    </w:rPr>
                    <m:t>b</m:t>
                  </m:r>
                  <m:r>
                    <m:rPr>
                      <m:sty m:val="p"/>
                    </m:rPr>
                    <w:rPr>
                      <w:rFonts w:ascii="Cambria Math" w:hAnsi="Cambria Math"/>
                    </w:rPr>
                    <m:t>)</m:t>
                  </m:r>
                </m:sup>
              </m:sSubSup>
              <m:r>
                <m:rPr>
                  <m:sty m:val="p"/>
                </m:rPr>
                <w:rPr>
                  <w:rFonts w:ascii="Cambria Math" w:hAnsi="Cambria Math"/>
                </w:rPr>
                <m:t>(</m:t>
              </m:r>
              <m:r>
                <m:rPr>
                  <m:sty m:val="b"/>
                </m:rPr>
                <w:rPr>
                  <w:rFonts w:ascii="Cambria Math" w:hAnsi="Cambria Math"/>
                </w:rPr>
                <m:t>x</m:t>
              </m:r>
              <m:r>
                <m:rPr>
                  <m:sty m:val="p"/>
                </m:rPr>
                <w:rPr>
                  <w:rFonts w:ascii="Cambria Math" w:hAnsi="Cambria Math"/>
                </w:rPr>
                <m:t>))</m:t>
              </m:r>
            </m:e>
          </m:d>
          <m:r>
            <m:rPr>
              <m:sty m:val="p"/>
            </m:rPr>
            <w:rPr>
              <w:rFonts w:ascii="Cambria Math" w:hAnsi="Cambria Math"/>
            </w:rPr>
            <m:t>.</m:t>
          </m:r>
        </m:oMath>
      </m:oMathPara>
    </w:p>
    <w:p w14:paraId="0A2E280A" w14:textId="77777777" w:rsidR="0065117B" w:rsidRDefault="00000000">
      <w:pPr>
        <w:pStyle w:val="CaptionedFigure"/>
      </w:pPr>
      <w:bookmarkStart w:id="26" w:name="fig:model_details"/>
      <w:r>
        <w:rPr>
          <w:noProof/>
        </w:rPr>
        <w:lastRenderedPageBreak/>
        <w:drawing>
          <wp:inline distT="0" distB="0" distL="0" distR="0" wp14:anchorId="021E01E1" wp14:editId="543AC6DD">
            <wp:extent cx="5486400" cy="6908800"/>
            <wp:effectExtent l="0" t="0" r="0" b="0"/>
            <wp:docPr id="22" name="Picture" descr="Figure 1: The PANDA framework architecture. (a) Compositional pipeline: from original tabular data through ensemble training, prediction aggregation, class imbalance adjustment, to final classification output. (b) Multi-branch ensemble with B=4 preprocessing strategies, each generating S=8 ensemble members via different random seeds."/>
            <wp:cNvGraphicFramePr/>
            <a:graphic xmlns:a="http://schemas.openxmlformats.org/drawingml/2006/main">
              <a:graphicData uri="http://schemas.openxmlformats.org/drawingml/2006/picture">
                <pic:pic xmlns:pic="http://schemas.openxmlformats.org/drawingml/2006/picture">
                  <pic:nvPicPr>
                    <pic:cNvPr id="23" name="Picture" descr="Pre-trained Tabular Foundation Mode Pipeline_new.pdf"/>
                    <pic:cNvPicPr>
                      <a:picLocks noChangeAspect="1" noChangeArrowheads="1"/>
                    </pic:cNvPicPr>
                  </pic:nvPicPr>
                  <pic:blipFill>
                    <a:blip r:embed="rId5"/>
                    <a:stretch>
                      <a:fillRect/>
                    </a:stretch>
                  </pic:blipFill>
                  <pic:spPr bwMode="auto">
                    <a:xfrm>
                      <a:off x="0" y="0"/>
                      <a:ext cx="5486400" cy="6908800"/>
                    </a:xfrm>
                    <a:prstGeom prst="rect">
                      <a:avLst/>
                    </a:prstGeom>
                    <a:noFill/>
                    <a:ln w="9525">
                      <a:noFill/>
                      <a:headEnd/>
                      <a:tailEnd/>
                    </a:ln>
                  </pic:spPr>
                </pic:pic>
              </a:graphicData>
            </a:graphic>
          </wp:inline>
        </w:drawing>
      </w:r>
    </w:p>
    <w:p w14:paraId="27C2B14B" w14:textId="77777777" w:rsidR="0065117B" w:rsidRDefault="00000000">
      <w:pPr>
        <w:pStyle w:val="ImageCaption"/>
      </w:pPr>
      <w:bookmarkStart w:id="27" w:name="_Toc214939465"/>
      <w:r>
        <w:t xml:space="preserve">Figure 1: </w:t>
      </w:r>
      <w:r>
        <w:rPr>
          <w:b/>
          <w:bCs/>
        </w:rPr>
        <w:t>The PANDA framework architecture.</w:t>
      </w:r>
      <w:r>
        <w:t xml:space="preserve"> (a) Compositional pipeline: from original tabular data through ensemble training, prediction aggregation, class imbalance adjustment, to final classification output. (b) Multi-branch ensemble with </w:t>
      </w:r>
      <m:oMath>
        <m:r>
          <w:rPr>
            <w:rFonts w:ascii="Cambria Math" w:hAnsi="Cambria Math"/>
          </w:rPr>
          <m:t>B=4</m:t>
        </m:r>
      </m:oMath>
      <w:r>
        <w:t xml:space="preserve"> preprocessing strategies, each generating </w:t>
      </w:r>
      <m:oMath>
        <m:r>
          <w:rPr>
            <w:rFonts w:ascii="Cambria Math" w:hAnsi="Cambria Math"/>
          </w:rPr>
          <m:t>S=8</m:t>
        </m:r>
      </m:oMath>
      <w:r>
        <w:t xml:space="preserve"> ensemble members via different random seeds.</w:t>
      </w:r>
      <w:bookmarkEnd w:id="27"/>
    </w:p>
    <w:p w14:paraId="731863C8" w14:textId="77777777" w:rsidR="0065117B" w:rsidRDefault="00000000">
      <w:pPr>
        <w:pStyle w:val="2"/>
      </w:pPr>
      <w:bookmarkStart w:id="28" w:name="unified-objective"/>
      <w:bookmarkStart w:id="29" w:name="_Toc214939482"/>
      <w:bookmarkEnd w:id="20"/>
      <w:bookmarkEnd w:id="25"/>
      <w:bookmarkEnd w:id="26"/>
      <w:r>
        <w:lastRenderedPageBreak/>
        <w:t>Unified Objective</w:t>
      </w:r>
      <w:bookmarkEnd w:id="29"/>
    </w:p>
    <w:p w14:paraId="09B8F22F" w14:textId="77777777" w:rsidR="0065117B" w:rsidRDefault="00000000">
      <w:pPr>
        <w:pStyle w:val="FirstParagraph"/>
      </w:pPr>
      <w:r>
        <w:t>The complete PANDA mapping is:</w:t>
      </w:r>
    </w:p>
    <w:p w14:paraId="172FB896" w14:textId="77777777" w:rsidR="0065117B" w:rsidRDefault="00000000">
      <w:pPr>
        <w:pStyle w:val="a0"/>
      </w:pPr>
      <m:oMathPara>
        <m:oMathParaPr>
          <m:jc m:val="center"/>
        </m:oMathParaPr>
        <m:oMath>
          <m:r>
            <w:rPr>
              <w:rFonts w:ascii="Cambria Math" w:hAnsi="Cambria Math"/>
            </w:rPr>
            <m:t>f</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TCA</m:t>
                  </m:r>
                </m:sub>
              </m:sSub>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Φ</m:t>
                      </m:r>
                    </m:e>
                    <m:sub>
                      <m:r>
                        <m:rPr>
                          <m:sty m:val="p"/>
                        </m:rPr>
                        <w:rPr>
                          <w:rFonts w:ascii="Cambria Math" w:hAnsi="Cambria Math"/>
                        </w:rPr>
                        <m:t>FM</m:t>
                      </m:r>
                    </m:sub>
                  </m:sSub>
                  <m:r>
                    <w:rPr>
                      <w:rFonts w:ascii="Cambria Math" w:hAnsi="Cambria Math"/>
                    </w:rPr>
                    <m:t>​</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T</m:t>
                          </m:r>
                        </m:e>
                        <m:sub>
                          <m:r>
                            <m:rPr>
                              <m:sty m:val="p"/>
                            </m:rPr>
                            <w:rPr>
                              <w:rFonts w:ascii="Cambria Math" w:hAnsi="Cambria Math"/>
                            </w:rPr>
                            <m:t>RFE</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e>
                  </m:d>
                </m:e>
              </m:d>
            </m:e>
          </m:d>
          <m:r>
            <m:rPr>
              <m:sty m:val="p"/>
            </m:rPr>
            <w:rPr>
              <w:rFonts w:ascii="Cambria Math" w:hAnsi="Cambria Math"/>
            </w:rPr>
            <m:t>.</m:t>
          </m:r>
        </m:oMath>
      </m:oMathPara>
    </w:p>
    <w:p w14:paraId="1CC91F39" w14:textId="77777777" w:rsidR="0065117B" w:rsidRDefault="00000000">
      <w:pPr>
        <w:pStyle w:val="FirstParagraph"/>
      </w:pPr>
      <w:r>
        <w:t>The joint optimization objective minimizes source-domain classification loss while aligning source and target distributions:</w:t>
      </w:r>
    </w:p>
    <w:p w14:paraId="6ABF812E" w14:textId="77777777" w:rsidR="0065117B" w:rsidRDefault="00000000">
      <w:pPr>
        <w:pStyle w:val="a0"/>
      </w:pPr>
      <m:oMathPara>
        <m:oMathParaPr>
          <m:jc m:val="center"/>
        </m:oMathParaPr>
        <m:oMath>
          <m:limLow>
            <m:limLowPr>
              <m:ctrlPr>
                <w:rPr>
                  <w:rFonts w:ascii="Cambria Math" w:hAnsi="Cambria Math"/>
                </w:rPr>
              </m:ctrlPr>
            </m:limLowPr>
            <m:e>
              <m:r>
                <m:rPr>
                  <m:sty m:val="p"/>
                </m:rPr>
                <w:rPr>
                  <w:rFonts w:ascii="Cambria Math" w:hAnsi="Cambria Math"/>
                </w:rPr>
                <m:t>min</m:t>
              </m:r>
            </m:e>
            <m:lim>
              <m:r>
                <w:rPr>
                  <w:rFonts w:ascii="Cambria Math" w:hAnsi="Cambria Math"/>
                </w:rPr>
                <m:t>W</m:t>
              </m:r>
              <m:r>
                <m:rPr>
                  <m:sty m:val="p"/>
                </m:rPr>
                <w:rPr>
                  <w:rFonts w:ascii="Cambria Math" w:hAnsi="Cambria Math"/>
                </w:rPr>
                <m:t>,</m:t>
              </m:r>
              <m:r>
                <w:rPr>
                  <w:rFonts w:ascii="Cambria Math" w:hAnsi="Cambria Math"/>
                </w:rPr>
                <m:t>h</m:t>
              </m:r>
            </m:lim>
          </m:limLow>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e>
              <m:r>
                <m:rPr>
                  <m:scr m:val="script"/>
                </m:rPr>
                <w:rPr>
                  <w:rFonts w:ascii="Cambria Math" w:hAnsi="Cambria Math"/>
                </w:rPr>
                <m:t>l</m:t>
              </m:r>
            </m:e>
          </m:nary>
          <m:r>
            <w:rPr>
              <w:rFonts w:ascii="Cambria Math" w:hAnsi="Cambria Math"/>
            </w:rPr>
            <m:t>​</m:t>
          </m:r>
          <m:d>
            <m:dPr>
              <m:ctrlPr>
                <w:rPr>
                  <w:rFonts w:ascii="Cambria Math" w:hAnsi="Cambria Math"/>
                </w:rPr>
              </m:ctrlPr>
            </m:dPr>
            <m:e>
              <m:r>
                <w:rPr>
                  <w:rFonts w:ascii="Cambria Math" w:hAnsi="Cambria Math"/>
                </w:rPr>
                <m:t>h</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TCA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m:rPr>
                      <m:sty m:val="p"/>
                    </m:rPr>
                    <w:rPr>
                      <w:rFonts w:ascii="Cambria Math" w:hAnsi="Cambria Math"/>
                    </w:rPr>
                    <m:t>FM</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i</m:t>
                  </m:r>
                </m:sub>
                <m:sup>
                  <m:r>
                    <w:rPr>
                      <w:rFonts w:ascii="Cambria Math" w:hAnsi="Cambria Math"/>
                    </w:rPr>
                    <m:t>s</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s</m:t>
                  </m:r>
                </m:sup>
              </m:sSubSup>
            </m:e>
          </m:d>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sSub>
            <m:sSubPr>
              <m:ctrlPr>
                <w:rPr>
                  <w:rFonts w:ascii="Cambria Math" w:hAnsi="Cambria Math"/>
                </w:rPr>
              </m:ctrlPr>
            </m:sSubPr>
            <m:e>
              <m:r>
                <w:rPr>
                  <w:rFonts w:ascii="Cambria Math" w:hAnsi="Cambria Math"/>
                </w:rPr>
                <m:t>d</m:t>
              </m:r>
            </m:e>
            <m:sub>
              <m:r>
                <m:rPr>
                  <m:sty m:val="p"/>
                </m:rPr>
                <w:rPr>
                  <w:rFonts w:ascii="Cambria Math" w:hAnsi="Cambria Math"/>
                </w:rPr>
                <m:t>MMD</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Z</m:t>
              </m:r>
            </m:e>
            <m:sub>
              <m:r>
                <w:rPr>
                  <w:rFonts w:ascii="Cambria Math" w:hAnsi="Cambria Math"/>
                </w:rPr>
                <m:t>t</m:t>
              </m:r>
            </m:sub>
          </m:sSub>
          <m:r>
            <m:rPr>
              <m:sty m:val="p"/>
            </m:rPr>
            <w:rPr>
              <w:rFonts w:ascii="Cambria Math" w:hAnsi="Cambria Math"/>
            </w:rPr>
            <m:t>),</m:t>
          </m:r>
        </m:oMath>
      </m:oMathPara>
    </w:p>
    <w:p w14:paraId="4FCBB9BF" w14:textId="77777777" w:rsidR="0065117B" w:rsidRDefault="00000000">
      <w:pPr>
        <w:pStyle w:val="FirstParagraph"/>
      </w:pPr>
      <w:r>
        <w:t xml:space="preserve">where </w:t>
      </w:r>
      <m:oMath>
        <m:sSub>
          <m:sSubPr>
            <m:ctrlPr>
              <w:rPr>
                <w:rFonts w:ascii="Cambria Math" w:hAnsi="Cambria Math"/>
              </w:rPr>
            </m:ctrlPr>
          </m:sSubPr>
          <m:e>
            <m:r>
              <m:rPr>
                <m:sty m:val="b"/>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TCA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m:rPr>
                <m:sty m:val="p"/>
              </m:rPr>
              <w:rPr>
                <w:rFonts w:ascii="Cambria Math" w:hAnsi="Cambria Math"/>
              </w:rPr>
              <m:t>FM</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oMath>
      <w:r>
        <w:t xml:space="preserve"> and </w:t>
      </w:r>
      <m:oMath>
        <m:sSub>
          <m:sSubPr>
            <m:ctrlPr>
              <w:rPr>
                <w:rFonts w:ascii="Cambria Math" w:hAnsi="Cambria Math"/>
              </w:rPr>
            </m:ctrlPr>
          </m:sSubPr>
          <m:e>
            <m:r>
              <m:rPr>
                <m:sty m:val="b"/>
              </m:rPr>
              <w:rPr>
                <w:rFonts w:ascii="Cambria Math" w:hAnsi="Cambria Math"/>
              </w:rPr>
              <m:t>Z</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TCA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m:rPr>
                <m:sty m:val="p"/>
              </m:rPr>
              <w:rPr>
                <w:rFonts w:ascii="Cambria Math" w:hAnsi="Cambria Math"/>
              </w:rPr>
              <m:t>FM</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t</m:t>
            </m:r>
          </m:sub>
        </m:sSub>
        <m:r>
          <m:rPr>
            <m:sty m:val="p"/>
          </m:rPr>
          <w:rPr>
            <w:rFonts w:ascii="Cambria Math" w:hAnsi="Cambria Math"/>
          </w:rPr>
          <m:t>))</m:t>
        </m:r>
      </m:oMath>
      <w:r>
        <w:t>.</w:t>
      </w:r>
    </w:p>
    <w:p w14:paraId="55A1ADC6" w14:textId="77777777" w:rsidR="0065117B" w:rsidRDefault="00000000">
      <w:pPr>
        <w:pStyle w:val="1"/>
      </w:pPr>
      <w:bookmarkStart w:id="30" w:name="sec:methods"/>
      <w:bookmarkStart w:id="31" w:name="_Toc214939483"/>
      <w:bookmarkEnd w:id="18"/>
      <w:bookmarkEnd w:id="28"/>
      <w:r>
        <w:t>Methods</w:t>
      </w:r>
      <w:bookmarkEnd w:id="31"/>
    </w:p>
    <w:p w14:paraId="36947985" w14:textId="77777777" w:rsidR="0065117B" w:rsidRDefault="00000000">
      <w:pPr>
        <w:pStyle w:val="2"/>
      </w:pPr>
      <w:bookmarkStart w:id="32" w:name="X197225bb686a900d1f40f12cd3f48c77ece8247"/>
      <w:bookmarkStart w:id="33" w:name="_Toc214939484"/>
      <w:r>
        <w:t>Motivating Challenges and Methodological Response</w:t>
      </w:r>
      <w:bookmarkEnd w:id="33"/>
    </w:p>
    <w:p w14:paraId="7906AF11" w14:textId="77777777" w:rsidR="0065117B" w:rsidRDefault="00000000">
      <w:pPr>
        <w:pStyle w:val="FirstParagraph"/>
      </w:pPr>
      <w:r>
        <w:t>Cross-hospital malignancy prediction poses interdependent obstacles that destabilize standard pipelines, and PANDA is shaped around those pain points. Small cohorts mean most hospitals contribute only a few hundred annotated patients, leaving deep networks hypersensitive to randomness and prone to overfitting. PANDA leans on a pre-trained tabular foundation model that performs in-context learning, reusing inductive biases from millions of synthetic tasks instead of trying to learn everything from scratch in a tiny clinical cohort.</w:t>
      </w:r>
    </w:p>
    <w:p w14:paraId="10771185" w14:textId="77777777" w:rsidR="0065117B" w:rsidRDefault="00000000">
      <w:pPr>
        <w:pStyle w:val="a0"/>
      </w:pPr>
      <w:r>
        <w:t>Pronounced distributional differences between hospitals sit on the next rung: divergent CT scanners, laboratory ranges, and demographics nudge covariates far enough to erode boundaries learned at one site. PANDA embeds Transfer Component Analysis (TCA) inside the latent space produced by the foundation model so alignment happens before classification, which seems to soften the covariate shift without discarding signal.</w:t>
      </w:r>
    </w:p>
    <w:p w14:paraId="42E7D5D6" w14:textId="77777777" w:rsidR="0065117B" w:rsidRDefault="00000000">
      <w:pPr>
        <w:pStyle w:val="a0"/>
      </w:pPr>
      <w:r>
        <w:t>Feature heterogeneity complicates things further. Institutions disagree on which variables they collect and how they encode them; missingness patterns differ as well. Training on every available variable bakes in site-specific artifacts, while tightening to the intersection risks losing signal. PANDA applies cross-domain recursive feature elimination to keep a compact subset of variables that stay predictive in both hospitals, making sure the downstream adaptation actually operates on features the sites share in practice.</w:t>
      </w:r>
    </w:p>
    <w:p w14:paraId="53034743" w14:textId="77777777" w:rsidR="0065117B" w:rsidRDefault="00000000">
      <w:pPr>
        <w:pStyle w:val="a0"/>
      </w:pPr>
      <w:r>
        <w:t>Class imbalance becomes especially visible in small datasets, where the number of malignant cases can differ sharply by hospital. Naive models tend to collapse onto the majority class, a pattern we’ve seen more than once. Using class-balanced sampling and calibrated loss terms helps the minority signals stay present enough to maintain the sensitivity that screening workflows typically expect.</w:t>
      </w:r>
    </w:p>
    <w:p w14:paraId="3FD1AAFC" w14:textId="77777777" w:rsidR="0065117B" w:rsidRDefault="00000000">
      <w:pPr>
        <w:pStyle w:val="a0"/>
      </w:pPr>
      <w:r>
        <w:lastRenderedPageBreak/>
        <w:t>Small samples also inflate variance: minor tweaks in preprocessing, feature ordering, or even the random seed can shift predictions more than one might like to admit. A multi-branch ensemble counters this by viewing each patient through several slightly different representations–shuffled feature orders, alternate encodings, and varied distribution transforms–and then pooling the results. The averaged probabilities, once temperature-scaled, tend to stay calibrated enough to support clinical thresholds rather than forcing everything into brittle hard labels.</w:t>
      </w:r>
    </w:p>
    <w:p w14:paraId="6999509F" w14:textId="77777777" w:rsidR="0065117B" w:rsidRDefault="00000000">
      <w:pPr>
        <w:pStyle w:val="a0"/>
      </w:pPr>
      <w:r>
        <w:t>The pieces fit together as a challenge-driven architecture: each module targets a known failure mode in cross-hospital prediction instead of being bolted on for novelty.</w:t>
      </w:r>
    </w:p>
    <w:p w14:paraId="39B6E41D" w14:textId="77777777" w:rsidR="0065117B" w:rsidRDefault="00000000">
      <w:pPr>
        <w:pStyle w:val="2"/>
      </w:pPr>
      <w:bookmarkStart w:id="34" w:name="foundation-model-architecture"/>
      <w:bookmarkStart w:id="35" w:name="_Toc214939485"/>
      <w:bookmarkEnd w:id="32"/>
      <w:r>
        <w:t>Foundation Model Architecture</w:t>
      </w:r>
      <w:bookmarkEnd w:id="35"/>
    </w:p>
    <w:p w14:paraId="385A0C25" w14:textId="77777777" w:rsidR="0065117B" w:rsidRDefault="00000000">
      <w:pPr>
        <w:pStyle w:val="3"/>
      </w:pPr>
      <w:bookmarkStart w:id="36" w:name="tabpfn-backbone-details"/>
      <w:bookmarkStart w:id="37" w:name="_Toc214939486"/>
      <w:r>
        <w:t>TabPFN Backbone Details</w:t>
      </w:r>
      <w:bookmarkEnd w:id="37"/>
    </w:p>
    <w:p w14:paraId="7190B896" w14:textId="77777777" w:rsidR="0065117B" w:rsidRDefault="00000000">
      <w:pPr>
        <w:pStyle w:val="FirstParagraph"/>
      </w:pPr>
      <w:r>
        <w:t xml:space="preserve">TabPFN uses a 12-layer Transformer with four attention heads and 128-dimensional embeddings. Clinical samples are tokenized as </w:t>
      </w:r>
      <m:oMath>
        <m:r>
          <m:rPr>
            <m:sty m:val="p"/>
          </m:rPr>
          <w:rPr>
            <w:rFonts w:ascii="Cambria Math" w:hAnsi="Cambria Math"/>
          </w:rPr>
          <m:t>[</m:t>
        </m:r>
        <m:r>
          <m:rPr>
            <m:nor/>
          </m:rPr>
          <m:t>CLS</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d</m:t>
            </m:r>
          </m:sub>
        </m:sSub>
        <m:r>
          <m:rPr>
            <m:sty m:val="p"/>
          </m:rPr>
          <w:rPr>
            <w:rFonts w:ascii="Cambria Math" w:hAnsi="Cambria Math"/>
          </w:rPr>
          <m:t>,</m:t>
        </m:r>
        <m:r>
          <m:rPr>
            <m:nor/>
          </m:rPr>
          <m:t>SEP</m:t>
        </m:r>
        <m:r>
          <m:rPr>
            <m:sty m:val="p"/>
          </m:rPr>
          <w:rPr>
            <w:rFonts w:ascii="Cambria Math" w:hAnsi="Cambria Math"/>
          </w:rPr>
          <m:t>]</m:t>
        </m:r>
      </m:oMath>
      <w:r>
        <w:t xml:space="preserve"> with positional encodings to preserve ordering. Training instances and test queries are processed jointly in one forward pass, enabling in-context learning without gradient updates.</w:t>
      </w:r>
    </w:p>
    <w:p w14:paraId="580647D4" w14:textId="77777777" w:rsidR="0065117B" w:rsidRDefault="00000000">
      <w:pPr>
        <w:pStyle w:val="3"/>
      </w:pPr>
      <w:bookmarkStart w:id="38" w:name="synthetic-task-generation"/>
      <w:bookmarkStart w:id="39" w:name="_Toc214939487"/>
      <w:bookmarkEnd w:id="36"/>
      <w:r>
        <w:t>Synthetic Task Generation</w:t>
      </w:r>
      <w:bookmarkEnd w:id="39"/>
    </w:p>
    <w:p w14:paraId="03FE7B18" w14:textId="77777777" w:rsidR="0065117B" w:rsidRDefault="00000000">
      <w:pPr>
        <w:pStyle w:val="FirstParagraph"/>
      </w:pPr>
      <w:r>
        <w:t>Pre-training draws diverse synthetic classification tasks from several function priors, including Gaussian processes, multilayer perceptrons, and ridge regression families. This variety teaches generalizable tabular reasoning patterns that appear to transfer to real-world medical classification tasks.</w:t>
      </w:r>
    </w:p>
    <w:p w14:paraId="54C4EA7C" w14:textId="77777777" w:rsidR="0065117B" w:rsidRDefault="00000000">
      <w:pPr>
        <w:pStyle w:val="2"/>
      </w:pPr>
      <w:bookmarkStart w:id="40" w:name="feature-selection-and-preprocessing"/>
      <w:bookmarkStart w:id="41" w:name="_Toc214939488"/>
      <w:bookmarkEnd w:id="34"/>
      <w:bookmarkEnd w:id="38"/>
      <w:r>
        <w:t>Feature Selection and Preprocessing</w:t>
      </w:r>
      <w:bookmarkEnd w:id="41"/>
    </w:p>
    <w:p w14:paraId="21647BAE" w14:textId="77777777" w:rsidR="0065117B" w:rsidRDefault="00000000">
      <w:pPr>
        <w:pStyle w:val="3"/>
      </w:pPr>
      <w:bookmarkStart w:id="42" w:name="cross-domain-rfe-algorithm"/>
      <w:bookmarkStart w:id="43" w:name="_Toc214939489"/>
      <w:r>
        <w:t>Cross-Domain RFE Algorithm</w:t>
      </w:r>
      <w:bookmarkEnd w:id="43"/>
    </w:p>
    <w:p w14:paraId="26E97384" w14:textId="77777777" w:rsidR="0065117B" w:rsidRDefault="00000000">
      <w:pPr>
        <w:pStyle w:val="FirstParagraph"/>
      </w:pPr>
      <w:r>
        <w:t>We recursively eliminate features based on domain-invariant importance scores:</w:t>
      </w:r>
    </w:p>
    <w:p w14:paraId="6501565C" w14:textId="77777777" w:rsidR="0065117B" w:rsidRDefault="00000000">
      <w:pPr>
        <w:pStyle w:val="a0"/>
      </w:pPr>
      <m:oMathPara>
        <m:oMathParaPr>
          <m:jc m:val="center"/>
        </m:oMathParaPr>
        <m:oMath>
          <m:r>
            <m:rPr>
              <m:nor/>
            </m:rPr>
            <m:t>Importance</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d>
                <m:dPr>
                  <m:begChr m:val="|"/>
                  <m:endChr m:val="|"/>
                  <m:ctrlPr>
                    <w:rPr>
                      <w:rFonts w:ascii="Cambria Math" w:hAnsi="Cambria Math"/>
                    </w:rPr>
                  </m:ctrlPr>
                </m:dPr>
                <m:e>
                  <m:sSubSup>
                    <m:sSubSupPr>
                      <m:ctrlPr>
                        <w:rPr>
                          <w:rFonts w:ascii="Cambria Math" w:hAnsi="Cambria Math"/>
                        </w:rPr>
                      </m:ctrlPr>
                    </m:sSubSupPr>
                    <m:e>
                      <m:r>
                        <m:rPr>
                          <m:scr m:val="script"/>
                          <m:sty m:val="p"/>
                        </m:rPr>
                        <w:rPr>
                          <w:rFonts w:ascii="Cambria Math" w:hAnsi="Cambria Math"/>
                        </w:rPr>
                        <m:t>R</m:t>
                      </m:r>
                    </m:e>
                    <m:sub>
                      <m:r>
                        <w:rPr>
                          <w:rFonts w:ascii="Cambria Math" w:hAnsi="Cambria Math"/>
                        </w:rPr>
                        <m:t>s</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cr m:val="script"/>
                      <m:sty m:val="p"/>
                    </m:rPr>
                    <w:rPr>
                      <w:rFonts w:ascii="Cambria Math" w:hAnsi="Cambria Math"/>
                    </w:rPr>
                    <m:t>(F\{</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R</m:t>
                      </m:r>
                    </m:e>
                    <m:sub>
                      <m:r>
                        <w:rPr>
                          <w:rFonts w:ascii="Cambria Math" w:hAnsi="Cambria Math"/>
                        </w:rPr>
                        <m:t>s</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cr m:val="script"/>
                      <m:sty m:val="p"/>
                    </m:rPr>
                    <w:rPr>
                      <w:rFonts w:ascii="Cambria Math" w:hAnsi="Cambria Math"/>
                    </w:rPr>
                    <m:t>(F)</m:t>
                  </m:r>
                </m:e>
              </m:d>
            </m:e>
          </m:nary>
        </m:oMath>
      </m:oMathPara>
    </w:p>
    <w:p w14:paraId="7F5AE53B" w14:textId="77777777" w:rsidR="0065117B" w:rsidRDefault="00000000">
      <w:pPr>
        <w:pStyle w:val="FirstParagraph"/>
      </w:pPr>
      <w:r>
        <w:t xml:space="preserve">where </w:t>
      </w:r>
      <m:oMath>
        <m:r>
          <w:rPr>
            <w:rFonts w:ascii="Cambria Math" w:hAnsi="Cambria Math"/>
          </w:rPr>
          <m:t>M</m:t>
        </m:r>
        <m:r>
          <m:rPr>
            <m:sty m:val="p"/>
          </m:rPr>
          <w:rPr>
            <w:rFonts w:ascii="Cambria Math" w:hAnsi="Cambria Math"/>
          </w:rPr>
          <m:t>=</m:t>
        </m:r>
        <m:r>
          <w:rPr>
            <w:rFonts w:ascii="Cambria Math" w:hAnsi="Cambria Math"/>
          </w:rPr>
          <m:t>5</m:t>
        </m:r>
      </m:oMath>
      <w:r>
        <w:t xml:space="preserve"> permutation repeats evaluate feature stability. The RFE procedure first surfaced nine highly discriminative features. To enforce cross-institutional availability, one feature absent from the target domain (Dataset B) was removed, yielding a final set of </w:t>
      </w:r>
      <m:oMath>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8</m:t>
        </m:r>
      </m:oMath>
      <w:r>
        <w:t xml:space="preserve"> clinical variables that both hospitals record.</w:t>
      </w:r>
    </w:p>
    <w:p w14:paraId="5D18F228" w14:textId="77777777" w:rsidR="0065117B" w:rsidRDefault="00000000">
      <w:pPr>
        <w:pStyle w:val="3"/>
      </w:pPr>
      <w:bookmarkStart w:id="44" w:name="multi-branch-preprocessing-pipeline"/>
      <w:bookmarkStart w:id="45" w:name="_Toc214939490"/>
      <w:bookmarkEnd w:id="42"/>
      <w:r>
        <w:t>Multi-Branch Preprocessing Pipeline</w:t>
      </w:r>
      <w:bookmarkEnd w:id="45"/>
    </w:p>
    <w:p w14:paraId="210ECDC3" w14:textId="77777777" w:rsidR="0065117B" w:rsidRDefault="00000000">
      <w:pPr>
        <w:pStyle w:val="FirstParagraph"/>
      </w:pPr>
      <w:r>
        <w:t>The 32-model ensemble comes from four simple branches: two keep the original or rotated feature order with plain numerical encodings, and two pair those orders with a quantile transform plus ordinal encoding. Each branch spits out eight runs with seeds 1–8, and a majority vote settles the label. Balanced-accuracy weights keep the malignant class from getting drowned out.</w:t>
      </w:r>
    </w:p>
    <w:p w14:paraId="4FF87486" w14:textId="77777777" w:rsidR="0065117B" w:rsidRDefault="00000000">
      <w:pPr>
        <w:pStyle w:val="2"/>
      </w:pPr>
      <w:bookmarkStart w:id="46" w:name="domain-adaptation-implementation"/>
      <w:bookmarkStart w:id="47" w:name="_Toc214939491"/>
      <w:bookmarkEnd w:id="40"/>
      <w:bookmarkEnd w:id="44"/>
      <w:r>
        <w:lastRenderedPageBreak/>
        <w:t>Domain Adaptation Implementation</w:t>
      </w:r>
      <w:bookmarkEnd w:id="47"/>
    </w:p>
    <w:p w14:paraId="099B2BD9" w14:textId="77777777" w:rsidR="0065117B" w:rsidRDefault="00000000">
      <w:pPr>
        <w:pStyle w:val="3"/>
      </w:pPr>
      <w:bookmarkStart w:id="48" w:name="tca-optimization"/>
      <w:bookmarkStart w:id="49" w:name="_Toc214939492"/>
      <w:r>
        <w:t>TCA Optimization</w:t>
      </w:r>
      <w:bookmarkEnd w:id="49"/>
    </w:p>
    <w:p w14:paraId="20EDDE47" w14:textId="77777777" w:rsidR="0065117B" w:rsidRDefault="00000000">
      <w:pPr>
        <w:pStyle w:val="FirstParagraph"/>
      </w:pPr>
      <w:r>
        <w:t>Transfer Component Analysis learns domain-invariant representations by solving:</w:t>
      </w:r>
    </w:p>
    <w:p w14:paraId="60751758" w14:textId="77777777" w:rsidR="0065117B" w:rsidRDefault="00000000">
      <w:pPr>
        <w:pStyle w:val="a0"/>
      </w:pPr>
      <m:oMathPara>
        <m:oMathParaPr>
          <m:jc m:val="center"/>
        </m:oMathParaPr>
        <m:oMath>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W</m:t>
              </m:r>
            </m:lim>
          </m:limLow>
          <m:r>
            <m:rPr>
              <m:nor/>
            </m:rPr>
            <m:t>tr</m:t>
          </m:r>
          <m:r>
            <m:rPr>
              <m:sty m:val="p"/>
            </m:rPr>
            <w:rPr>
              <w:rFonts w:ascii="Cambria Math" w:hAnsi="Cambria Math"/>
            </w:rPr>
            <m:t>(</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XL</m:t>
          </m:r>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b"/>
            </m:rPr>
            <w:rPr>
              <w:rFonts w:ascii="Cambria Math" w:hAnsi="Cambria Math"/>
            </w:rPr>
            <m:t>W</m:t>
          </m:r>
          <m:r>
            <m:rPr>
              <m:sty m:val="p"/>
            </m:rPr>
            <w:rPr>
              <w:rFonts w:ascii="Cambria Math" w:hAnsi="Cambria Math"/>
            </w:rPr>
            <m:t>)+</m:t>
          </m:r>
          <m:r>
            <w:rPr>
              <w:rFonts w:ascii="Cambria Math" w:hAnsi="Cambria Math"/>
            </w:rPr>
            <m:t>μ</m:t>
          </m:r>
          <m:r>
            <m:rPr>
              <m:nor/>
            </m:rPr>
            <m:t>tr</m:t>
          </m:r>
          <m:r>
            <m:rPr>
              <m:sty m:val="p"/>
            </m:rPr>
            <w:rPr>
              <w:rFonts w:ascii="Cambria Math" w:hAnsi="Cambria Math"/>
            </w:rPr>
            <m:t>(</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W</m:t>
          </m:r>
          <m:r>
            <m:rPr>
              <m:sty m:val="p"/>
            </m:rPr>
            <w:rPr>
              <w:rFonts w:ascii="Cambria Math" w:hAnsi="Cambria Math"/>
            </w:rPr>
            <m:t>)</m:t>
          </m:r>
        </m:oMath>
      </m:oMathPara>
    </w:p>
    <w:p w14:paraId="070D64BD" w14:textId="77777777" w:rsidR="0065117B" w:rsidRDefault="00000000">
      <w:pPr>
        <w:pStyle w:val="FirstParagraph"/>
      </w:pPr>
      <w:r>
        <w:t xml:space="preserve">where </w:t>
      </w:r>
      <m:oMath>
        <m:r>
          <m:rPr>
            <m:sty m:val="b"/>
          </m:rPr>
          <w:rPr>
            <w:rFonts w:ascii="Cambria Math" w:hAnsi="Cambria Math"/>
          </w:rPr>
          <m:t>L</m:t>
        </m:r>
      </m:oMath>
      <w:r>
        <w:t xml:space="preserve"> is the MMD kernel matrix with entries </w:t>
      </w:r>
      <m:oMath>
        <m:sSub>
          <m:sSubPr>
            <m:ctrlPr>
              <w:rPr>
                <w:rFonts w:ascii="Cambria Math" w:hAnsi="Cambria Math"/>
              </w:rPr>
            </m:ctrlPr>
          </m:sSubPr>
          <m:e>
            <m:r>
              <w:rPr>
                <w:rFonts w:ascii="Cambria Math" w:hAnsi="Cambria Math"/>
              </w:rPr>
              <m:t>L</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s</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2</m:t>
            </m:r>
          </m:sup>
        </m:sSub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oMath>
      <w:r>
        <w:t xml:space="preserve">. The kernel matrix </w:t>
      </w:r>
      <m:oMath>
        <m:r>
          <w:rPr>
            <w:rFonts w:ascii="Cambria Math" w:hAnsi="Cambria Math"/>
          </w:rPr>
          <m:t>K</m:t>
        </m:r>
      </m:oMath>
      <w:r>
        <w:t xml:space="preserve"> adopts Gaussian RBF kernels with bandwidth </w:t>
      </w:r>
      <m:oMath>
        <m:r>
          <w:rPr>
            <w:rFonts w:ascii="Cambria Math" w:hAnsi="Cambria Math"/>
          </w:rPr>
          <m:t>σ</m:t>
        </m:r>
      </m:oMath>
      <w:r>
        <w:t xml:space="preserve"> set via the median heuristic.</w:t>
      </w:r>
    </w:p>
    <w:p w14:paraId="27DE4B01" w14:textId="77777777" w:rsidR="0065117B" w:rsidRDefault="00000000">
      <w:pPr>
        <w:pStyle w:val="a0"/>
      </w:pPr>
      <w:r>
        <w:t>The alignment step preserves discriminative information while reducing domain discrepancy:</w:t>
      </w:r>
    </w:p>
    <w:p w14:paraId="15F01C83" w14:textId="77777777" w:rsidR="0065117B" w:rsidRDefault="00000000">
      <w:pPr>
        <w:pStyle w:val="a0"/>
      </w:pPr>
      <m:oMathPara>
        <m:oMathParaPr>
          <m:jc m:val="center"/>
        </m:oMathParaPr>
        <m:oMath>
          <m:r>
            <m:rPr>
              <m:sty m:val="b"/>
            </m:rPr>
            <w:rPr>
              <w:rFonts w:ascii="Cambria Math" w:hAnsi="Cambria Math"/>
            </w:rPr>
            <m:t>z</m:t>
          </m:r>
          <m:r>
            <m:rPr>
              <m:sty m:val="p"/>
            </m:rPr>
            <w:rPr>
              <w:rFonts w:ascii="Cambria Math" w:hAnsi="Cambria Math"/>
            </w:rPr>
            <m:t>=</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w:rPr>
              <w:rFonts w:ascii="Cambria Math" w:hAnsi="Cambria Math"/>
            </w:rPr>
            <m:t>ϕ</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 ϕ</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m:t>
              </m:r>
            </m:sup>
          </m:sSup>
        </m:oMath>
      </m:oMathPara>
    </w:p>
    <w:p w14:paraId="37829B71" w14:textId="77777777" w:rsidR="0065117B" w:rsidRDefault="00000000">
      <w:pPr>
        <w:pStyle w:val="FirstParagraph"/>
      </w:pPr>
      <w:r>
        <w:t xml:space="preserve">where latent dimensionality </w:t>
      </w:r>
      <m:oMath>
        <m:r>
          <w:rPr>
            <w:rFonts w:ascii="Cambria Math" w:hAnsi="Cambria Math"/>
          </w:rPr>
          <m:t>h</m:t>
        </m:r>
        <m:r>
          <m:rPr>
            <m:sty m:val="p"/>
          </m:rPr>
          <w:rPr>
            <w:rFonts w:ascii="Cambria Math" w:hAnsi="Cambria Math"/>
          </w:rPr>
          <m:t>=</m:t>
        </m:r>
        <m:r>
          <w:rPr>
            <w:rFonts w:ascii="Cambria Math" w:hAnsi="Cambria Math"/>
          </w:rPr>
          <m:t>15</m:t>
        </m:r>
      </m:oMath>
      <w:r>
        <w:t xml:space="preserve"> balances information preservation with alignment effectiveness.</w:t>
      </w:r>
    </w:p>
    <w:p w14:paraId="28920D54" w14:textId="77777777" w:rsidR="0065117B" w:rsidRDefault="00000000">
      <w:pPr>
        <w:pStyle w:val="2"/>
      </w:pPr>
      <w:bookmarkStart w:id="50" w:name="ethics-statement-and-data-collection"/>
      <w:bookmarkStart w:id="51" w:name="_Toc214939493"/>
      <w:bookmarkEnd w:id="46"/>
      <w:bookmarkEnd w:id="48"/>
      <w:r>
        <w:t>Ethics Statement and Data Collection</w:t>
      </w:r>
      <w:bookmarkEnd w:id="51"/>
    </w:p>
    <w:p w14:paraId="061609BD" w14:textId="77777777" w:rsidR="0065117B" w:rsidRDefault="00000000">
      <w:pPr>
        <w:pStyle w:val="FirstParagraph"/>
      </w:pPr>
      <w:r>
        <w:t>This study received Institutional Review Board approval from two participating hospitals in China and followed the Declaration of Helsinki. Patient data were retrospectively extracted from electronic medical records and fully de-identified before analysis. Written informed consent for research use of clinical information was obtained from all patients with solitary pulmonary nodules (SPNs) at admission, and no identifiable personal data were retained.</w:t>
      </w:r>
    </w:p>
    <w:p w14:paraId="1680504F" w14:textId="77777777" w:rsidR="0065117B" w:rsidRDefault="00000000">
      <w:pPr>
        <w:pStyle w:val="a0"/>
      </w:pPr>
      <w:r>
        <w:t xml:space="preserve">The training cohort (Cohort A, </w:t>
      </w:r>
      <m:oMath>
        <m:r>
          <w:rPr>
            <w:rFonts w:ascii="Cambria Math" w:hAnsi="Cambria Math"/>
          </w:rPr>
          <m:t>n</m:t>
        </m:r>
        <m:r>
          <m:rPr>
            <m:sty m:val="p"/>
          </m:rPr>
          <w:rPr>
            <w:rFonts w:ascii="Cambria Math" w:hAnsi="Cambria Math"/>
          </w:rPr>
          <m:t>=</m:t>
        </m:r>
        <m:r>
          <w:rPr>
            <w:rFonts w:ascii="Cambria Math" w:hAnsi="Cambria Math"/>
          </w:rPr>
          <m:t>295</m:t>
        </m:r>
      </m:oMath>
      <w:r>
        <w:t xml:space="preserve">) originated from Hospital A between January 2011 and December 2016. The external test cohort (Cohort B, </w:t>
      </w:r>
      <m:oMath>
        <m:r>
          <w:rPr>
            <w:rFonts w:ascii="Cambria Math" w:hAnsi="Cambria Math"/>
          </w:rPr>
          <m:t>n</m:t>
        </m:r>
        <m:r>
          <m:rPr>
            <m:sty m:val="p"/>
          </m:rPr>
          <w:rPr>
            <w:rFonts w:ascii="Cambria Math" w:hAnsi="Cambria Math"/>
          </w:rPr>
          <m:t>=</m:t>
        </m:r>
        <m:r>
          <w:rPr>
            <w:rFonts w:ascii="Cambria Math" w:hAnsi="Cambria Math"/>
          </w:rPr>
          <m:t>190</m:t>
        </m:r>
      </m:oMath>
      <w:r>
        <w:t>) was collected at Hospital B. All participants provided written informed consent for scientific use of their clinical data at the time of admission.</w:t>
      </w:r>
    </w:p>
    <w:p w14:paraId="5395A676" w14:textId="77777777" w:rsidR="0065117B" w:rsidRDefault="00000000">
      <w:pPr>
        <w:pStyle w:val="3"/>
      </w:pPr>
      <w:bookmarkStart w:id="52" w:name="data-variables-and-measurements"/>
      <w:bookmarkStart w:id="53" w:name="_Toc214939494"/>
      <w:r>
        <w:t>Data Variables and Measurements</w:t>
      </w:r>
      <w:bookmarkEnd w:id="53"/>
    </w:p>
    <w:p w14:paraId="2F1FECD0" w14:textId="77777777" w:rsidR="0065117B" w:rsidRDefault="00000000">
      <w:pPr>
        <w:pStyle w:val="FirstParagraph"/>
      </w:pPr>
      <w:r>
        <w:t>Collected variables included demographics (age, sex, height, weight, body mass index), smoking history, family cancer history, and symptoms (fever, cough, hemoptysis, chest pain). Radiologic descriptors of SPNs covered anatomical location (lung side and lobe), nodule diameter and area, calcification, cavity, spiculation, pleural thickening, and adhesion. Laboratory data comprised hematologic and biochemical indices such as white blood cell count (WBC), neutrophil-to-lymphocyte ratio (NLR), platelet-to-lymphocyte ratio (PLR), albumin/globulin ratio (AGR), liver and renal function markers, and tumor biomarkers including CEA, Cyfra21-1, and NSE.</w:t>
      </w:r>
    </w:p>
    <w:p w14:paraId="76CCA946" w14:textId="77777777" w:rsidR="0065117B" w:rsidRDefault="00000000">
      <w:pPr>
        <w:pStyle w:val="2"/>
      </w:pPr>
      <w:bookmarkStart w:id="54" w:name="experimental-procedures"/>
      <w:bookmarkStart w:id="55" w:name="_Toc214939495"/>
      <w:bookmarkEnd w:id="50"/>
      <w:bookmarkEnd w:id="52"/>
      <w:r>
        <w:lastRenderedPageBreak/>
        <w:t>Experimental Procedures</w:t>
      </w:r>
      <w:bookmarkEnd w:id="55"/>
    </w:p>
    <w:p w14:paraId="2486C7BC" w14:textId="77777777" w:rsidR="0065117B" w:rsidRDefault="00000000">
      <w:pPr>
        <w:pStyle w:val="3"/>
      </w:pPr>
      <w:bookmarkStart w:id="56" w:name="cross-validation-protocol"/>
      <w:bookmarkStart w:id="57" w:name="_Toc214939496"/>
      <w:r>
        <w:t>Cross-Validation Protocol</w:t>
      </w:r>
      <w:bookmarkEnd w:id="57"/>
    </w:p>
    <w:p w14:paraId="61A940F3" w14:textId="77777777" w:rsidR="0065117B" w:rsidRDefault="00000000">
      <w:pPr>
        <w:pStyle w:val="FirstParagraph"/>
      </w:pPr>
      <w:r>
        <w:t>For internal validation, we applied 10-fold cross-validation on Cohort A. The dataset was randomly split into 10 equal parts with class balance preserved. Each fold served once as validation while the remaining nine folds trained the model. This cycle was repeated 10 times with different random seeds to strengthen robustness of performance estimates.</w:t>
      </w:r>
    </w:p>
    <w:p w14:paraId="352D9952" w14:textId="77777777" w:rsidR="0065117B" w:rsidRDefault="00000000">
      <w:pPr>
        <w:pStyle w:val="3"/>
      </w:pPr>
      <w:bookmarkStart w:id="58" w:name="baseline-methods"/>
      <w:bookmarkStart w:id="59" w:name="_Toc214939497"/>
      <w:bookmarkEnd w:id="56"/>
      <w:r>
        <w:t>Baseline Methods</w:t>
      </w:r>
      <w:bookmarkEnd w:id="59"/>
    </w:p>
    <w:p w14:paraId="315FBFF9" w14:textId="77777777" w:rsidR="0065117B" w:rsidRDefault="00000000">
      <w:pPr>
        <w:pStyle w:val="FirstParagraph"/>
      </w:pPr>
      <w:r>
        <w:t>For comparison, we included a few familiar baselines:</w:t>
      </w:r>
    </w:p>
    <w:p w14:paraId="41547D7D" w14:textId="77777777" w:rsidR="0065117B" w:rsidRDefault="00000000">
      <w:pPr>
        <w:numPr>
          <w:ilvl w:val="0"/>
          <w:numId w:val="3"/>
        </w:numPr>
      </w:pPr>
      <w:r>
        <w:t>Decision Tree (CART) [</w:t>
      </w:r>
      <w:hyperlink w:anchor="ref-breiman1984classification">
        <w:r>
          <w:rPr>
            <w:rStyle w:val="af"/>
          </w:rPr>
          <w:t>40</w:t>
        </w:r>
      </w:hyperlink>
      <w:r>
        <w:t>]</w:t>
      </w:r>
    </w:p>
    <w:p w14:paraId="615EE991" w14:textId="77777777" w:rsidR="0065117B" w:rsidRDefault="00000000">
      <w:pPr>
        <w:numPr>
          <w:ilvl w:val="0"/>
          <w:numId w:val="3"/>
        </w:numPr>
      </w:pPr>
      <w:r>
        <w:t>Gradient Boosting Decision Tree [</w:t>
      </w:r>
      <w:hyperlink w:anchor="ref-friedman2001greedy">
        <w:r>
          <w:rPr>
            <w:rStyle w:val="af"/>
          </w:rPr>
          <w:t>41</w:t>
        </w:r>
      </w:hyperlink>
      <w:r>
        <w:t>]</w:t>
      </w:r>
    </w:p>
    <w:p w14:paraId="1133529E" w14:textId="77777777" w:rsidR="0065117B" w:rsidRDefault="00000000">
      <w:pPr>
        <w:numPr>
          <w:ilvl w:val="0"/>
          <w:numId w:val="3"/>
        </w:numPr>
      </w:pPr>
      <w:r>
        <w:t>Random Forest [</w:t>
      </w:r>
      <w:hyperlink w:anchor="ref-breiman2001random">
        <w:r>
          <w:rPr>
            <w:rStyle w:val="af"/>
          </w:rPr>
          <w:t>42</w:t>
        </w:r>
      </w:hyperlink>
      <w:r>
        <w:t>]</w:t>
      </w:r>
    </w:p>
    <w:p w14:paraId="78F5434C" w14:textId="77777777" w:rsidR="0065117B" w:rsidRDefault="00000000">
      <w:pPr>
        <w:numPr>
          <w:ilvl w:val="0"/>
          <w:numId w:val="3"/>
        </w:numPr>
      </w:pPr>
      <w:r>
        <w:t>XGBoost [</w:t>
      </w:r>
      <w:hyperlink w:anchor="ref-chen2016xgboost">
        <w:r>
          <w:rPr>
            <w:rStyle w:val="af"/>
          </w:rPr>
          <w:t>12</w:t>
        </w:r>
      </w:hyperlink>
      <w:r>
        <w:t>]</w:t>
      </w:r>
    </w:p>
    <w:p w14:paraId="7423BAE2" w14:textId="77777777" w:rsidR="0065117B" w:rsidRDefault="00000000">
      <w:pPr>
        <w:numPr>
          <w:ilvl w:val="0"/>
          <w:numId w:val="3"/>
        </w:numPr>
      </w:pPr>
      <w:r>
        <w:t>Support Vector Machine [</w:t>
      </w:r>
      <w:hyperlink w:anchor="ref-cortes1995support">
        <w:r>
          <w:rPr>
            <w:rStyle w:val="af"/>
          </w:rPr>
          <w:t>43</w:t>
        </w:r>
      </w:hyperlink>
      <w:r>
        <w:t>]</w:t>
      </w:r>
    </w:p>
    <w:p w14:paraId="19C56F1C" w14:textId="77777777" w:rsidR="0065117B" w:rsidRDefault="00000000">
      <w:pPr>
        <w:numPr>
          <w:ilvl w:val="0"/>
          <w:numId w:val="3"/>
        </w:numPr>
      </w:pPr>
      <w:r>
        <w:t>LASSO Logistic Regression for nodule risk [</w:t>
      </w:r>
      <w:hyperlink w:anchor="ref-he2021novel">
        <w:r>
          <w:rPr>
            <w:rStyle w:val="af"/>
          </w:rPr>
          <w:t>44</w:t>
        </w:r>
      </w:hyperlink>
      <w:r>
        <w:t>]</w:t>
      </w:r>
    </w:p>
    <w:p w14:paraId="46443427" w14:textId="77777777" w:rsidR="0065117B" w:rsidRDefault="00000000">
      <w:pPr>
        <w:numPr>
          <w:ilvl w:val="0"/>
          <w:numId w:val="3"/>
        </w:numPr>
      </w:pPr>
      <w:r>
        <w:t>Clinical scores (Mayo Clinic, PKUPH) [</w:t>
      </w:r>
      <w:hyperlink w:anchor="ref-swensen1997chest">
        <w:r>
          <w:rPr>
            <w:rStyle w:val="af"/>
          </w:rPr>
          <w:t>1</w:t>
        </w:r>
      </w:hyperlink>
      <w:r>
        <w:t>,</w:t>
      </w:r>
      <w:hyperlink w:anchor="ref-perandini_solid_2016">
        <w:r>
          <w:rPr>
            <w:rStyle w:val="af"/>
          </w:rPr>
          <w:t>45</w:t>
        </w:r>
      </w:hyperlink>
      <w:r>
        <w:t>]</w:t>
      </w:r>
    </w:p>
    <w:p w14:paraId="419191BC" w14:textId="77777777" w:rsidR="0065117B" w:rsidRDefault="00000000">
      <w:pPr>
        <w:pStyle w:val="1"/>
      </w:pPr>
      <w:bookmarkStart w:id="60" w:name="sec:analysis"/>
      <w:bookmarkStart w:id="61" w:name="_Toc214939498"/>
      <w:bookmarkEnd w:id="30"/>
      <w:bookmarkEnd w:id="54"/>
      <w:bookmarkEnd w:id="58"/>
      <w:r>
        <w:t>Analysis</w:t>
      </w:r>
      <w:bookmarkEnd w:id="61"/>
    </w:p>
    <w:p w14:paraId="0890C3C6" w14:textId="77777777" w:rsidR="0065117B" w:rsidRDefault="00000000">
      <w:pPr>
        <w:pStyle w:val="FirstParagraph"/>
      </w:pPr>
      <w:r>
        <w:t>We trace how PANDA deals with the main sources of failure in cross-site medical AI. Each component is tied to a specific hurdle rather than bolted on for convenience, and the mechanics show up in both the math and the observed gains.</w:t>
      </w:r>
    </w:p>
    <w:p w14:paraId="34B33AAD" w14:textId="77777777" w:rsidR="0065117B" w:rsidRDefault="00000000">
      <w:pPr>
        <w:pStyle w:val="2"/>
      </w:pPr>
      <w:bookmarkStart w:id="62" w:name="Xe980253b74d78bebc8dafcb42af99f4abf1841d"/>
      <w:bookmarkStart w:id="63" w:name="_Toc214939499"/>
      <w:r>
        <w:t>In-Context Learning for Small-Sample Robustness</w:t>
      </w:r>
      <w:bookmarkEnd w:id="63"/>
    </w:p>
    <w:p w14:paraId="5ADEDE15" w14:textId="77777777" w:rsidR="0065117B" w:rsidRDefault="00000000">
      <w:pPr>
        <w:pStyle w:val="FirstParagraph"/>
      </w:pPr>
      <w:r>
        <w:t xml:space="preserve">Deep models tend to overfit on small cohorts (e.g.,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295</m:t>
        </m:r>
      </m:oMath>
      <w:r>
        <w:t xml:space="preserve">) and swing wildly with minor perturbations. PANDA avoids heavy re-training by casting classification as in-context learning. The TabPFN backbone uses a </w:t>
      </w:r>
      <w:r>
        <w:rPr>
          <w:i/>
          <w:iCs/>
        </w:rPr>
        <w:t>Per-Feature Transformer Architecture</w:t>
      </w:r>
      <w:r>
        <w:t xml:space="preserve">, treating each input </w:t>
      </w: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as a token sequence:</w:t>
      </w:r>
    </w:p>
    <w:p w14:paraId="32FAA04D" w14:textId="77777777" w:rsidR="0065117B" w:rsidRDefault="00000000">
      <w:pPr>
        <w:pStyle w:val="a0"/>
      </w:pPr>
      <m:oMathPara>
        <m:oMathParaPr>
          <m:jc m:val="center"/>
        </m:oMathParaPr>
        <m:oMath>
          <m:sSub>
            <m:sSubPr>
              <m:ctrlPr>
                <w:rPr>
                  <w:rFonts w:ascii="Cambria Math" w:hAnsi="Cambria Math"/>
                </w:rPr>
              </m:ctrlPr>
            </m:sSubPr>
            <m:e>
              <m:r>
                <m:rPr>
                  <m:sty m:val="b"/>
                </m:rPr>
                <w:rPr>
                  <w:rFonts w:ascii="Cambria Math" w:hAnsi="Cambria Math"/>
                </w:rPr>
                <m:t>e</m:t>
              </m:r>
            </m:e>
            <m:sub>
              <m:r>
                <w:rPr>
                  <w:rFonts w:ascii="Cambria Math" w:hAnsi="Cambria Math"/>
                </w:rPr>
                <m:t>i</m:t>
              </m:r>
            </m:sub>
          </m:sSub>
          <m:r>
            <m:rPr>
              <m:sty m:val="p"/>
            </m:rPr>
            <w:rPr>
              <w:rFonts w:ascii="Cambria Math" w:hAnsi="Cambria Math"/>
            </w:rPr>
            <m:t>=</m:t>
          </m:r>
          <m:r>
            <m:rPr>
              <m:nor/>
            </m:rPr>
            <m:t>Embed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oMath>
      </m:oMathPara>
    </w:p>
    <w:p w14:paraId="53E46730" w14:textId="77777777" w:rsidR="0065117B" w:rsidRDefault="00000000">
      <w:pPr>
        <w:pStyle w:val="FirstParagraph"/>
      </w:pPr>
      <w:r>
        <w:t xml:space="preserve">where </w:t>
      </w:r>
      <m:oMath>
        <m:r>
          <m:rPr>
            <m:nor/>
          </m:rPr>
          <m:t>Embed</m:t>
        </m:r>
        <m:r>
          <m:rPr>
            <m:scr m:val="double-struck"/>
            <m:sty m:val="p"/>
          </m:rPr>
          <w:rPr>
            <w:rFonts w:ascii="Cambria Math" w:hAnsi="Cambria Math"/>
          </w:rPr>
          <m:t>(⋅):R→</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maps features to a </w:t>
      </w:r>
      <m:oMath>
        <m:sSub>
          <m:sSubPr>
            <m:ctrlPr>
              <w:rPr>
                <w:rFonts w:ascii="Cambria Math" w:hAnsi="Cambria Math"/>
              </w:rPr>
            </m:ctrlPr>
          </m:sSubPr>
          <m:e>
            <m:r>
              <w:rPr>
                <w:rFonts w:ascii="Cambria Math" w:hAnsi="Cambria Math"/>
              </w:rPr>
              <m:t>d</m:t>
            </m:r>
          </m:e>
          <m:sub>
            <m:r>
              <m:rPr>
                <m:nor/>
              </m:rPr>
              <m:t>model</m:t>
            </m:r>
          </m:sub>
        </m:sSub>
      </m:oMath>
      <w:r>
        <w:t xml:space="preserve">-dimensional space. This embedded sequence </w:t>
      </w:r>
      <m:oMath>
        <m:r>
          <m:rPr>
            <m:sty m:val="b"/>
          </m:rPr>
          <w:rPr>
            <w:rFonts w:ascii="Cambria Math" w:hAnsi="Cambria Math"/>
          </w:rPr>
          <m:t>E</m:t>
        </m:r>
        <m:r>
          <m:rPr>
            <m:sty m:val="p"/>
          </m:rPr>
          <w:rPr>
            <w:rFonts w:ascii="Cambria Math" w:hAnsi="Cambria Math"/>
          </w:rPr>
          <m:t>=[</m:t>
        </m:r>
        <m:sSub>
          <m:sSubPr>
            <m:ctrlPr>
              <w:rPr>
                <w:rFonts w:ascii="Cambria Math" w:hAnsi="Cambria Math"/>
              </w:rPr>
            </m:ctrlPr>
          </m:sSubPr>
          <m:e>
            <m:r>
              <m:rPr>
                <m:sty m:val="b"/>
              </m:rPr>
              <w:rPr>
                <w:rFonts w:ascii="Cambria Math" w:hAnsi="Cambria Math"/>
              </w:rPr>
              <m:t>e</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e</m:t>
            </m:r>
          </m:e>
          <m:sub>
            <m:r>
              <w:rPr>
                <w:rFonts w:ascii="Cambria Math" w:hAnsi="Cambria Math"/>
              </w:rPr>
              <m:t>d</m:t>
            </m:r>
          </m:sub>
        </m:sSub>
        <m:r>
          <m:rPr>
            <m:sty m:val="p"/>
          </m:rPr>
          <w:rPr>
            <w:rFonts w:ascii="Cambria Math" w:hAnsi="Cambria Math"/>
          </w:rPr>
          <m:t>]</m:t>
        </m:r>
      </m:oMath>
      <w:r>
        <w:t xml:space="preserve"> is processed through a 12-layer Transformer encoder:</w:t>
      </w:r>
    </w:p>
    <w:p w14:paraId="7C5785A2" w14:textId="77777777" w:rsidR="0065117B" w:rsidRDefault="00000000">
      <w:pPr>
        <w:pStyle w:val="a0"/>
      </w:pPr>
      <m:oMathPara>
        <m:oMathParaPr>
          <m:jc m:val="center"/>
        </m:oMathParaPr>
        <m:oMath>
          <m:sSup>
            <m:sSupPr>
              <m:ctrlPr>
                <w:rPr>
                  <w:rFonts w:ascii="Cambria Math" w:hAnsi="Cambria Math"/>
                </w:rPr>
              </m:ctrlPr>
            </m:sSupPr>
            <m:e>
              <m:r>
                <m:rPr>
                  <m:sty m:val="b"/>
                </m:rPr>
                <w:rPr>
                  <w:rFonts w:ascii="Cambria Math" w:hAnsi="Cambria Math"/>
                </w:rPr>
                <m:t>H</m:t>
              </m:r>
            </m:e>
            <m:sup>
              <m:r>
                <m:rPr>
                  <m:sty m:val="p"/>
                </m:rPr>
                <w:rPr>
                  <w:rFonts w:ascii="Cambria Math" w:hAnsi="Cambria Math"/>
                </w:rPr>
                <m:t>(</m:t>
              </m:r>
              <m:r>
                <m:rPr>
                  <m:scr m:val="script"/>
                </m:rPr>
                <w:rPr>
                  <w:rFonts w:ascii="Cambria Math" w:hAnsi="Cambria Math"/>
                </w:rPr>
                <m:t>l</m:t>
              </m:r>
              <m:r>
                <m:rPr>
                  <m:sty m:val="p"/>
                </m:rPr>
                <w:rPr>
                  <w:rFonts w:ascii="Cambria Math" w:hAnsi="Cambria Math"/>
                </w:rPr>
                <m:t>)</m:t>
              </m:r>
            </m:sup>
          </m:sSup>
          <m:r>
            <m:rPr>
              <m:sty m:val="p"/>
            </m:rPr>
            <w:rPr>
              <w:rFonts w:ascii="Cambria Math" w:hAnsi="Cambria Math"/>
            </w:rPr>
            <m:t>=</m:t>
          </m:r>
          <m:r>
            <m:rPr>
              <m:nor/>
            </m:rPr>
            <m:t>LayerNorm</m:t>
          </m:r>
          <m:r>
            <m:rPr>
              <m:sty m:val="p"/>
            </m:rPr>
            <w:rPr>
              <w:rFonts w:ascii="Cambria Math" w:hAnsi="Cambria Math"/>
            </w:rPr>
            <m:t>(</m:t>
          </m:r>
          <m:r>
            <m:rPr>
              <m:nor/>
            </m:rPr>
            <m:t>MultiHead</m:t>
          </m:r>
          <m:r>
            <m:rPr>
              <m:sty m:val="p"/>
            </m:rPr>
            <w:rPr>
              <w:rFonts w:ascii="Cambria Math" w:hAnsi="Cambria Math"/>
            </w:rPr>
            <m:t>(</m:t>
          </m:r>
          <m:sSup>
            <m:sSupPr>
              <m:ctrlPr>
                <w:rPr>
                  <w:rFonts w:ascii="Cambria Math" w:hAnsi="Cambria Math"/>
                </w:rPr>
              </m:ctrlPr>
            </m:sSupPr>
            <m:e>
              <m:r>
                <m:rPr>
                  <m:sty m:val="b"/>
                </m:rPr>
                <w:rPr>
                  <w:rFonts w:ascii="Cambria Math" w:hAnsi="Cambria Math"/>
                </w:rPr>
                <m:t>H</m:t>
              </m:r>
            </m:e>
            <m:sup>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b"/>
                </m:rPr>
                <w:rPr>
                  <w:rFonts w:ascii="Cambria Math" w:hAnsi="Cambria Math"/>
                </w:rPr>
                <m:t>H</m:t>
              </m:r>
            </m:e>
            <m:sup>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oMath>
      </m:oMathPara>
    </w:p>
    <w:p w14:paraId="44AE98F4" w14:textId="77777777" w:rsidR="0065117B" w:rsidRDefault="00000000">
      <w:pPr>
        <w:pStyle w:val="FirstParagraph"/>
      </w:pPr>
      <m:oMathPara>
        <m:oMathParaPr>
          <m:jc m:val="center"/>
        </m:oMathParaPr>
        <m:oMath>
          <m:sSup>
            <m:sSupPr>
              <m:ctrlPr>
                <w:rPr>
                  <w:rFonts w:ascii="Cambria Math" w:hAnsi="Cambria Math"/>
                </w:rPr>
              </m:ctrlPr>
            </m:sSupPr>
            <m:e>
              <m:r>
                <m:rPr>
                  <m:sty m:val="b"/>
                </m:rPr>
                <w:rPr>
                  <w:rFonts w:ascii="Cambria Math" w:hAnsi="Cambria Math"/>
                </w:rPr>
                <m:t>H</m:t>
              </m:r>
            </m:e>
            <m:sup>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r>
            <m:rPr>
              <m:nor/>
            </m:rPr>
            <m:t>LayerNorm</m:t>
          </m:r>
          <m:r>
            <m:rPr>
              <m:sty m:val="p"/>
            </m:rPr>
            <w:rPr>
              <w:rFonts w:ascii="Cambria Math" w:hAnsi="Cambria Math"/>
            </w:rPr>
            <m:t>(</m:t>
          </m:r>
          <m:r>
            <m:rPr>
              <m:nor/>
            </m:rPr>
            <m:t>FFN</m:t>
          </m:r>
          <m:r>
            <m:rPr>
              <m:sty m:val="p"/>
            </m:rPr>
            <w:rPr>
              <w:rFonts w:ascii="Cambria Math" w:hAnsi="Cambria Math"/>
            </w:rPr>
            <m:t>(</m:t>
          </m:r>
          <m:sSup>
            <m:sSupPr>
              <m:ctrlPr>
                <w:rPr>
                  <w:rFonts w:ascii="Cambria Math" w:hAnsi="Cambria Math"/>
                </w:rPr>
              </m:ctrlPr>
            </m:sSupPr>
            <m:e>
              <m:r>
                <m:rPr>
                  <m:sty m:val="b"/>
                </m:rPr>
                <w:rPr>
                  <w:rFonts w:ascii="Cambria Math" w:hAnsi="Cambria Math"/>
                </w:rPr>
                <m:t>H</m:t>
              </m:r>
            </m:e>
            <m:sup>
              <m:r>
                <m:rPr>
                  <m:sty m:val="p"/>
                </m:rPr>
                <w:rPr>
                  <w:rFonts w:ascii="Cambria Math" w:hAnsi="Cambria Math"/>
                </w:rPr>
                <m:t>(</m:t>
              </m:r>
              <m:r>
                <m:rPr>
                  <m:scr m:val="script"/>
                </m:rPr>
                <w:rPr>
                  <w:rFonts w:ascii="Cambria Math" w:hAnsi="Cambria Math"/>
                </w:rPr>
                <m:t>l</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b"/>
                </m:rPr>
                <w:rPr>
                  <w:rFonts w:ascii="Cambria Math" w:hAnsi="Cambria Math"/>
                </w:rPr>
                <m:t>H</m:t>
              </m:r>
            </m:e>
            <m:sup>
              <m:r>
                <m:rPr>
                  <m:sty m:val="p"/>
                </m:rPr>
                <w:rPr>
                  <w:rFonts w:ascii="Cambria Math" w:hAnsi="Cambria Math"/>
                </w:rPr>
                <m:t>(</m:t>
              </m:r>
              <m:r>
                <m:rPr>
                  <m:scr m:val="script"/>
                </m:rPr>
                <w:rPr>
                  <w:rFonts w:ascii="Cambria Math" w:hAnsi="Cambria Math"/>
                </w:rPr>
                <m:t>l</m:t>
              </m:r>
              <m:r>
                <m:rPr>
                  <m:sty m:val="p"/>
                </m:rPr>
                <w:rPr>
                  <w:rFonts w:ascii="Cambria Math" w:hAnsi="Cambria Math"/>
                </w:rPr>
                <m:t>)</m:t>
              </m:r>
            </m:sup>
          </m:sSup>
          <m:r>
            <m:rPr>
              <m:sty m:val="p"/>
            </m:rPr>
            <w:rPr>
              <w:rFonts w:ascii="Cambria Math" w:hAnsi="Cambria Math"/>
            </w:rPr>
            <m:t>)</m:t>
          </m:r>
        </m:oMath>
      </m:oMathPara>
    </w:p>
    <w:p w14:paraId="792EA147" w14:textId="77777777" w:rsidR="0065117B" w:rsidRDefault="00000000">
      <w:pPr>
        <w:pStyle w:val="FirstParagraph"/>
      </w:pPr>
      <w:r>
        <w:lastRenderedPageBreak/>
        <w:t xml:space="preserve">where </w:t>
      </w:r>
      <m:oMath>
        <m:sSup>
          <m:sSupPr>
            <m:ctrlPr>
              <w:rPr>
                <w:rFonts w:ascii="Cambria Math" w:hAnsi="Cambria Math"/>
              </w:rPr>
            </m:ctrlPr>
          </m:sSupPr>
          <m:e>
            <m:r>
              <m:rPr>
                <m:sty m:val="b"/>
              </m:rPr>
              <w:rPr>
                <w:rFonts w:ascii="Cambria Math" w:hAnsi="Cambria Math"/>
              </w:rPr>
              <m:t>H</m:t>
            </m:r>
          </m:e>
          <m:sup>
            <m:r>
              <m:rPr>
                <m:sty m:val="p"/>
              </m:rPr>
              <w:rPr>
                <w:rFonts w:ascii="Cambria Math" w:hAnsi="Cambria Math"/>
              </w:rPr>
              <m:t>(</m:t>
            </m:r>
            <m:r>
              <w:rPr>
                <w:rFonts w:ascii="Cambria Math" w:hAnsi="Cambria Math"/>
              </w:rPr>
              <m:t>0</m:t>
            </m:r>
            <m:r>
              <m:rPr>
                <m:sty m:val="p"/>
              </m:rPr>
              <w:rPr>
                <w:rFonts w:ascii="Cambria Math" w:hAnsi="Cambria Math"/>
              </w:rPr>
              <m:t>)</m:t>
            </m:r>
          </m:sup>
        </m:sSup>
        <m:r>
          <m:rPr>
            <m:sty m:val="p"/>
          </m:rPr>
          <w:rPr>
            <w:rFonts w:ascii="Cambria Math" w:hAnsi="Cambria Math"/>
          </w:rPr>
          <m:t>=</m:t>
        </m:r>
        <m:r>
          <m:rPr>
            <m:sty m:val="b"/>
          </m:rPr>
          <w:rPr>
            <w:rFonts w:ascii="Cambria Math" w:hAnsi="Cambria Math"/>
          </w:rPr>
          <m:t>E</m:t>
        </m:r>
      </m:oMath>
      <w:r>
        <w:t>. To circumvent data scarcity, the model is pre-trained using a stochastic task generator that synthesizes classification problems from diverse function priors. For each batch, we sample a prior family and hyperparameters:</w:t>
      </w:r>
    </w:p>
    <w:p w14:paraId="0CEE1C6E" w14:textId="77777777" w:rsidR="0065117B" w:rsidRDefault="00000000">
      <w:pPr>
        <w:pStyle w:val="a0"/>
      </w:pPr>
      <m:oMathPara>
        <m:oMathParaPr>
          <m:jc m:val="center"/>
        </m:oMathParaPr>
        <m:oMath>
          <m:r>
            <w:rPr>
              <w:rFonts w:ascii="Cambria Math" w:hAnsi="Cambria Math"/>
            </w:rPr>
            <m:t>r</m:t>
          </m:r>
          <m:r>
            <m:rPr>
              <m:sty m:val="p"/>
            </m:rPr>
            <w:rPr>
              <w:rFonts w:ascii="Cambria Math" w:hAnsi="Cambria Math"/>
            </w:rPr>
            <m:t>∼Categorical(</m:t>
          </m:r>
          <m:r>
            <m:rPr>
              <m:sty m:val="b"/>
            </m:rPr>
            <w:rPr>
              <w:rFonts w:ascii="Cambria Math" w:hAnsi="Cambria Math"/>
            </w:rPr>
            <m:t>π</m:t>
          </m:r>
          <m:r>
            <m:rPr>
              <m:sty m:val="p"/>
            </m:rPr>
            <w:rPr>
              <w:rFonts w:ascii="Cambria Math" w:hAnsi="Cambria Math"/>
            </w:rPr>
            <m:t>),</m:t>
          </m:r>
          <m:r>
            <w:rPr>
              <w:rFonts w:ascii="Cambria Math" w:hAnsi="Cambria Math"/>
            </w:rPr>
            <m:t>  </m:t>
          </m:r>
          <m:r>
            <m:rPr>
              <m:sty m:val="b"/>
            </m:rPr>
            <w:rPr>
              <w:rFonts w:ascii="Cambria Math" w:hAnsi="Cambria Math"/>
            </w:rPr>
            <m:t>θ</m:t>
          </m:r>
          <m:r>
            <m:rPr>
              <m:sty m:val="p"/>
            </m:rPr>
            <w:rPr>
              <w:rFonts w:ascii="Cambria Math" w:hAnsi="Cambria Math"/>
            </w:rPr>
            <m:t>∼</m:t>
          </m:r>
          <m:r>
            <w:rPr>
              <w:rFonts w:ascii="Cambria Math" w:hAnsi="Cambria Math"/>
            </w:rPr>
            <m:t>p</m:t>
          </m:r>
          <m:r>
            <m:rPr>
              <m:sty m:val="p"/>
            </m:rPr>
            <w:rPr>
              <w:rFonts w:ascii="Cambria Math" w:hAnsi="Cambria Math"/>
            </w:rPr>
            <m:t>(</m:t>
          </m:r>
          <m:r>
            <m:rPr>
              <m:sty m:val="b"/>
            </m:rPr>
            <w:rPr>
              <w:rFonts w:ascii="Cambria Math" w:hAnsi="Cambria Math"/>
            </w:rPr>
            <m:t>θ</m:t>
          </m:r>
          <m:r>
            <m:rPr>
              <m:sty m:val="p"/>
            </m:rPr>
            <w:rPr>
              <w:rFonts w:ascii="Cambria Math" w:hAnsi="Cambria Math"/>
            </w:rPr>
            <m:t>∣</m:t>
          </m:r>
          <m:r>
            <w:rPr>
              <w:rFonts w:ascii="Cambria Math" w:hAnsi="Cambria Math"/>
            </w:rPr>
            <m:t>r</m:t>
          </m:r>
          <m:r>
            <m:rPr>
              <m:sty m:val="p"/>
            </m:rPr>
            <w:rPr>
              <w:rFonts w:ascii="Cambria Math" w:hAnsi="Cambria Math"/>
            </w:rPr>
            <m:t>),</m:t>
          </m:r>
        </m:oMath>
      </m:oMathPara>
    </w:p>
    <w:p w14:paraId="25C55033" w14:textId="77777777" w:rsidR="0065117B" w:rsidRDefault="00000000">
      <w:pPr>
        <w:pStyle w:val="FirstParagraph"/>
      </w:pPr>
      <w:r>
        <w:t xml:space="preserve">where </w:t>
      </w:r>
      <m:oMath>
        <m:r>
          <w:rPr>
            <w:rFonts w:ascii="Cambria Math" w:hAnsi="Cambria Math"/>
          </w:rPr>
          <m:t>r</m:t>
        </m:r>
        <m:r>
          <m:rPr>
            <m:sty m:val="p"/>
          </m:rPr>
          <w:rPr>
            <w:rFonts w:ascii="Cambria Math" w:hAnsi="Cambria Math"/>
          </w:rPr>
          <m:t>∈{</m:t>
        </m:r>
        <m:r>
          <m:rPr>
            <m:nor/>
          </m:rPr>
          <m:t>gp</m:t>
        </m:r>
        <m:r>
          <m:rPr>
            <m:sty m:val="p"/>
          </m:rPr>
          <w:rPr>
            <w:rFonts w:ascii="Cambria Math" w:hAnsi="Cambria Math"/>
          </w:rPr>
          <m:t>,</m:t>
        </m:r>
        <m:r>
          <m:rPr>
            <m:nor/>
          </m:rPr>
          <m:t>mlp</m:t>
        </m:r>
        <m:r>
          <m:rPr>
            <m:sty m:val="p"/>
          </m:rPr>
          <w:rPr>
            <w:rFonts w:ascii="Cambria Math" w:hAnsi="Cambria Math"/>
          </w:rPr>
          <m:t>,</m:t>
        </m:r>
        <m:r>
          <m:rPr>
            <m:nor/>
          </m:rPr>
          <m:t>ridge</m:t>
        </m:r>
        <m:r>
          <m:rPr>
            <m:sty m:val="p"/>
          </m:rPr>
          <w:rPr>
            <w:rFonts w:ascii="Cambria Math" w:hAnsi="Cambria Math"/>
          </w:rPr>
          <m:t>,</m:t>
        </m:r>
        <m:r>
          <m:rPr>
            <m:nor/>
          </m:rPr>
          <m:t>mix_gp}</m:t>
        </m:r>
      </m:oMath>
      <w:r>
        <w:t>. Inputs are sampled independently from a factorized base distribution and optionally transformed:</w:t>
      </w:r>
    </w:p>
    <w:p w14:paraId="1DA27CC3" w14:textId="77777777" w:rsidR="0065117B" w:rsidRDefault="00000000">
      <w:pPr>
        <w:pStyle w:val="a0"/>
      </w:pPr>
      <m:oMathPara>
        <m:oMathParaPr>
          <m:jc m:val="center"/>
        </m:oMathParaPr>
        <m:oMath>
          <m:sSub>
            <m:sSubPr>
              <m:ctrlPr>
                <w:rPr>
                  <w:rFonts w:ascii="Cambria Math" w:hAnsi="Cambria Math"/>
                </w:rPr>
              </m:ctrlPr>
            </m:sSubPr>
            <m:e>
              <m:r>
                <m:rPr>
                  <m:sty m:val="b"/>
                </m:rP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base</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m:rPr>
                      <m:sty m:val="b"/>
                    </m:rPr>
                    <w:rPr>
                      <w:rFonts w:ascii="Cambria Math" w:hAnsi="Cambria Math"/>
                    </w:rPr>
                    <m:t>x</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m:rPr>
                  <m:sty m:val="b"/>
                </m:rP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t</m:t>
              </m:r>
            </m:sub>
          </m:sSub>
          <m:r>
            <m:rPr>
              <m:sty m:val="p"/>
            </m:rPr>
            <w:rPr>
              <w:rFonts w:ascii="Cambria Math" w:hAnsi="Cambria Math"/>
            </w:rPr>
            <m:t>)</m:t>
          </m:r>
        </m:oMath>
      </m:oMathPara>
    </w:p>
    <w:p w14:paraId="7D98FC35" w14:textId="77777777" w:rsidR="0065117B" w:rsidRDefault="00000000">
      <w:pPr>
        <w:pStyle w:val="FirstParagraph"/>
      </w:pPr>
      <w:r>
        <w:t xml:space="preserve">During inference, the model performs in-context learning by processing the entire sequence of context examples </w:t>
      </w:r>
      <m:oMath>
        <m:sSub>
          <m:sSubPr>
            <m:ctrlPr>
              <w:rPr>
                <w:rFonts w:ascii="Cambria Math" w:hAnsi="Cambria Math"/>
              </w:rPr>
            </m:ctrlPr>
          </m:sSubPr>
          <m:e>
            <m:r>
              <m:rPr>
                <m:scr m:val="script"/>
                <m:sty m:val="p"/>
              </m:rPr>
              <w:rPr>
                <w:rFonts w:ascii="Cambria Math" w:hAnsi="Cambria Math"/>
              </w:rPr>
              <m:t>D</m:t>
            </m:r>
          </m:e>
          <m:sub>
            <m:r>
              <m:rPr>
                <m:nor/>
              </m:rPr>
              <m:t>ctx</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m:rPr>
                    <m:nor/>
                  </m:rPr>
                  <m:t>ctx</m:t>
                </m:r>
              </m:sub>
            </m:sSub>
          </m:sup>
        </m:sSubSup>
      </m:oMath>
      <w:r>
        <w:t xml:space="preserve"> and query inputs </w:t>
      </w:r>
      <m:oMath>
        <m:sSub>
          <m:sSubPr>
            <m:ctrlPr>
              <w:rPr>
                <w:rFonts w:ascii="Cambria Math" w:hAnsi="Cambria Math"/>
              </w:rPr>
            </m:ctrlPr>
          </m:sSubPr>
          <m:e>
            <m:r>
              <m:rPr>
                <m:sty m:val="b"/>
              </m:rPr>
              <w:rPr>
                <w:rFonts w:ascii="Cambria Math" w:hAnsi="Cambria Math"/>
              </w:rPr>
              <m:t>x</m:t>
            </m:r>
          </m:e>
          <m:sub>
            <m:r>
              <m:rPr>
                <m:nor/>
              </m:rPr>
              <m:t>query</m:t>
            </m:r>
          </m:sub>
        </m:sSub>
      </m:oMath>
      <w:r>
        <w:t>:</w:t>
      </w:r>
    </w:p>
    <w:p w14:paraId="7110865F" w14:textId="77777777" w:rsidR="0065117B" w:rsidRDefault="00000000">
      <w:pPr>
        <w:pStyle w:val="a0"/>
      </w:pPr>
      <m:oMathPara>
        <m:oMathParaPr>
          <m:jc m:val="center"/>
        </m:oMathParaPr>
        <m:oMath>
          <m:r>
            <m:rPr>
              <m:sty m:val="b"/>
            </m:rPr>
            <w:rPr>
              <w:rFonts w:ascii="Cambria Math" w:hAnsi="Cambria Math"/>
            </w:rPr>
            <m:t>z</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sSub>
                <m:sSubPr>
                  <m:ctrlPr>
                    <w:rPr>
                      <w:rFonts w:ascii="Cambria Math" w:hAnsi="Cambria Math"/>
                    </w:rPr>
                  </m:ctrlPr>
                </m:sSubPr>
                <m:e>
                  <m:r>
                    <w:rPr>
                      <w:rFonts w:ascii="Cambria Math" w:hAnsi="Cambria Math"/>
                    </w:rPr>
                    <m:t>n</m:t>
                  </m:r>
                </m:e>
                <m:sub>
                  <m:r>
                    <m:rPr>
                      <m:nor/>
                    </m:rPr>
                    <m:t>ctx</m:t>
                  </m:r>
                </m:sub>
              </m:sSub>
            </m:sub>
          </m:sSub>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n</m:t>
                  </m:r>
                </m:e>
                <m:sub>
                  <m:r>
                    <m:rPr>
                      <m:nor/>
                    </m:rPr>
                    <m:t>ctx</m:t>
                  </m:r>
                </m:sub>
              </m:sSub>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oMath>
      </m:oMathPara>
    </w:p>
    <w:p w14:paraId="21FFD3CA" w14:textId="77777777" w:rsidR="0065117B" w:rsidRDefault="00000000">
      <w:pPr>
        <w:pStyle w:val="FirstParagraph"/>
      </w:pPr>
      <w:r>
        <w:t xml:space="preserve">The prediction minimizes the in-context loss over query positions (averaged over a batch of size </w:t>
      </w:r>
      <m:oMath>
        <m:r>
          <w:rPr>
            <w:rFonts w:ascii="Cambria Math" w:hAnsi="Cambria Math"/>
          </w:rPr>
          <m:t>B</m:t>
        </m:r>
      </m:oMath>
      <w:r>
        <w:t>):</w:t>
      </w:r>
    </w:p>
    <w:p w14:paraId="6E6CA7CC" w14:textId="77777777" w:rsidR="0065117B"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ICL</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B</m:t>
              </m:r>
            </m:sup>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ctx</m:t>
                      </m:r>
                    </m:sub>
                  </m:sSub>
                  <m:r>
                    <m:rPr>
                      <m:sty m:val="p"/>
                    </m:rPr>
                    <w:rPr>
                      <w:rFonts w:ascii="Cambria Math" w:hAnsi="Cambria Math"/>
                    </w:rPr>
                    <m:t>+</m:t>
                  </m:r>
                  <m:r>
                    <w:rPr>
                      <w:rFonts w:ascii="Cambria Math" w:hAnsi="Cambria Math"/>
                    </w:rPr>
                    <m:t>1</m:t>
                  </m:r>
                </m:sub>
                <m:sup>
                  <m:r>
                    <w:rPr>
                      <w:rFonts w:ascii="Cambria Math" w:hAnsi="Cambria Math"/>
                    </w:rPr>
                    <m:t>T</m:t>
                  </m:r>
                </m:sup>
                <m:e>
                  <m:r>
                    <m:rPr>
                      <m:scr m:val="script"/>
                    </m:rPr>
                    <w:rPr>
                      <w:rFonts w:ascii="Cambria Math" w:hAnsi="Cambria Math"/>
                    </w:rPr>
                    <m:t>l</m:t>
                  </m:r>
                </m:e>
              </m:nary>
            </m:e>
          </m:nary>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z</m:t>
              </m:r>
            </m:e>
            <m:sub>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oMath>
      </m:oMathPara>
    </w:p>
    <w:p w14:paraId="596E3EE2" w14:textId="77777777" w:rsidR="0065117B" w:rsidRDefault="00000000">
      <w:pPr>
        <w:pStyle w:val="FirstParagraph"/>
      </w:pPr>
      <w:r>
        <w:t>The pre-trained priors act as regularizers, helping the model interpolate in sparse regions where conventional models often fail to learn stable boundaries.</w:t>
      </w:r>
    </w:p>
    <w:p w14:paraId="756F5504" w14:textId="77777777" w:rsidR="0065117B" w:rsidRDefault="00000000">
      <w:pPr>
        <w:pStyle w:val="2"/>
      </w:pPr>
      <w:bookmarkStart w:id="64" w:name="mitigating-distributional-heterogeneity"/>
      <w:bookmarkStart w:id="65" w:name="_Toc214939500"/>
      <w:bookmarkEnd w:id="62"/>
      <w:r>
        <w:t>Mitigating Distributional Heterogeneity</w:t>
      </w:r>
      <w:bookmarkEnd w:id="65"/>
    </w:p>
    <w:p w14:paraId="4B1D7064" w14:textId="77777777" w:rsidR="0065117B" w:rsidRDefault="00000000">
      <w:pPr>
        <w:pStyle w:val="FirstParagraph"/>
      </w:pPr>
      <w:r>
        <w:t>Performance usually drops when moving across hospitals because of small shifts in encoding and feature distributions. A dual preprocessing strategy tackles positional bias and distribution mismatch. To reduce ordering bias in the Transformer input, each ensemble member applies a cyclical permutation to the features:</w:t>
      </w:r>
    </w:p>
    <w:p w14:paraId="436D826C" w14:textId="77777777" w:rsidR="0065117B" w:rsidRDefault="00000000">
      <w:pPr>
        <w:pStyle w:val="a0"/>
      </w:pPr>
      <m:oMathPara>
        <m:oMathParaPr>
          <m:jc m:val="center"/>
        </m:oMathParaPr>
        <m:oMath>
          <m:sSubSup>
            <m:sSubSupPr>
              <m:ctrlPr>
                <w:rPr>
                  <w:rFonts w:ascii="Cambria Math" w:hAnsi="Cambria Math"/>
                </w:rPr>
              </m:ctrlPr>
            </m:sSubSupPr>
            <m:e>
              <m:r>
                <m:rPr>
                  <m:sty m:val="b"/>
                </m:rPr>
                <w:rPr>
                  <w:rFonts w:ascii="Cambria Math" w:hAnsi="Cambria Math"/>
                </w:rPr>
                <m:t>x</m:t>
              </m:r>
            </m:e>
            <m:sub>
              <m:r>
                <m:rPr>
                  <m:nor/>
                </m:rPr>
                <m:t>rotated</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m:rPr>
              <m:nor/>
            </m:rPr>
            <m:t>rotate</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 d</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 d</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 d</m:t>
              </m:r>
            </m:sub>
          </m:sSub>
          <m:r>
            <m:rPr>
              <m:sty m:val="p"/>
            </m:rPr>
            <w:rPr>
              <w:rFonts w:ascii="Cambria Math" w:hAnsi="Cambria Math"/>
            </w:rPr>
            <m:t>]</m:t>
          </m:r>
        </m:oMath>
      </m:oMathPara>
    </w:p>
    <w:p w14:paraId="5B3137C2" w14:textId="77777777" w:rsidR="0065117B" w:rsidRDefault="00000000">
      <w:pPr>
        <w:pStyle w:val="FirstParagraph"/>
      </w:pPr>
      <w:r>
        <w:t xml:space="preserve">with rotation offsets generated deterministically for each ensemble member </w:t>
      </w:r>
      <m:oMath>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In parallel, we employ </w:t>
      </w:r>
      <w:r>
        <w:rPr>
          <w:i/>
          <w:iCs/>
        </w:rPr>
        <w:t>Adaptive Feature Transformation</w:t>
      </w:r>
      <w:r>
        <w:t xml:space="preserve"> to bridge distributional gaps. The </w:t>
      </w:r>
      <w:r>
        <w:rPr>
          <w:b/>
          <w:bCs/>
        </w:rPr>
        <w:t>Enhanced Feature Transformation</w:t>
      </w:r>
      <w:r>
        <w:t xml:space="preserve"> performs a quantile transform followed by dimensionality expansion:</w:t>
      </w:r>
    </w:p>
    <w:p w14:paraId="0A34F51B" w14:textId="77777777" w:rsidR="0065117B" w:rsidRDefault="00000000">
      <w:pPr>
        <w:pStyle w:val="a0"/>
      </w:pPr>
      <m:oMathPara>
        <m:oMathParaPr>
          <m:jc m:val="center"/>
        </m:oMathParaPr>
        <m:oMath>
          <m:sSub>
            <m:sSubPr>
              <m:ctrlPr>
                <w:rPr>
                  <w:rFonts w:ascii="Cambria Math" w:hAnsi="Cambria Math"/>
                </w:rPr>
              </m:ctrlPr>
            </m:sSubPr>
            <m:e>
              <m:r>
                <m:rPr>
                  <m:sty m:val="b"/>
                </m:rPr>
                <w:rPr>
                  <w:rFonts w:ascii="Cambria Math" w:hAnsi="Cambria Math"/>
                </w:rPr>
                <m:t>x</m:t>
              </m:r>
            </m:e>
            <m:sub>
              <m:r>
                <m:rPr>
                  <m:nor/>
                </m:rPr>
                <m:t>quantile</m:t>
              </m:r>
            </m:sub>
          </m:sSub>
          <m:r>
            <m:rPr>
              <m:sty m:val="p"/>
            </m:rPr>
            <w:rPr>
              <w:rFonts w:ascii="Cambria Math" w:hAnsi="Cambria Math"/>
            </w:rPr>
            <m:t>=</m:t>
          </m:r>
          <m:r>
            <m:rPr>
              <m:nor/>
            </m:rPr>
            <m:t>QuantileTransformer</m:t>
          </m:r>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quantiles</m:t>
              </m:r>
            </m:sub>
          </m:sSub>
          <m:r>
            <m:rPr>
              <m:sty m:val="p"/>
            </m:rPr>
            <w:rPr>
              <w:rFonts w:ascii="Cambria Math" w:hAnsi="Cambria Math"/>
            </w:rPr>
            <m:t>=max(⌊</m:t>
          </m:r>
          <m:sSub>
            <m:sSubPr>
              <m:ctrlPr>
                <w:rPr>
                  <w:rFonts w:ascii="Cambria Math" w:hAnsi="Cambria Math"/>
                </w:rPr>
              </m:ctrlPr>
            </m:sSubPr>
            <m:e>
              <m:r>
                <w:rPr>
                  <w:rFonts w:ascii="Cambria Math" w:hAnsi="Cambria Math"/>
                </w:rPr>
                <m:t>n</m:t>
              </m:r>
            </m:e>
            <m:sub>
              <m:r>
                <m:rPr>
                  <m:nor/>
                </m:rPr>
                <m:t>samples</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2CABC84E" w14:textId="77777777" w:rsidR="0065117B" w:rsidRDefault="00000000">
      <w:pPr>
        <w:pStyle w:val="FirstParagraph"/>
      </w:pPr>
      <m:oMathPara>
        <m:oMathParaPr>
          <m:jc m:val="center"/>
        </m:oMathParaPr>
        <m:oMath>
          <m:sSub>
            <m:sSubPr>
              <m:ctrlPr>
                <w:rPr>
                  <w:rFonts w:ascii="Cambria Math" w:hAnsi="Cambria Math"/>
                </w:rPr>
              </m:ctrlPr>
            </m:sSubPr>
            <m:e>
              <m:r>
                <m:rPr>
                  <m:sty m:val="b"/>
                </m:rPr>
                <w:rPr>
                  <w:rFonts w:ascii="Cambria Math" w:hAnsi="Cambria Math"/>
                </w:rPr>
                <m:t>X</m:t>
              </m:r>
            </m:e>
            <m:sub>
              <m:r>
                <m:rPr>
                  <m:nor/>
                </m:rPr>
                <m:t>expanded</m:t>
              </m:r>
            </m:sub>
          </m:sSub>
          <m:r>
            <m:rPr>
              <m:sty m:val="p"/>
            </m:rPr>
            <w:rPr>
              <w:rFonts w:ascii="Cambria Math" w:hAnsi="Cambria Math"/>
            </w:rPr>
            <m:t>=</m:t>
          </m:r>
          <m:r>
            <m:rPr>
              <m:nor/>
            </m:rPr>
            <m:t>SVD</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quantile</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components</m:t>
              </m:r>
            </m:sub>
          </m:sSub>
          <m:r>
            <m:rPr>
              <m:sty m:val="p"/>
            </m:rPr>
            <w:rPr>
              <w:rFonts w:ascii="Cambria Math" w:hAnsi="Cambria Math"/>
            </w:rPr>
            <m:t>=min(</m:t>
          </m:r>
          <m:r>
            <w:rPr>
              <w:rFonts w:ascii="Cambria Math" w:hAnsi="Cambria Math"/>
            </w:rPr>
            <m:t>4</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5530145A" w14:textId="77777777" w:rsidR="0065117B" w:rsidRDefault="00000000">
      <w:pPr>
        <w:pStyle w:val="FirstParagraph"/>
      </w:pPr>
      <w:r>
        <w:t xml:space="preserve">yielding a final representation </w:t>
      </w:r>
      <m:oMath>
        <m:sSub>
          <m:sSubPr>
            <m:ctrlPr>
              <w:rPr>
                <w:rFonts w:ascii="Cambria Math" w:hAnsi="Cambria Math"/>
              </w:rPr>
            </m:ctrlPr>
          </m:sSubPr>
          <m:e>
            <m:r>
              <m:rPr>
                <m:sty m:val="b"/>
              </m:rPr>
              <w:rPr>
                <w:rFonts w:ascii="Cambria Math" w:hAnsi="Cambria Math"/>
              </w:rPr>
              <m:t>x</m:t>
            </m:r>
          </m:e>
          <m:sub>
            <m:r>
              <m:rPr>
                <m:nor/>
              </m:rPr>
              <m:t>final</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original</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quantile</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SVD</m:t>
            </m:r>
          </m:sub>
        </m:sSub>
        <m:r>
          <m:rPr>
            <m:sty m:val="p"/>
          </m:rPr>
          <w:rPr>
            <w:rFonts w:ascii="Cambria Math" w:hAnsi="Cambria Math"/>
          </w:rPr>
          <m:t>]</m:t>
        </m:r>
      </m:oMath>
      <w:r>
        <w:t xml:space="preserve">. A complementary </w:t>
      </w:r>
      <w:r>
        <w:rPr>
          <w:b/>
          <w:bCs/>
        </w:rPr>
        <w:t>Preserved Feature Transformation</w:t>
      </w:r>
      <w:r>
        <w:t xml:space="preserve"> keeps the raw feature distribution:</w:t>
      </w:r>
    </w:p>
    <w:p w14:paraId="3089AD7E" w14:textId="77777777" w:rsidR="0065117B" w:rsidRDefault="00000000">
      <w:pPr>
        <w:pStyle w:val="a0"/>
      </w:pPr>
      <m:oMathPara>
        <m:oMathParaPr>
          <m:jc m:val="center"/>
        </m:oMathParaPr>
        <m:oMath>
          <m:sSub>
            <m:sSubPr>
              <m:ctrlPr>
                <w:rPr>
                  <w:rFonts w:ascii="Cambria Math" w:hAnsi="Cambria Math"/>
                </w:rPr>
              </m:ctrlPr>
            </m:sSubPr>
            <m:e>
              <m:r>
                <m:rPr>
                  <m:sty m:val="b"/>
                </m:rPr>
                <w:rPr>
                  <w:rFonts w:ascii="Cambria Math" w:hAnsi="Cambria Math"/>
                </w:rPr>
                <m:t>x</m:t>
              </m:r>
            </m:e>
            <m:sub>
              <m:r>
                <m:rPr>
                  <m:nor/>
                </m:rPr>
                <m:t>preserved</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original</m:t>
              </m:r>
            </m:sub>
          </m:sSub>
        </m:oMath>
      </m:oMathPara>
    </w:p>
    <w:p w14:paraId="2CD18AB9" w14:textId="77777777" w:rsidR="0065117B" w:rsidRDefault="00000000">
      <w:pPr>
        <w:pStyle w:val="FirstParagraph"/>
      </w:pPr>
      <w:r>
        <w:t xml:space="preserve">Categorical variables are processed using </w:t>
      </w:r>
      <w:r>
        <w:rPr>
          <w:i/>
          <w:iCs/>
        </w:rPr>
        <w:t>Intelligent Categorical Encoding</w:t>
      </w:r>
      <w:r>
        <w:t>:</w:t>
      </w:r>
    </w:p>
    <w:p w14:paraId="7DC3ADC6" w14:textId="77777777" w:rsidR="0065117B" w:rsidRDefault="00000000">
      <w:pPr>
        <w:pStyle w:val="a0"/>
      </w:pPr>
      <m:oMathPara>
        <m:oMathParaPr>
          <m:jc m:val="center"/>
        </m:oMathParaPr>
        <m:oMath>
          <m:r>
            <m:rPr>
              <m:nor/>
            </m:rPr>
            <w:lastRenderedPageBreak/>
            <m:t>encode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r>
                      <m:rPr>
                        <m:sty m:val="p"/>
                      </m:rPr>
                      <w:rPr>
                        <w:rFonts w:ascii="Cambria Math" w:hAnsi="Cambria Math"/>
                      </w:rPr>
                      <m:t>)</m:t>
                    </m:r>
                  </m:e>
                  <m:e>
                    <m:r>
                      <m:rPr>
                        <m:nor/>
                      </m:rPr>
                      <m:t xml:space="preserve">if feature </m:t>
                    </m:r>
                    <m:r>
                      <w:rPr>
                        <w:rFonts w:ascii="Cambria Math" w:hAnsi="Cambria Math"/>
                      </w:rPr>
                      <m:t>j</m:t>
                    </m:r>
                    <m:r>
                      <m:rPr>
                        <m:nor/>
                      </m:rPr>
                      <m:t xml:space="preserve"> has frequently occurring categories</m:t>
                    </m:r>
                  </m:e>
                </m:mr>
                <m:mr>
                  <m:e>
                    <m:sSub>
                      <m:sSubPr>
                        <m:ctrlPr>
                          <w:rPr>
                            <w:rFonts w:ascii="Cambria Math" w:hAnsi="Cambria Math"/>
                          </w:rPr>
                        </m:ctrlPr>
                      </m:sSubPr>
                      <m:e>
                        <m:r>
                          <w:rPr>
                            <w:rFonts w:ascii="Cambria Math" w:hAnsi="Cambria Math"/>
                          </w:rPr>
                          <m:t>x</m:t>
                        </m:r>
                      </m:e>
                      <m:sub>
                        <m:r>
                          <w:rPr>
                            <w:rFonts w:ascii="Cambria Math" w:hAnsi="Cambria Math"/>
                          </w:rPr>
                          <m:t>ij</m:t>
                        </m:r>
                      </m:sub>
                    </m:sSub>
                  </m:e>
                  <m:e>
                    <m:r>
                      <m:rPr>
                        <m:nor/>
                      </m:rPr>
                      <m:t>otherwise</m:t>
                    </m:r>
                  </m:e>
                </m:mr>
              </m:m>
            </m:e>
          </m:d>
        </m:oMath>
      </m:oMathPara>
    </w:p>
    <w:p w14:paraId="56EE8B93" w14:textId="77777777" w:rsidR="0065117B" w:rsidRDefault="00000000">
      <w:pPr>
        <w:pStyle w:val="FirstParagraph"/>
      </w:pPr>
      <w:r>
        <w:t xml:space="preserve">where </w:t>
      </w: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w:rPr>
            <w:rFonts w:ascii="Cambria Math" w:hAnsi="Cambria Math"/>
          </w:rPr>
          <m:t>1</m:t>
        </m:r>
        <m:r>
          <m:rPr>
            <m:sty m:val="p"/>
          </m:rPr>
          <w:rPr>
            <w:rFonts w:ascii="Cambria Math" w:hAnsi="Cambria Math"/>
          </w:rPr>
          <m:t>})</m:t>
        </m:r>
      </m:oMath>
      <w:r>
        <w:t xml:space="preserve"> employs randomized integer assignment. Alternatively, the </w:t>
      </w:r>
      <w:r>
        <w:rPr>
          <w:b/>
          <w:bCs/>
        </w:rPr>
        <w:t>Numeric Treatment Strategy</w:t>
      </w:r>
      <w:r>
        <w:t xml:space="preserve"> treats categorical features as continuous:</w:t>
      </w:r>
    </w:p>
    <w:p w14:paraId="186D6FFB" w14:textId="77777777" w:rsidR="0065117B" w:rsidRDefault="00000000">
      <w:pPr>
        <w:pStyle w:val="a0"/>
      </w:pPr>
      <m:oMathPara>
        <m:oMathParaPr>
          <m:jc m:val="center"/>
        </m:oMathParaPr>
        <m:oMath>
          <m:r>
            <m:rPr>
              <m:nor/>
            </m:rPr>
            <m:t>encode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r>
            <m:rPr>
              <m:sty m:val="p"/>
            </m:rPr>
            <w:rPr>
              <w:rFonts w:ascii="Cambria Math" w:hAnsi="Cambria Math"/>
            </w:rPr>
            <m:t>)=</m:t>
          </m:r>
          <m:r>
            <m:rPr>
              <m:nor/>
            </m:rPr>
            <m:t>float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r>
            <m:rPr>
              <m:sty m:val="p"/>
            </m:rPr>
            <w:rPr>
              <w:rFonts w:ascii="Cambria Math" w:hAnsi="Cambria Math"/>
            </w:rPr>
            <m:t>)</m:t>
          </m:r>
        </m:oMath>
      </m:oMathPara>
    </w:p>
    <w:p w14:paraId="396DA10A" w14:textId="77777777" w:rsidR="0065117B" w:rsidRDefault="00000000">
      <w:pPr>
        <w:pStyle w:val="FirstParagraph"/>
      </w:pPr>
      <w:r>
        <w:t>Providing multiple “views” of the data lets the model marginalize hospital-specific artifacts and focus on the clinical signal.</w:t>
      </w:r>
    </w:p>
    <w:p w14:paraId="3DC7C098" w14:textId="77777777" w:rsidR="0065117B" w:rsidRDefault="00000000">
      <w:pPr>
        <w:pStyle w:val="2"/>
      </w:pPr>
      <w:bookmarkStart w:id="66" w:name="addressing-feature-inconsistency"/>
      <w:bookmarkStart w:id="67" w:name="_Toc214939501"/>
      <w:bookmarkEnd w:id="64"/>
      <w:r>
        <w:t>Addressing Feature Inconsistency</w:t>
      </w:r>
      <w:bookmarkEnd w:id="67"/>
    </w:p>
    <w:p w14:paraId="33345765" w14:textId="77777777" w:rsidR="0065117B" w:rsidRDefault="00000000">
      <w:pPr>
        <w:pStyle w:val="FirstParagraph"/>
      </w:pPr>
      <w:r>
        <w:t>Noisy or missing variables across cohorts make careful selection essential, and RFE offers a fairly transparent way to handle it. The workflow is straightforward:</w:t>
      </w:r>
    </w:p>
    <w:p w14:paraId="7A097ECD" w14:textId="77777777" w:rsidR="0065117B" w:rsidRDefault="00000000">
      <w:pPr>
        <w:numPr>
          <w:ilvl w:val="0"/>
          <w:numId w:val="4"/>
        </w:numPr>
      </w:pPr>
      <w:r>
        <w:t xml:space="preserve">Train the Pre-trained Tabular Foundation Model </w:t>
      </w:r>
      <m:oMath>
        <m:sSubSup>
          <m:sSubSupPr>
            <m:ctrlPr>
              <w:rPr>
                <w:rFonts w:ascii="Cambria Math" w:hAnsi="Cambria Math"/>
              </w:rPr>
            </m:ctrlPr>
          </m:sSubSupPr>
          <m:e>
            <m:r>
              <w:rPr>
                <w:rFonts w:ascii="Cambria Math" w:hAnsi="Cambria Math"/>
              </w:rPr>
              <m:t>f</m:t>
            </m:r>
          </m:e>
          <m:sub>
            <m:r>
              <m:rPr>
                <m:sty m:val="p"/>
              </m:rPr>
              <w:rPr>
                <w:rFonts w:ascii="Cambria Math" w:hAnsi="Cambria Math"/>
              </w:rPr>
              <m:t>Θ</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on the current feature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r>
              <w:rPr>
                <w:rFonts w:ascii="Cambria Math" w:hAnsi="Cambria Math"/>
              </w:rPr>
              <m:t>t</m:t>
            </m:r>
            <m:r>
              <m:rPr>
                <m:sty m:val="p"/>
              </m:rPr>
              <w:rPr>
                <w:rFonts w:ascii="Cambria Math" w:hAnsi="Cambria Math"/>
              </w:rPr>
              <m:t>)</m:t>
            </m:r>
          </m:sup>
        </m:sSup>
      </m:oMath>
      <w:r>
        <w:t>.</w:t>
      </w:r>
    </w:p>
    <w:p w14:paraId="595278C1" w14:textId="77777777" w:rsidR="0065117B" w:rsidRDefault="00000000">
      <w:pPr>
        <w:numPr>
          <w:ilvl w:val="0"/>
          <w:numId w:val="4"/>
        </w:numPr>
      </w:pPr>
      <w:r>
        <w:t xml:space="preserve">Estimate importance scores </w:t>
      </w: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m:t>
            </m:r>
            <m:r>
              <w:rPr>
                <w:rFonts w:ascii="Cambria Math" w:hAnsi="Cambria Math"/>
              </w:rPr>
              <m:t>t</m:t>
            </m:r>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2</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r>
                  <w:rPr>
                    <w:rFonts w:ascii="Cambria Math" w:hAnsi="Cambria Math"/>
                  </w:rPr>
                  <m:t>t</m:t>
                </m:r>
                <m:r>
                  <m:rPr>
                    <m:sty m:val="p"/>
                  </m:rPr>
                  <w:rPr>
                    <w:rFonts w:ascii="Cambria Math" w:hAnsi="Cambria Math"/>
                  </w:rPr>
                  <m:t>)</m:t>
                </m:r>
              </m:sup>
            </m:sSup>
            <m:r>
              <m:rPr>
                <m:sty m:val="p"/>
              </m:rPr>
              <w:rPr>
                <w:rFonts w:ascii="Cambria Math" w:hAnsi="Cambria Math"/>
              </w:rPr>
              <m:t>|</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oMath>
      <w:r>
        <w:t xml:space="preserve"> using permutation-based evaluation.</w:t>
      </w:r>
    </w:p>
    <w:p w14:paraId="4BEF6EBC" w14:textId="77777777" w:rsidR="0065117B" w:rsidRDefault="00000000">
      <w:pPr>
        <w:numPr>
          <w:ilvl w:val="0"/>
          <w:numId w:val="4"/>
        </w:numPr>
      </w:pPr>
      <w:r>
        <w:t>Remove the feature with the smallest score:</w:t>
      </w:r>
      <w:r>
        <w:br/>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r>
              <w:rPr>
                <w:rFonts w:ascii="Cambria Math" w:hAnsi="Cambria Math"/>
              </w:rPr>
              <m:t>t</m:t>
            </m:r>
            <m:r>
              <m:rPr>
                <m:sty m:val="p"/>
              </m:rPr>
              <w:rPr>
                <w:rFonts w:ascii="Cambria Math" w:hAnsi="Cambria Math"/>
              </w:rPr>
              <m:t>)</m:t>
            </m:r>
          </m:sup>
        </m:sSup>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r>
              <w:rPr>
                <w:rFonts w:ascii="Cambria Math" w:hAnsi="Cambria Math"/>
              </w:rPr>
              <m:t>j</m:t>
            </m:r>
          </m:sub>
        </m:sSub>
        <m:sSubSup>
          <m:sSubSupPr>
            <m:ctrlPr>
              <w:rPr>
                <w:rFonts w:ascii="Cambria Math" w:hAnsi="Cambria Math"/>
              </w:rPr>
            </m:ctrlPr>
          </m:sSubSupPr>
          <m:e>
            <m:r>
              <w:rPr>
                <w:rFonts w:ascii="Cambria Math" w:hAnsi="Cambria Math"/>
              </w:rPr>
              <m:t>I</m:t>
            </m:r>
          </m:e>
          <m:sub>
            <m:r>
              <w:rPr>
                <w:rFonts w:ascii="Cambria Math" w:hAnsi="Cambria Math"/>
              </w:rPr>
              <m:t>j</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oMath>
      <w:r>
        <w:t>.</w:t>
      </w:r>
    </w:p>
    <w:p w14:paraId="3B780E58" w14:textId="77777777" w:rsidR="0065117B" w:rsidRDefault="00000000">
      <w:pPr>
        <w:numPr>
          <w:ilvl w:val="0"/>
          <w:numId w:val="4"/>
        </w:numPr>
      </w:pPr>
      <w:r>
        <w:t xml:space="preserve">Repeat until the subset reaches the target size </w:t>
      </w:r>
      <m:oMath>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r>
          <w:rPr>
            <w:rFonts w:ascii="Cambria Math" w:hAnsi="Cambria Math"/>
          </w:rPr>
          <m:t>k</m:t>
        </m:r>
      </m:oMath>
      <w:r>
        <w:t>.</w:t>
      </w:r>
    </w:p>
    <w:p w14:paraId="07CB1CF7" w14:textId="77777777" w:rsidR="0065117B" w:rsidRDefault="00000000">
      <w:pPr>
        <w:pStyle w:val="FirstParagraph"/>
      </w:pPr>
      <w:r>
        <w:t>Feature importance here is defined by how much performance drops when a variable is randomly shuffled:</w:t>
      </w:r>
    </w:p>
    <w:p w14:paraId="1622DECA" w14:textId="77777777" w:rsidR="0065117B" w:rsidRDefault="00000000">
      <w:pPr>
        <w:pStyle w:val="a0"/>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r>
                <w:rPr>
                  <w:rFonts w:ascii="Cambria Math" w:hAnsi="Cambria Math"/>
                </w:rPr>
                <m:t>R</m:t>
              </m:r>
            </m:sup>
            <m:e>
              <m:d>
                <m:dPr>
                  <m:begChr m:val="["/>
                  <m:endChr m:val="]"/>
                  <m:ctrlPr>
                    <w:rPr>
                      <w:rFonts w:ascii="Cambria Math" w:hAnsi="Cambria Math"/>
                    </w:rPr>
                  </m:ctrlPr>
                </m:dPr>
                <m:e>
                  <m:r>
                    <m:rPr>
                      <m:sty m:val="p"/>
                    </m:rPr>
                    <w:rPr>
                      <w:rFonts w:ascii="Cambria Math" w:hAnsi="Cambria Math"/>
                    </w:rPr>
                    <m:t>AUC(</m:t>
                  </m:r>
                  <m:sSub>
                    <m:sSubPr>
                      <m:ctrlPr>
                        <w:rPr>
                          <w:rFonts w:ascii="Cambria Math" w:hAnsi="Cambria Math"/>
                        </w:rPr>
                      </m:ctrlPr>
                    </m:sSubPr>
                    <m:e>
                      <m:r>
                        <w:rPr>
                          <w:rFonts w:ascii="Cambria Math" w:hAnsi="Cambria Math"/>
                        </w:rPr>
                        <m:t>f</m:t>
                      </m:r>
                    </m:e>
                    <m:sub>
                      <m:r>
                        <m:rPr>
                          <m:sty m:val="p"/>
                        </m:rPr>
                        <w:rPr>
                          <w:rFonts w:ascii="Cambria Math" w:hAnsi="Cambria Math"/>
                        </w:rPr>
                        <m:t>Θ</m:t>
                      </m:r>
                    </m:sub>
                  </m:sSub>
                  <m:r>
                    <m:rPr>
                      <m:scr m:val="script"/>
                      <m:sty m:val="p"/>
                    </m:rPr>
                    <w:rPr>
                      <w:rFonts w:ascii="Cambria Math" w:hAnsi="Cambria Math"/>
                    </w:rPr>
                    <m:t>,D</m:t>
                  </m:r>
                  <m:r>
                    <m:rPr>
                      <m:sty m:val="p"/>
                    </m:rPr>
                    <w:rPr>
                      <w:rFonts w:ascii="Cambria Math" w:hAnsi="Cambria Math"/>
                    </w:rPr>
                    <m:t>)-AUC(</m:t>
                  </m:r>
                  <m:sSub>
                    <m:sSubPr>
                      <m:ctrlPr>
                        <w:rPr>
                          <w:rFonts w:ascii="Cambria Math" w:hAnsi="Cambria Math"/>
                        </w:rPr>
                      </m:ctrlPr>
                    </m:sSubPr>
                    <m:e>
                      <m:r>
                        <w:rPr>
                          <w:rFonts w:ascii="Cambria Math" w:hAnsi="Cambria Math"/>
                        </w:rPr>
                        <m:t>f</m:t>
                      </m:r>
                    </m:e>
                    <m:sub>
                      <m:r>
                        <m:rPr>
                          <m:sty m:val="p"/>
                        </m:rPr>
                        <w:rPr>
                          <w:rFonts w:ascii="Cambria Math" w:hAnsi="Cambria Math"/>
                        </w:rPr>
                        <m:t>Θ</m:t>
                      </m:r>
                    </m:sub>
                  </m:sSub>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D</m:t>
                      </m:r>
                    </m:e>
                    <m:sub>
                      <m:r>
                        <m:rPr>
                          <m:nor/>
                        </m:rPr>
                        <m:t>perm</m:t>
                      </m:r>
                      <m:r>
                        <m:rPr>
                          <m:sty m:val="p"/>
                        </m:rPr>
                        <w:rPr>
                          <w:rFonts w:ascii="Cambria Math" w:hAnsi="Cambria Math"/>
                        </w:rPr>
                        <m:t>(</m:t>
                      </m:r>
                      <m:r>
                        <w:rPr>
                          <w:rFonts w:ascii="Cambria Math" w:hAnsi="Cambria Math"/>
                        </w:rPr>
                        <m:t>j</m:t>
                      </m:r>
                      <m:r>
                        <m:rPr>
                          <m:sty m:val="p"/>
                        </m:rPr>
                        <w:rPr>
                          <w:rFonts w:ascii="Cambria Math" w:hAnsi="Cambria Math"/>
                        </w:rPr>
                        <m:t>)</m:t>
                      </m:r>
                    </m:sub>
                    <m:sup>
                      <m:r>
                        <m:rPr>
                          <m:sty m:val="p"/>
                        </m:rPr>
                        <w:rPr>
                          <w:rFonts w:ascii="Cambria Math" w:hAnsi="Cambria Math"/>
                        </w:rPr>
                        <m:t>(</m:t>
                      </m:r>
                      <m:r>
                        <w:rPr>
                          <w:rFonts w:ascii="Cambria Math" w:hAnsi="Cambria Math"/>
                        </w:rPr>
                        <m:t>r</m:t>
                      </m:r>
                      <m:r>
                        <m:rPr>
                          <m:sty m:val="p"/>
                        </m:rPr>
                        <w:rPr>
                          <w:rFonts w:ascii="Cambria Math" w:hAnsi="Cambria Math"/>
                        </w:rPr>
                        <m:t>)</m:t>
                      </m:r>
                    </m:sup>
                  </m:sSubSup>
                  <m:r>
                    <m:rPr>
                      <m:sty m:val="p"/>
                    </m:rPr>
                    <w:rPr>
                      <w:rFonts w:ascii="Cambria Math" w:hAnsi="Cambria Math"/>
                    </w:rPr>
                    <m:t>)</m:t>
                  </m:r>
                </m:e>
              </m:d>
            </m:e>
          </m:nary>
          <m:r>
            <m:rPr>
              <m:sty m:val="p"/>
            </m:rPr>
            <w:rPr>
              <w:rFonts w:ascii="Cambria Math" w:hAnsi="Cambria Math"/>
            </w:rPr>
            <m:t>.</m:t>
          </m:r>
        </m:oMath>
      </m:oMathPara>
    </w:p>
    <w:p w14:paraId="52C9A18E" w14:textId="77777777" w:rsidR="0065117B" w:rsidRDefault="00000000">
      <w:pPr>
        <w:pStyle w:val="FirstParagraph"/>
      </w:pPr>
      <w:r>
        <w:t>To determine the optimal feature subset, we optimize a comprehensive cost-effectiveness index:</w:t>
      </w:r>
    </w:p>
    <w:p w14:paraId="1C47AAF1" w14:textId="77777777" w:rsidR="0065117B" w:rsidRDefault="00000000">
      <w:pPr>
        <w:pStyle w:val="a0"/>
      </w:pPr>
      <m:oMathPara>
        <m:oMathParaPr>
          <m:jc m:val="center"/>
        </m:oMathParaPr>
        <m:oMath>
          <m:r>
            <m:rPr>
              <m:nor/>
            </m:rPr>
            <m:t>CostEffectiveness</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perf</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eff</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stab</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simp</m:t>
              </m:r>
            </m:sub>
          </m:sSub>
          <m:r>
            <m:rPr>
              <m:sty m:val="p"/>
            </m:rPr>
            <w:rPr>
              <w:rFonts w:ascii="Cambria Math" w:hAnsi="Cambria Math"/>
            </w:rPr>
            <m:t>(</m:t>
          </m:r>
          <m:r>
            <w:rPr>
              <w:rFonts w:ascii="Cambria Math" w:hAnsi="Cambria Math"/>
            </w:rPr>
            <m:t>k</m:t>
          </m:r>
          <m:r>
            <m:rPr>
              <m:sty m:val="p"/>
            </m:rPr>
            <w:rPr>
              <w:rFonts w:ascii="Cambria Math" w:hAnsi="Cambria Math"/>
            </w:rPr>
            <m:t>)</m:t>
          </m:r>
        </m:oMath>
      </m:oMathPara>
    </w:p>
    <w:p w14:paraId="047597AD" w14:textId="77777777" w:rsidR="0065117B" w:rsidRDefault="00000000">
      <w:pPr>
        <w:pStyle w:val="FirstParagraph"/>
      </w:pPr>
      <w:r>
        <w:t>where the component scores are normalized as follows:</w:t>
      </w:r>
    </w:p>
    <w:p w14:paraId="2E487D33" w14:textId="77777777" w:rsidR="0065117B" w:rsidRDefault="00000000">
      <w:pPr>
        <w:numPr>
          <w:ilvl w:val="0"/>
          <w:numId w:val="5"/>
        </w:numPr>
      </w:pPr>
      <w:r>
        <w:rPr>
          <w:b/>
          <w:bCs/>
        </w:rPr>
        <w:t>Performance Score</w:t>
      </w:r>
      <w:r>
        <w:t>:</w:t>
      </w:r>
    </w:p>
    <w:p w14:paraId="2DF7CD98" w14:textId="77777777" w:rsidR="0065117B"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m:rPr>
                  <m:nor/>
                </m:rPr>
                <m:t>perf</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0.5</m:t>
          </m:r>
          <m:r>
            <m:rPr>
              <m:sty m:val="p"/>
            </m:rPr>
            <w:rPr>
              <w:rFonts w:ascii="Cambria Math" w:hAnsi="Cambria Math"/>
            </w:rPr>
            <m:t>⋅</m:t>
          </m:r>
          <m:r>
            <m:rPr>
              <m:nor/>
            </m:rPr>
            <m:t>AUC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0.3</m:t>
          </m:r>
          <m:r>
            <m:rPr>
              <m:sty m:val="p"/>
            </m:rPr>
            <w:rPr>
              <w:rFonts w:ascii="Cambria Math" w:hAnsi="Cambria Math"/>
            </w:rPr>
            <m:t>⋅</m:t>
          </m:r>
          <m:r>
            <m:rPr>
              <m:nor/>
            </m:rPr>
            <m:t>Accuracy</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0.2</m:t>
          </m:r>
          <m:r>
            <m:rPr>
              <m:sty m:val="p"/>
            </m:rPr>
            <w:rPr>
              <w:rFonts w:ascii="Cambria Math" w:hAnsi="Cambria Math"/>
            </w:rPr>
            <m:t>⋅</m:t>
          </m:r>
          <m:r>
            <m:rPr>
              <m:nor/>
            </m:rPr>
            <m:t>F1</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1696FF50" w14:textId="77777777" w:rsidR="0065117B" w:rsidRDefault="00000000">
      <w:pPr>
        <w:numPr>
          <w:ilvl w:val="0"/>
          <w:numId w:val="5"/>
        </w:numPr>
      </w:pPr>
      <w:r>
        <w:rPr>
          <w:b/>
          <w:bCs/>
        </w:rPr>
        <w:t>Efficiency Score</w:t>
      </w:r>
      <w:r>
        <w:t>:</w:t>
      </w:r>
    </w:p>
    <w:p w14:paraId="39CD514B" w14:textId="77777777" w:rsidR="0065117B"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m:rPr>
                  <m:nor/>
                </m:rPr>
                <m:t>eff</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min</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min</m:t>
                  </m:r>
                </m:sub>
              </m:sSub>
            </m:den>
          </m:f>
        </m:oMath>
      </m:oMathPara>
    </w:p>
    <w:p w14:paraId="14B46AB0" w14:textId="77777777" w:rsidR="0065117B" w:rsidRDefault="00000000">
      <w:pPr>
        <w:numPr>
          <w:ilvl w:val="0"/>
          <w:numId w:val="5"/>
        </w:numPr>
      </w:pPr>
      <w:r>
        <w:rPr>
          <w:b/>
          <w:bCs/>
        </w:rPr>
        <w:lastRenderedPageBreak/>
        <w:t>Stability Score</w:t>
      </w:r>
      <w:r>
        <w:t>:</w:t>
      </w:r>
    </w:p>
    <w:p w14:paraId="686D9D81" w14:textId="77777777" w:rsidR="0065117B"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m:rPr>
                  <m:nor/>
                </m:rPr>
                <m:t>stab</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CV</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V</m:t>
                  </m:r>
                </m:e>
                <m:sub>
                  <m:r>
                    <m:rPr>
                      <m:sty m:val="p"/>
                    </m:rPr>
                    <w:rPr>
                      <w:rFonts w:ascii="Cambria Math" w:hAnsi="Cambria Math"/>
                    </w:rPr>
                    <m:t>min</m:t>
                  </m:r>
                </m:sub>
              </m:sSub>
            </m:num>
            <m:den>
              <m:r>
                <w:rPr>
                  <w:rFonts w:ascii="Cambria Math" w:hAnsi="Cambria Math"/>
                </w:rPr>
                <m:t>C</m:t>
              </m:r>
              <m:sSub>
                <m:sSubPr>
                  <m:ctrlPr>
                    <w:rPr>
                      <w:rFonts w:ascii="Cambria Math" w:hAnsi="Cambria Math"/>
                    </w:rPr>
                  </m:ctrlPr>
                </m:sSubPr>
                <m:e>
                  <m:r>
                    <w:rPr>
                      <w:rFonts w:ascii="Cambria Math" w:hAnsi="Cambria Math"/>
                    </w:rPr>
                    <m:t>V</m:t>
                  </m:r>
                </m:e>
                <m:sub>
                  <m:r>
                    <m:rPr>
                      <m:sty m:val="p"/>
                    </m:rPr>
                    <w:rPr>
                      <w:rFonts w:ascii="Cambria Math" w:hAnsi="Cambria Math"/>
                    </w:rPr>
                    <m:t>max</m:t>
                  </m:r>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V</m:t>
                  </m:r>
                </m:e>
                <m:sub>
                  <m:r>
                    <m:rPr>
                      <m:sty m:val="p"/>
                    </m:rPr>
                    <w:rPr>
                      <w:rFonts w:ascii="Cambria Math" w:hAnsi="Cambria Math"/>
                    </w:rPr>
                    <m:t>min</m:t>
                  </m:r>
                </m:sub>
              </m:sSub>
            </m:den>
          </m:f>
        </m:oMath>
      </m:oMathPara>
    </w:p>
    <w:p w14:paraId="50404736" w14:textId="77777777" w:rsidR="0065117B" w:rsidRDefault="00000000">
      <w:pPr>
        <w:numPr>
          <w:ilvl w:val="0"/>
          <w:numId w:val="5"/>
        </w:numPr>
      </w:pPr>
      <w:r>
        <w:rPr>
          <w:b/>
          <w:bCs/>
        </w:rPr>
        <w:t>Simplicity Score</w:t>
      </w:r>
      <w:r>
        <w:t>:</w:t>
      </w:r>
    </w:p>
    <w:p w14:paraId="4CF8CB4B" w14:textId="77777777" w:rsidR="0065117B"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m:rPr>
                  <m:nor/>
                </m:rPr>
                <m:t>simp</m:t>
              </m:r>
            </m:sub>
          </m:sSub>
          <m:r>
            <m:rPr>
              <m:sty m:val="p"/>
            </m:rPr>
            <w:rPr>
              <w:rFonts w:ascii="Cambria Math" w:hAnsi="Cambria Math"/>
            </w:rPr>
            <m:t>(</m:t>
          </m:r>
          <m:r>
            <w:rPr>
              <w:rFonts w:ascii="Cambria Math" w:hAnsi="Cambria Math"/>
            </w:rPr>
            <m:t>k</m:t>
          </m:r>
          <m:r>
            <m:rPr>
              <m:sty m:val="p"/>
            </m:rPr>
            <w:rPr>
              <w:rFonts w:ascii="Cambria Math" w:hAnsi="Cambria Math"/>
            </w:rPr>
            <m:t>)=exp(-</m:t>
          </m:r>
          <m:r>
            <w:rPr>
              <w:rFonts w:ascii="Cambria Math" w:hAnsi="Cambria Math"/>
            </w:rPr>
            <m:t>α</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7F9BCC91" w14:textId="77777777" w:rsidR="0065117B" w:rsidRDefault="00000000">
      <w:pPr>
        <w:pStyle w:val="FirstParagraph"/>
      </w:pPr>
      <w:r>
        <w:t xml:space="preserve">The optimal subset is chosen as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r>
          <m:rPr>
            <m:nor/>
          </m:rPr>
          <m:t>CostEffectiveness</m:t>
        </m:r>
        <m:r>
          <m:rPr>
            <m:sty m:val="p"/>
          </m:rPr>
          <w:rPr>
            <w:rFonts w:ascii="Cambria Math" w:hAnsi="Cambria Math"/>
          </w:rPr>
          <m:t>(</m:t>
        </m:r>
        <m:r>
          <w:rPr>
            <w:rFonts w:ascii="Cambria Math" w:hAnsi="Cambria Math"/>
          </w:rPr>
          <m:t>k</m:t>
        </m:r>
        <m:r>
          <m:rPr>
            <m:sty m:val="p"/>
          </m:rPr>
          <w:rPr>
            <w:rFonts w:ascii="Cambria Math" w:hAnsi="Cambria Math"/>
          </w:rPr>
          <m:t>)</m:t>
        </m:r>
      </m:oMath>
      <w:r>
        <w:t>, yielding a feature set that keeps strong discriminative value while still matching what hospitals can reliably collect.</w:t>
      </w:r>
    </w:p>
    <w:p w14:paraId="1703CC17" w14:textId="77777777" w:rsidR="0065117B" w:rsidRDefault="00000000">
      <w:pPr>
        <w:pStyle w:val="2"/>
      </w:pPr>
      <w:bookmarkStart w:id="68" w:name="X82c0556edd7d1417cf5952d4689bdef1a4077e4"/>
      <w:bookmarkStart w:id="69" w:name="_Toc214939502"/>
      <w:bookmarkEnd w:id="66"/>
      <w:r>
        <w:t>Latent Space Alignment for Covariate Shift</w:t>
      </w:r>
      <w:bookmarkEnd w:id="69"/>
    </w:p>
    <w:p w14:paraId="07B95A1D" w14:textId="77777777" w:rsidR="0065117B" w:rsidRDefault="00000000">
      <w:pPr>
        <w:pStyle w:val="FirstParagraph"/>
      </w:pPr>
      <w:r>
        <w:t>A noticeable gap between internal and external validation often hints at covariate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oMath>
      <w:r>
        <w:t xml:space="preserve">). </w:t>
      </w:r>
      <w:r>
        <w:rPr>
          <w:i/>
          <w:iCs/>
        </w:rPr>
        <w:t>Transfer Component Analysis (TCA)</w:t>
      </w:r>
      <w:r>
        <w:t xml:space="preserve"> addresses this by mapping both domains into a shared latent subspace where their distributions look closer. Let </w:t>
      </w:r>
      <m:oMath>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d</m:t>
            </m:r>
          </m:sup>
        </m:sSup>
      </m:oMath>
      <w:r>
        <w:t xml:space="preserve"> and </w:t>
      </w: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r>
              <w:rPr>
                <w:rFonts w:ascii="Cambria Math" w:hAnsi="Cambria Math"/>
              </w:rPr>
              <m:t>d</m:t>
            </m:r>
          </m:sup>
        </m:sSup>
      </m:oMath>
      <w:r>
        <w:t xml:space="preserve"> be source and target feature matrices. A combined kernel matrix </w:t>
      </w:r>
      <m:oMath>
        <m:r>
          <w:rPr>
            <w:rFonts w:ascii="Cambria Math" w:hAnsi="Cambria Math"/>
          </w:rPr>
          <m:t>K</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up>
        </m:sSup>
      </m:oMath>
      <w:r>
        <w:t xml:space="preserve"> with a linear kernel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m:t>
            </m:r>
          </m:sup>
        </m:sSubSup>
        <m:sSub>
          <m:sSubPr>
            <m:ctrlPr>
              <w:rPr>
                <w:rFonts w:ascii="Cambria Math" w:hAnsi="Cambria Math"/>
              </w:rPr>
            </m:ctrlPr>
          </m:sSubPr>
          <m:e>
            <m:r>
              <w:rPr>
                <w:rFonts w:ascii="Cambria Math" w:hAnsi="Cambria Math"/>
              </w:rPr>
              <m:t>x</m:t>
            </m:r>
          </m:e>
          <m:sub>
            <m:r>
              <w:rPr>
                <w:rFonts w:ascii="Cambria Math" w:hAnsi="Cambria Math"/>
              </w:rPr>
              <m:t>j</m:t>
            </m:r>
          </m:sub>
        </m:sSub>
      </m:oMath>
      <w:r>
        <w:t xml:space="preserve"> is partitioned as:</w:t>
      </w:r>
    </w:p>
    <w:p w14:paraId="6CC2B026" w14:textId="77777777" w:rsidR="0065117B" w:rsidRDefault="00000000">
      <w:pPr>
        <w:pStyle w:val="a0"/>
      </w:pPr>
      <m:oMathPara>
        <m:oMathParaPr>
          <m:jc m:val="center"/>
        </m:oMathParaPr>
        <m:oMath>
          <m:r>
            <w:rPr>
              <w:rFonts w:ascii="Cambria Math" w:hAnsi="Cambria Math"/>
            </w:rPr>
            <m:t>K</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K</m:t>
                        </m:r>
                      </m:e>
                      <m:sub>
                        <m:r>
                          <w:rPr>
                            <w:rFonts w:ascii="Cambria Math" w:hAnsi="Cambria Math"/>
                          </w:rPr>
                          <m:t>ss</m:t>
                        </m:r>
                      </m:sub>
                    </m:sSub>
                  </m:e>
                  <m:e>
                    <m:sSub>
                      <m:sSubPr>
                        <m:ctrlPr>
                          <w:rPr>
                            <w:rFonts w:ascii="Cambria Math" w:hAnsi="Cambria Math"/>
                          </w:rPr>
                        </m:ctrlPr>
                      </m:sSubPr>
                      <m:e>
                        <m:r>
                          <w:rPr>
                            <w:rFonts w:ascii="Cambria Math" w:hAnsi="Cambria Math"/>
                          </w:rPr>
                          <m:t>K</m:t>
                        </m:r>
                      </m:e>
                      <m:sub>
                        <m:r>
                          <w:rPr>
                            <w:rFonts w:ascii="Cambria Math" w:hAnsi="Cambria Math"/>
                          </w:rPr>
                          <m:t>st</m:t>
                        </m:r>
                      </m:sub>
                    </m:sSub>
                  </m:e>
                </m:mr>
                <m:mr>
                  <m:e>
                    <m:sSub>
                      <m:sSubPr>
                        <m:ctrlPr>
                          <w:rPr>
                            <w:rFonts w:ascii="Cambria Math" w:hAnsi="Cambria Math"/>
                          </w:rPr>
                        </m:ctrlPr>
                      </m:sSubPr>
                      <m:e>
                        <m:r>
                          <w:rPr>
                            <w:rFonts w:ascii="Cambria Math" w:hAnsi="Cambria Math"/>
                          </w:rPr>
                          <m:t>K</m:t>
                        </m:r>
                      </m:e>
                      <m:sub>
                        <m:r>
                          <w:rPr>
                            <w:rFonts w:ascii="Cambria Math" w:hAnsi="Cambria Math"/>
                          </w:rPr>
                          <m:t>ts</m:t>
                        </m:r>
                      </m:sub>
                    </m:sSub>
                  </m:e>
                  <m:e>
                    <m:sSub>
                      <m:sSubPr>
                        <m:ctrlPr>
                          <w:rPr>
                            <w:rFonts w:ascii="Cambria Math" w:hAnsi="Cambria Math"/>
                          </w:rPr>
                        </m:ctrlPr>
                      </m:sSubPr>
                      <m:e>
                        <m:r>
                          <w:rPr>
                            <w:rFonts w:ascii="Cambria Math" w:hAnsi="Cambria Math"/>
                          </w:rPr>
                          <m:t>K</m:t>
                        </m:r>
                      </m:e>
                      <m:sub>
                        <m:r>
                          <w:rPr>
                            <w:rFonts w:ascii="Cambria Math" w:hAnsi="Cambria Math"/>
                          </w:rPr>
                          <m:t>tt</m:t>
                        </m:r>
                      </m:sub>
                    </m:sSub>
                  </m:e>
                </m:mr>
              </m:m>
            </m:e>
          </m:d>
        </m:oMath>
      </m:oMathPara>
    </w:p>
    <w:p w14:paraId="03EC82B1" w14:textId="77777777" w:rsidR="0065117B" w:rsidRDefault="00000000">
      <w:pPr>
        <w:pStyle w:val="FirstParagraph"/>
      </w:pPr>
      <w:r>
        <w:t xml:space="preserve">A projection matrix </w:t>
      </w:r>
      <m:oMath>
        <m:r>
          <w:rPr>
            <w:rFonts w:ascii="Cambria Math" w:hAnsi="Cambria Math"/>
          </w:rPr>
          <m:t>W</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r>
              <w:rPr>
                <w:rFonts w:ascii="Cambria Math" w:hAnsi="Cambria Math"/>
              </w:rPr>
              <m:t>k</m:t>
            </m:r>
          </m:sup>
        </m:sSup>
      </m:oMath>
      <w:r>
        <w:t xml:space="preserve"> is learned by solving:</w:t>
      </w:r>
    </w:p>
    <w:p w14:paraId="235E6E89" w14:textId="77777777" w:rsidR="0065117B" w:rsidRDefault="00000000">
      <w:pPr>
        <w:pStyle w:val="a0"/>
      </w:pPr>
      <m:oMathPara>
        <m:oMathParaPr>
          <m:jc m:val="center"/>
        </m:oMathParaPr>
        <m:oMath>
          <m:limLow>
            <m:limLowPr>
              <m:ctrlPr>
                <w:rPr>
                  <w:rFonts w:ascii="Cambria Math" w:hAnsi="Cambria Math"/>
                </w:rPr>
              </m:ctrlPr>
            </m:limLowPr>
            <m:e>
              <m:r>
                <m:rPr>
                  <m:sty m:val="p"/>
                </m:rPr>
                <w:rPr>
                  <w:rFonts w:ascii="Cambria Math" w:hAnsi="Cambria Math"/>
                </w:rPr>
                <m:t>min</m:t>
              </m:r>
            </m:e>
            <m:lim>
              <m:r>
                <w:rPr>
                  <w:rFonts w:ascii="Cambria Math" w:hAnsi="Cambria Math"/>
                </w:rPr>
                <m:t>W</m:t>
              </m:r>
            </m:lim>
          </m:limLow>
          <m:r>
            <w:rPr>
              <w:rFonts w:ascii="Cambria Math" w:hAnsi="Cambria Math"/>
            </w:rPr>
            <m:t> </m:t>
          </m:r>
          <m:r>
            <m:rPr>
              <m:sty m:val="p"/>
            </m:rPr>
            <w:rPr>
              <w:rFonts w:ascii="Cambria Math" w:hAnsi="Cambria Math"/>
            </w:rPr>
            <m:t>tr(</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KL</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w:rPr>
              <w:rFonts w:ascii="Cambria Math" w:hAnsi="Cambria Math"/>
            </w:rPr>
            <m:t>W</m:t>
          </m:r>
          <m:r>
            <m:rPr>
              <m:sty m:val="p"/>
            </m:rPr>
            <w:rPr>
              <w:rFonts w:ascii="Cambria Math" w:hAnsi="Cambria Math"/>
            </w:rPr>
            <m:t>)+</m:t>
          </m:r>
          <m:r>
            <w:rPr>
              <w:rFonts w:ascii="Cambria Math" w:hAnsi="Cambria Math"/>
            </w:rPr>
            <m:t>μ</m:t>
          </m:r>
          <m:r>
            <m:rPr>
              <m:sty m:val="p"/>
            </m:rPr>
            <w:rPr>
              <w:rFonts w:ascii="Cambria Math" w:hAnsi="Cambria Math"/>
            </w:rPr>
            <m:t>⋅tr(</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KH</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w:rPr>
              <w:rFonts w:ascii="Cambria Math" w:hAnsi="Cambria Math"/>
            </w:rPr>
            <m:t>W</m:t>
          </m:r>
          <m:r>
            <m:rPr>
              <m:sty m:val="p"/>
            </m:rPr>
            <w:rPr>
              <w:rFonts w:ascii="Cambria Math" w:hAnsi="Cambria Math"/>
            </w:rPr>
            <m:t>),</m:t>
          </m:r>
        </m:oMath>
      </m:oMathPara>
    </w:p>
    <w:p w14:paraId="78C33404" w14:textId="77777777" w:rsidR="0065117B" w:rsidRDefault="00000000">
      <w:pPr>
        <w:pStyle w:val="FirstParagraph"/>
      </w:pPr>
      <w:r>
        <w:t xml:space="preserve">where the alignment matrix </w:t>
      </w:r>
      <m:oMath>
        <m:r>
          <w:rPr>
            <w:rFonts w:ascii="Cambria Math" w:hAnsi="Cambria Math"/>
          </w:rPr>
          <m:t>L</m:t>
        </m:r>
      </m:oMath>
      <w:r>
        <w:t xml:space="preserve"> encourages domain alignment:</w:t>
      </w:r>
    </w:p>
    <w:p w14:paraId="73AF6AC5" w14:textId="77777777" w:rsidR="0065117B" w:rsidRDefault="00000000">
      <w:pPr>
        <w:pStyle w:val="a0"/>
      </w:pPr>
      <m:oMathPara>
        <m:oMathParaPr>
          <m:jc m:val="center"/>
        </m:oMathParaPr>
        <m:oMath>
          <m:r>
            <w:rPr>
              <w:rFonts w:ascii="Cambria Math" w:hAnsi="Cambria Math"/>
            </w:rPr>
            <m:t>L</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s</m:t>
                            </m:r>
                          </m:sub>
                          <m:sup>
                            <m:r>
                              <w:rPr>
                                <w:rFonts w:ascii="Cambria Math" w:hAnsi="Cambria Math"/>
                              </w:rPr>
                              <m:t>2</m:t>
                            </m:r>
                          </m:sup>
                        </m:sSubSup>
                      </m:den>
                    </m:f>
                    <m:sSub>
                      <m:sSubPr>
                        <m:ctrlPr>
                          <w:rPr>
                            <w:rFonts w:ascii="Cambria Math" w:hAnsi="Cambria Math"/>
                          </w:rPr>
                        </m:ctrlPr>
                      </m:sSubPr>
                      <m:e>
                        <m:r>
                          <m:rPr>
                            <m:sty m:val="b"/>
                          </m:rPr>
                          <w:rPr>
                            <w:rFonts w:ascii="Cambria Math" w:hAnsi="Cambria Math"/>
                          </w:rPr>
                          <m:t>1</m:t>
                        </m:r>
                      </m:e>
                      <m:sub>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sub>
                    </m:sSub>
                  </m:e>
                  <m:e>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sSub>
                          <m:sSubPr>
                            <m:ctrlPr>
                              <w:rPr>
                                <w:rFonts w:ascii="Cambria Math" w:hAnsi="Cambria Math"/>
                              </w:rPr>
                            </m:ctrlPr>
                          </m:sSubPr>
                          <m:e>
                            <m:r>
                              <w:rPr>
                                <w:rFonts w:ascii="Cambria Math" w:hAnsi="Cambria Math"/>
                              </w:rPr>
                              <m:t>n</m:t>
                            </m:r>
                          </m:e>
                          <m:sub>
                            <m:r>
                              <w:rPr>
                                <w:rFonts w:ascii="Cambria Math" w:hAnsi="Cambria Math"/>
                              </w:rPr>
                              <m:t>t</m:t>
                            </m:r>
                          </m:sub>
                        </m:sSub>
                      </m:den>
                    </m:f>
                    <m:sSub>
                      <m:sSubPr>
                        <m:ctrlPr>
                          <w:rPr>
                            <w:rFonts w:ascii="Cambria Math" w:hAnsi="Cambria Math"/>
                          </w:rPr>
                        </m:ctrlPr>
                      </m:sSubPr>
                      <m:e>
                        <m:r>
                          <m:rPr>
                            <m:sty m:val="b"/>
                          </m:rPr>
                          <w:rPr>
                            <w:rFonts w:ascii="Cambria Math" w:hAnsi="Cambria Math"/>
                          </w:rPr>
                          <m:t>1</m:t>
                        </m:r>
                      </m:e>
                      <m:sub>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sub>
                    </m:sSub>
                  </m:e>
                </m:mr>
                <m:mr>
                  <m:e>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sSub>
                          <m:sSubPr>
                            <m:ctrlPr>
                              <w:rPr>
                                <w:rFonts w:ascii="Cambria Math" w:hAnsi="Cambria Math"/>
                              </w:rPr>
                            </m:ctrlPr>
                          </m:sSubPr>
                          <m:e>
                            <m:r>
                              <w:rPr>
                                <w:rFonts w:ascii="Cambria Math" w:hAnsi="Cambria Math"/>
                              </w:rPr>
                              <m:t>n</m:t>
                            </m:r>
                          </m:e>
                          <m:sub>
                            <m:r>
                              <w:rPr>
                                <w:rFonts w:ascii="Cambria Math" w:hAnsi="Cambria Math"/>
                              </w:rPr>
                              <m:t>t</m:t>
                            </m:r>
                          </m:sub>
                        </m:sSub>
                      </m:den>
                    </m:f>
                    <m:sSub>
                      <m:sSubPr>
                        <m:ctrlPr>
                          <w:rPr>
                            <w:rFonts w:ascii="Cambria Math" w:hAnsi="Cambria Math"/>
                          </w:rPr>
                        </m:ctrlPr>
                      </m:sSubPr>
                      <m:e>
                        <m:r>
                          <m:rPr>
                            <m:sty m:val="b"/>
                          </m:rPr>
                          <w:rPr>
                            <w:rFonts w:ascii="Cambria Math" w:hAnsi="Cambria Math"/>
                          </w:rPr>
                          <m:t>1</m:t>
                        </m:r>
                      </m:e>
                      <m:sub>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sub>
                    </m:sSub>
                  </m:e>
                  <m:e>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2</m:t>
                            </m:r>
                          </m:sup>
                        </m:sSubSup>
                      </m:den>
                    </m:f>
                    <m:sSub>
                      <m:sSubPr>
                        <m:ctrlPr>
                          <w:rPr>
                            <w:rFonts w:ascii="Cambria Math" w:hAnsi="Cambria Math"/>
                          </w:rPr>
                        </m:ctrlPr>
                      </m:sSubPr>
                      <m:e>
                        <m:r>
                          <m:rPr>
                            <m:sty m:val="b"/>
                          </m:rPr>
                          <w:rPr>
                            <w:rFonts w:ascii="Cambria Math" w:hAnsi="Cambria Math"/>
                          </w:rPr>
                          <m:t>1</m:t>
                        </m:r>
                      </m:e>
                      <m:sub>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sub>
                    </m:sSub>
                  </m:e>
                </m:mr>
              </m:m>
            </m:e>
          </m:d>
        </m:oMath>
      </m:oMathPara>
    </w:p>
    <w:p w14:paraId="2BA0085F" w14:textId="77777777" w:rsidR="0065117B" w:rsidRDefault="00000000">
      <w:pPr>
        <w:pStyle w:val="FirstParagraph"/>
      </w:pPr>
      <w:r>
        <w:t xml:space="preserve">and the centering matrix </w:t>
      </w:r>
      <m:oMath>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den>
        </m:f>
        <m:r>
          <m:rPr>
            <m:sty m:val="b"/>
          </m:rPr>
          <w:rPr>
            <w:rFonts w:ascii="Cambria Math" w:hAnsi="Cambria Math"/>
          </w:rPr>
          <m:t>1</m:t>
        </m:r>
        <m:sSup>
          <m:sSupPr>
            <m:ctrlPr>
              <w:rPr>
                <w:rFonts w:ascii="Cambria Math" w:hAnsi="Cambria Math"/>
              </w:rPr>
            </m:ctrlPr>
          </m:sSupPr>
          <m:e>
            <m:r>
              <m:rPr>
                <m:sty m:val="b"/>
              </m:rPr>
              <w:rPr>
                <w:rFonts w:ascii="Cambria Math" w:hAnsi="Cambria Math"/>
              </w:rPr>
              <m:t>1</m:t>
            </m:r>
          </m:e>
          <m:sup>
            <m:r>
              <m:rPr>
                <m:sty m:val="p"/>
              </m:rPr>
              <w:rPr>
                <w:rFonts w:ascii="Cambria Math" w:hAnsi="Cambria Math"/>
              </w:rPr>
              <m:t>⊤</m:t>
            </m:r>
          </m:sup>
        </m:sSup>
      </m:oMath>
      <w:r>
        <w:t xml:space="preserve"> ensures zero-centered features. The eigen-decomposition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μKLK</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KHKS</m:t>
        </m:r>
      </m:oMath>
      <w:r>
        <w:t xml:space="preserve"> yields </w:t>
      </w:r>
      <m:oMath>
        <m:r>
          <w:rPr>
            <w:rFonts w:ascii="Cambria Math" w:hAnsi="Cambria Math"/>
          </w:rPr>
          <m:t>W</m:t>
        </m:r>
      </m:oMath>
      <w:r>
        <w:t xml:space="preserve">, and source and target samples project via </w:t>
      </w:r>
      <m:oMath>
        <m:sSub>
          <m:sSubPr>
            <m:ctrlPr>
              <w:rPr>
                <w:rFonts w:ascii="Cambria Math" w:hAnsi="Cambria Math"/>
              </w:rPr>
            </m:ctrlPr>
          </m:sSubPr>
          <m:e>
            <m: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W</m:t>
        </m:r>
      </m:oMath>
      <w:r>
        <w:t xml:space="preserve"> and </w:t>
      </w:r>
      <m:oMath>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w:rPr>
            <w:rFonts w:ascii="Cambria Math" w:hAnsi="Cambria Math"/>
          </w:rPr>
          <m:t>W</m:t>
        </m:r>
      </m:oMath>
      <w:r>
        <w:t xml:space="preserve">. Distances are computed in the TCA space using pooled statistics </w:t>
      </w:r>
      <m:oMath>
        <m:acc>
          <m:accPr>
            <m:ctrlPr>
              <w:rPr>
                <w:rFonts w:ascii="Cambria Math" w:hAnsi="Cambria Math"/>
              </w:rPr>
            </m:ctrlPr>
          </m:accPr>
          <m:e>
            <m:r>
              <w:rPr>
                <w:rFonts w:ascii="Cambria Math" w:hAnsi="Cambria Math"/>
              </w:rPr>
              <m:t>μ</m:t>
            </m:r>
          </m:e>
        </m:acc>
        <m:r>
          <m:rPr>
            <m:sty m:val="p"/>
          </m:rPr>
          <w:rPr>
            <w:rFonts w:ascii="Cambria Math" w:hAnsi="Cambria Math"/>
          </w:rPr>
          <m:t>,</m:t>
        </m:r>
        <m:acc>
          <m:accPr>
            <m:ctrlPr>
              <w:rPr>
                <w:rFonts w:ascii="Cambria Math" w:hAnsi="Cambria Math"/>
              </w:rPr>
            </m:ctrlPr>
          </m:accPr>
          <m:e>
            <m:r>
              <w:rPr>
                <w:rFonts w:ascii="Cambria Math" w:hAnsi="Cambria Math"/>
              </w:rPr>
              <m:t>σ</m:t>
            </m:r>
          </m:e>
        </m:acc>
      </m:oMath>
      <w:r>
        <w:t xml:space="preserve"> and standardized features </w:t>
      </w:r>
      <m:oMath>
        <m:sSubSup>
          <m:sSubSupPr>
            <m:ctrlPr>
              <w:rPr>
                <w:rFonts w:ascii="Cambria Math" w:hAnsi="Cambria Math"/>
              </w:rPr>
            </m:ctrlPr>
          </m:sSubSupPr>
          <m:e>
            <m:r>
              <m:rPr>
                <m:sty m:val="b"/>
              </m:rPr>
              <w:rPr>
                <w:rFonts w:ascii="Cambria Math" w:hAnsi="Cambria Math"/>
              </w:rPr>
              <m:t>X</m:t>
            </m:r>
          </m:e>
          <m:sub>
            <m:r>
              <w:rPr>
                <w:rFonts w:ascii="Cambria Math" w:hAnsi="Cambria Math"/>
              </w:rPr>
              <m:t>s</m:t>
            </m:r>
          </m:sub>
          <m:sup>
            <m:r>
              <m:rPr>
                <m:nor/>
              </m:rPr>
              <m:t>norm</m:t>
            </m:r>
          </m:sup>
        </m:sSubSup>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t</m:t>
            </m:r>
          </m:sub>
          <m:sup>
            <m:r>
              <m:rPr>
                <m:nor/>
              </m:rPr>
              <m:t>norm</m:t>
            </m:r>
          </m:sup>
        </m:sSubSup>
      </m:oMath>
      <w:r>
        <w:t>:</w:t>
      </w:r>
    </w:p>
    <w:p w14:paraId="356DE148" w14:textId="77777777" w:rsidR="0065117B" w:rsidRDefault="00000000">
      <w:pPr>
        <w:pStyle w:val="a0"/>
      </w:pPr>
      <m:oMathPara>
        <m:oMathParaPr>
          <m:jc m:val="center"/>
        </m:oMathParaPr>
        <m:oMath>
          <m:sSubSup>
            <m:sSubSupPr>
              <m:ctrlPr>
                <w:rPr>
                  <w:rFonts w:ascii="Cambria Math" w:hAnsi="Cambria Math"/>
                </w:rPr>
              </m:ctrlPr>
            </m:sSubSupPr>
            <m:e>
              <m:r>
                <m:rPr>
                  <m:sty m:val="b"/>
                </m:rPr>
                <w:rPr>
                  <w:rFonts w:ascii="Cambria Math" w:hAnsi="Cambria Math"/>
                </w:rPr>
                <m:t>X</m:t>
              </m:r>
            </m:e>
            <m:sub>
              <m:r>
                <w:rPr>
                  <w:rFonts w:ascii="Cambria Math" w:hAnsi="Cambria Math"/>
                </w:rPr>
                <m:t>s</m:t>
              </m:r>
            </m:sub>
            <m:sup>
              <m:r>
                <m:rPr>
                  <m:nor/>
                </m:rPr>
                <m:t>norm</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X</m:t>
                  </m:r>
                </m:e>
                <m:sub>
                  <m:r>
                    <w:rPr>
                      <w:rFonts w:ascii="Cambria Math" w:hAnsi="Cambria Math"/>
                    </w:rPr>
                    <m:t>s</m:t>
                  </m:r>
                </m:sub>
              </m:sSub>
              <m:r>
                <m:rPr>
                  <m:sty m:val="p"/>
                </m:rPr>
                <w:rPr>
                  <w:rFonts w:ascii="Cambria Math" w:hAnsi="Cambria Math"/>
                </w:rPr>
                <m:t>-</m:t>
              </m:r>
              <m:acc>
                <m:accPr>
                  <m:ctrlPr>
                    <w:rPr>
                      <w:rFonts w:ascii="Cambria Math" w:hAnsi="Cambria Math"/>
                    </w:rPr>
                  </m:ctrlPr>
                </m:accPr>
                <m:e>
                  <m:r>
                    <w:rPr>
                      <w:rFonts w:ascii="Cambria Math" w:hAnsi="Cambria Math"/>
                    </w:rPr>
                    <m:t>μ</m:t>
                  </m:r>
                </m:e>
              </m:acc>
            </m:num>
            <m:den>
              <m:acc>
                <m:accPr>
                  <m:ctrlPr>
                    <w:rPr>
                      <w:rFonts w:ascii="Cambria Math" w:hAnsi="Cambria Math"/>
                    </w:rPr>
                  </m:ctrlPr>
                </m:accPr>
                <m:e>
                  <m:r>
                    <w:rPr>
                      <w:rFonts w:ascii="Cambria Math" w:hAnsi="Cambria Math"/>
                    </w:rPr>
                    <m:t>σ</m:t>
                  </m:r>
                </m:e>
              </m:acc>
            </m:den>
          </m:f>
          <m:r>
            <m:rPr>
              <m:sty m:val="p"/>
            </m:rPr>
            <w:rPr>
              <w:rFonts w:ascii="Cambria Math" w:hAnsi="Cambria Math"/>
            </w:rPr>
            <m:t>,</m:t>
          </m:r>
          <m:r>
            <w:rPr>
              <w:rFonts w:ascii="Cambria Math" w:hAnsi="Cambria Math"/>
            </w:rPr>
            <m:t> </m:t>
          </m:r>
          <m:sSubSup>
            <m:sSubSupPr>
              <m:ctrlPr>
                <w:rPr>
                  <w:rFonts w:ascii="Cambria Math" w:hAnsi="Cambria Math"/>
                </w:rPr>
              </m:ctrlPr>
            </m:sSubSupPr>
            <m:e>
              <m:r>
                <m:rPr>
                  <m:sty m:val="b"/>
                </m:rPr>
                <w:rPr>
                  <w:rFonts w:ascii="Cambria Math" w:hAnsi="Cambria Math"/>
                </w:rPr>
                <m:t>X</m:t>
              </m:r>
            </m:e>
            <m:sub>
              <m:r>
                <w:rPr>
                  <w:rFonts w:ascii="Cambria Math" w:hAnsi="Cambria Math"/>
                </w:rPr>
                <m:t>t</m:t>
              </m:r>
            </m:sub>
            <m:sup>
              <m:r>
                <m:rPr>
                  <m:nor/>
                </m:rPr>
                <m:t>norm</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X</m:t>
                  </m:r>
                </m:e>
                <m:sub>
                  <m:r>
                    <w:rPr>
                      <w:rFonts w:ascii="Cambria Math" w:hAnsi="Cambria Math"/>
                    </w:rPr>
                    <m:t>t</m:t>
                  </m:r>
                </m:sub>
              </m:sSub>
              <m:r>
                <m:rPr>
                  <m:sty m:val="p"/>
                </m:rPr>
                <w:rPr>
                  <w:rFonts w:ascii="Cambria Math" w:hAnsi="Cambria Math"/>
                </w:rPr>
                <m:t>-</m:t>
              </m:r>
              <m:acc>
                <m:accPr>
                  <m:ctrlPr>
                    <w:rPr>
                      <w:rFonts w:ascii="Cambria Math" w:hAnsi="Cambria Math"/>
                    </w:rPr>
                  </m:ctrlPr>
                </m:accPr>
                <m:e>
                  <m:r>
                    <w:rPr>
                      <w:rFonts w:ascii="Cambria Math" w:hAnsi="Cambria Math"/>
                    </w:rPr>
                    <m:t>μ</m:t>
                  </m:r>
                </m:e>
              </m:acc>
            </m:num>
            <m:den>
              <m:acc>
                <m:accPr>
                  <m:ctrlPr>
                    <w:rPr>
                      <w:rFonts w:ascii="Cambria Math" w:hAnsi="Cambria Math"/>
                    </w:rPr>
                  </m:ctrlPr>
                </m:accPr>
                <m:e>
                  <m:r>
                    <w:rPr>
                      <w:rFonts w:ascii="Cambria Math" w:hAnsi="Cambria Math"/>
                    </w:rPr>
                    <m:t>σ</m:t>
                  </m:r>
                </m:e>
              </m:acc>
            </m:den>
          </m:f>
        </m:oMath>
      </m:oMathPara>
    </w:p>
    <w:p w14:paraId="5368468B" w14:textId="77777777" w:rsidR="0065117B" w:rsidRDefault="00000000">
      <w:pPr>
        <w:pStyle w:val="FirstParagraph"/>
      </w:pPr>
      <w:r>
        <w:t xml:space="preserve">These metrics include </w:t>
      </w:r>
      <w:r>
        <w:rPr>
          <w:b/>
          <w:bCs/>
        </w:rPr>
        <w:t>Wasserstein Distance</w:t>
      </w:r>
      <w:r>
        <w:t>:</w:t>
      </w:r>
    </w:p>
    <w:p w14:paraId="626735F5" w14:textId="77777777" w:rsidR="0065117B" w:rsidRDefault="00000000">
      <w:pPr>
        <w:pStyle w:val="a0"/>
      </w:pPr>
      <m:oMathPara>
        <m:oMathParaPr>
          <m:jc m:val="center"/>
        </m:oMathParaPr>
        <m:oMath>
          <m:sSub>
            <m:sSubPr>
              <m:ctrlPr>
                <w:rPr>
                  <w:rFonts w:ascii="Cambria Math" w:hAnsi="Cambria Math"/>
                </w:rPr>
              </m:ctrlPr>
            </m:sSubPr>
            <m:e>
              <m:r>
                <w:rPr>
                  <w:rFonts w:ascii="Cambria Math" w:hAnsi="Cambria Math"/>
                </w:rPr>
                <m:t>W</m:t>
              </m:r>
            </m:e>
            <m:sub>
              <m:r>
                <m:rPr>
                  <m:nor/>
                </m:rPr>
                <m:t>norm</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w:rPr>
                      <w:rFonts w:ascii="Cambria Math" w:hAnsi="Cambria Math"/>
                    </w:rPr>
                    <m:t>W</m:t>
                  </m:r>
                </m:e>
                <m:sub>
                  <m:r>
                    <w:rPr>
                      <w:rFonts w:ascii="Cambria Math" w:hAnsi="Cambria Math"/>
                    </w:rPr>
                    <m:t>1</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s</m:t>
              </m:r>
              <m:r>
                <m:rPr>
                  <m:sty m:val="p"/>
                </m:rPr>
                <w:rPr>
                  <w:rFonts w:ascii="Cambria Math" w:hAnsi="Cambria Math"/>
                </w:rPr>
                <m:t>,</m:t>
              </m:r>
              <m:r>
                <w:rPr>
                  <w:rFonts w:ascii="Cambria Math" w:hAnsi="Cambria Math"/>
                </w:rPr>
                <m:t>i</m:t>
              </m:r>
            </m:sub>
            <m:sup>
              <m:r>
                <m:rPr>
                  <m:nor/>
                </m:rPr>
                <m:t>norm</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i</m:t>
              </m:r>
            </m:sub>
            <m:sup>
              <m:r>
                <m:rPr>
                  <m:nor/>
                </m:rPr>
                <m:t>norm</m:t>
              </m:r>
            </m:sup>
          </m:sSubSup>
          <m:r>
            <m:rPr>
              <m:sty m:val="p"/>
            </m:rPr>
            <w:rPr>
              <w:rFonts w:ascii="Cambria Math" w:hAnsi="Cambria Math"/>
            </w:rPr>
            <m:t>)</m:t>
          </m:r>
        </m:oMath>
      </m:oMathPara>
    </w:p>
    <w:p w14:paraId="2C8DF4B0" w14:textId="77777777" w:rsidR="0065117B" w:rsidRDefault="00000000">
      <w:pPr>
        <w:pStyle w:val="FirstParagraph"/>
      </w:pPr>
      <w:r>
        <w:rPr>
          <w:b/>
          <w:bCs/>
        </w:rPr>
        <w:lastRenderedPageBreak/>
        <w:t>Symmetric KL Divergence</w:t>
      </w:r>
      <w:r>
        <w:t>:</w:t>
      </w:r>
    </w:p>
    <w:p w14:paraId="5CF0C101" w14:textId="77777777" w:rsidR="0065117B" w:rsidRDefault="00000000">
      <w:pPr>
        <w:pStyle w:val="a0"/>
      </w:pPr>
      <m:oMathPara>
        <m:oMathParaPr>
          <m:jc m:val="center"/>
        </m:oMathParaPr>
        <m:oMath>
          <m:r>
            <w:rPr>
              <w:rFonts w:ascii="Cambria Math" w:hAnsi="Cambria Math"/>
            </w:rPr>
            <m:t>K</m:t>
          </m:r>
          <m:sSub>
            <m:sSubPr>
              <m:ctrlPr>
                <w:rPr>
                  <w:rFonts w:ascii="Cambria Math" w:hAnsi="Cambria Math"/>
                </w:rPr>
              </m:ctrlPr>
            </m:sSubPr>
            <m:e>
              <m:r>
                <w:rPr>
                  <w:rFonts w:ascii="Cambria Math" w:hAnsi="Cambria Math"/>
                </w:rPr>
                <m:t>L</m:t>
              </m:r>
            </m:e>
            <m:sub>
              <m:r>
                <m:rPr>
                  <m:nor/>
                </m:rPr>
                <m:t>norm</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r>
                    <w:rPr>
                      <w:rFonts w:ascii="Cambria Math" w:hAnsi="Cambria Math"/>
                    </w:rPr>
                    <m:t>KL</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s</m:t>
                      </m:r>
                      <m:r>
                        <m:rPr>
                          <m:sty m:val="p"/>
                        </m:rPr>
                        <w:rPr>
                          <w:rFonts w:ascii="Cambria Math" w:hAnsi="Cambria Math"/>
                        </w:rPr>
                        <m:t>,</m:t>
                      </m:r>
                      <m:r>
                        <w:rPr>
                          <w:rFonts w:ascii="Cambria Math" w:hAnsi="Cambria Math"/>
                        </w:rPr>
                        <m:t>i</m:t>
                      </m:r>
                    </m:sub>
                    <m:sup>
                      <m:r>
                        <m:rPr>
                          <m:nor/>
                        </m:rPr>
                        <m:t>norm</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i</m:t>
                      </m:r>
                    </m:sub>
                    <m:sup>
                      <m:r>
                        <m:rPr>
                          <m:nor/>
                        </m:rPr>
                        <m:t>norm</m:t>
                      </m:r>
                    </m:sup>
                  </m:sSubSup>
                  <m:r>
                    <m:rPr>
                      <m:sty m:val="p"/>
                    </m:rPr>
                    <w:rPr>
                      <w:rFonts w:ascii="Cambria Math" w:hAnsi="Cambria Math"/>
                    </w:rPr>
                    <m:t>)+</m:t>
                  </m:r>
                  <m:r>
                    <w:rPr>
                      <w:rFonts w:ascii="Cambria Math" w:hAnsi="Cambria Math"/>
                    </w:rPr>
                    <m:t>KL</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i</m:t>
                      </m:r>
                    </m:sub>
                    <m:sup>
                      <m:r>
                        <m:rPr>
                          <m:nor/>
                        </m:rPr>
                        <m:t>norm</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s</m:t>
                      </m:r>
                      <m:r>
                        <m:rPr>
                          <m:sty m:val="p"/>
                        </m:rPr>
                        <w:rPr>
                          <w:rFonts w:ascii="Cambria Math" w:hAnsi="Cambria Math"/>
                        </w:rPr>
                        <m:t>,</m:t>
                      </m:r>
                      <m:r>
                        <w:rPr>
                          <w:rFonts w:ascii="Cambria Math" w:hAnsi="Cambria Math"/>
                        </w:rPr>
                        <m:t>i</m:t>
                      </m:r>
                    </m:sub>
                    <m:sup>
                      <m:r>
                        <m:rPr>
                          <m:nor/>
                        </m:rPr>
                        <m:t>norm</m:t>
                      </m:r>
                    </m:sup>
                  </m:sSubSup>
                  <m:r>
                    <m:rPr>
                      <m:sty m:val="p"/>
                    </m:rPr>
                    <w:rPr>
                      <w:rFonts w:ascii="Cambria Math" w:hAnsi="Cambria Math"/>
                    </w:rPr>
                    <m:t>)</m:t>
                  </m:r>
                </m:num>
                <m:den>
                  <m:r>
                    <w:rPr>
                      <w:rFonts w:ascii="Cambria Math" w:hAnsi="Cambria Math"/>
                    </w:rPr>
                    <m:t>2</m:t>
                  </m:r>
                </m:den>
              </m:f>
            </m:e>
          </m:nary>
        </m:oMath>
      </m:oMathPara>
    </w:p>
    <w:p w14:paraId="1B291EA1" w14:textId="77777777" w:rsidR="0065117B" w:rsidRDefault="00000000">
      <w:pPr>
        <w:pStyle w:val="FirstParagraph"/>
      </w:pPr>
      <w:r>
        <w:t xml:space="preserve">and </w:t>
      </w:r>
      <w:r>
        <w:rPr>
          <w:b/>
          <w:bCs/>
        </w:rPr>
        <w:t>MMD with RBF Kernel</w:t>
      </w:r>
      <w:r>
        <w:t>:</w:t>
      </w:r>
    </w:p>
    <w:p w14:paraId="1388C31C" w14:textId="77777777" w:rsidR="0065117B" w:rsidRDefault="00000000">
      <w:pPr>
        <w:pStyle w:val="a0"/>
      </w:pPr>
      <m:oMathPara>
        <m:oMathParaPr>
          <m:jc m:val="center"/>
        </m:oMathParaPr>
        <m:oMath>
          <m:sSup>
            <m:sSupPr>
              <m:ctrlPr>
                <w:rPr>
                  <w:rFonts w:ascii="Cambria Math" w:hAnsi="Cambria Math"/>
                </w:rPr>
              </m:ctrlPr>
            </m:sSupPr>
            <m:e>
              <m:r>
                <m:rPr>
                  <m:nor/>
                </m:rPr>
                <m:t>MMD</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r>
                <w:rPr>
                  <w:rFonts w:ascii="Cambria Math" w:hAnsi="Cambria Math"/>
                </w:rPr>
                <m:t>k</m:t>
              </m:r>
            </m:e>
          </m:nary>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s</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s</m:t>
              </m:r>
            </m:sup>
          </m:sSub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r>
                <w:rPr>
                  <w:rFonts w:ascii="Cambria Math" w:hAnsi="Cambria Math"/>
                </w:rPr>
                <m:t>k</m:t>
              </m:r>
            </m:e>
          </m:nary>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t</m:t>
              </m:r>
            </m:sup>
          </m:sSubSup>
          <m:r>
            <m:rPr>
              <m:sty m:val="p"/>
            </m:rP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n</m:t>
                  </m:r>
                </m:e>
                <m:sub>
                  <m:r>
                    <w:rPr>
                      <w:rFonts w:ascii="Cambria Math" w:hAnsi="Cambria Math"/>
                    </w:rPr>
                    <m:t>s</m:t>
                  </m:r>
                </m:sub>
              </m:sSub>
              <m:sSub>
                <m:sSubPr>
                  <m:ctrlPr>
                    <w:rPr>
                      <w:rFonts w:ascii="Cambria Math" w:hAnsi="Cambria Math"/>
                    </w:rPr>
                  </m:ctrlPr>
                </m:sSubPr>
                <m:e>
                  <m:r>
                    <w:rPr>
                      <w:rFonts w:ascii="Cambria Math" w:hAnsi="Cambria Math"/>
                    </w:rPr>
                    <m:t>n</m:t>
                  </m:r>
                </m:e>
                <m:sub>
                  <m:r>
                    <w:rPr>
                      <w:rFonts w:ascii="Cambria Math" w:hAnsi="Cambria Math"/>
                    </w:rPr>
                    <m:t>t</m:t>
                  </m:r>
                </m:sub>
              </m:sSub>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r>
                <w:rPr>
                  <w:rFonts w:ascii="Cambria Math" w:hAnsi="Cambria Math"/>
                </w:rPr>
                <m:t>k</m:t>
              </m:r>
            </m:e>
          </m:nary>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s</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t</m:t>
              </m:r>
            </m:sup>
          </m:sSubSup>
          <m:r>
            <m:rPr>
              <m:sty m:val="p"/>
            </m:rPr>
            <w:rPr>
              <w:rFonts w:ascii="Cambria Math" w:hAnsi="Cambria Math"/>
            </w:rPr>
            <m:t>)</m:t>
          </m:r>
        </m:oMath>
      </m:oMathPara>
    </w:p>
    <w:p w14:paraId="00B1BAA1" w14:textId="77777777" w:rsidR="0065117B" w:rsidRDefault="00000000">
      <w:pPr>
        <w:pStyle w:val="FirstParagraph"/>
      </w:pPr>
      <w:r>
        <w:t xml:space="preserve">where </w:t>
      </w:r>
      <m:oMath>
        <m:r>
          <w:rPr>
            <w:rFonts w:ascii="Cambria Math" w:hAnsi="Cambria Math"/>
          </w:rPr>
          <m:t>k</m:t>
        </m:r>
        <m:r>
          <m:rPr>
            <m:sty m:val="p"/>
          </m:rPr>
          <w:rPr>
            <w:rFonts w:ascii="Cambria Math" w:hAnsi="Cambria Math"/>
          </w:rPr>
          <m:t>(</m:t>
        </m:r>
        <m:r>
          <m:rPr>
            <m:sty m:val="b"/>
          </m:rPr>
          <w:rPr>
            <w:rFonts w:ascii="Cambria Math" w:hAnsi="Cambria Math"/>
          </w:rPr>
          <m:t>x</m:t>
        </m:r>
        <m:r>
          <m:rPr>
            <m:sty m:val="p"/>
          </m:rPr>
          <w:rPr>
            <w:rFonts w:ascii="Cambria Math" w:hAnsi="Cambria Math"/>
          </w:rPr>
          <m:t>,</m:t>
        </m:r>
        <m:r>
          <m:rPr>
            <m:sty m:val="b"/>
          </m:rPr>
          <w:rPr>
            <w:rFonts w:ascii="Cambria Math" w:hAnsi="Cambria Math"/>
          </w:rPr>
          <m:t>y</m:t>
        </m:r>
        <m:r>
          <m:rPr>
            <m:sty m:val="p"/>
          </m:rPr>
          <w:rPr>
            <w:rFonts w:ascii="Cambria Math" w:hAnsi="Cambria Math"/>
          </w:rPr>
          <m:t>)=exp(-</m:t>
        </m:r>
        <m:r>
          <w:rPr>
            <w:rFonts w:ascii="Cambria Math" w:hAnsi="Cambria Math"/>
          </w:rPr>
          <m:t>γ</m:t>
        </m:r>
        <m:r>
          <m:rPr>
            <m:sty m:val="p"/>
          </m:rPr>
          <w:rPr>
            <w:rFonts w:ascii="Cambria Math" w:hAnsi="Cambria Math"/>
          </w:rPr>
          <m:t>||</m:t>
        </m:r>
        <m:r>
          <m:rPr>
            <m:sty m:val="b"/>
          </m:rPr>
          <w:rPr>
            <w:rFonts w:ascii="Cambria Math" w:hAnsi="Cambria Math"/>
          </w:rPr>
          <m:t>x</m:t>
        </m:r>
        <m:r>
          <m:rPr>
            <m:sty m:val="p"/>
          </m:rPr>
          <w:rPr>
            <w:rFonts w:ascii="Cambria Math" w:hAnsi="Cambria Math"/>
          </w:rPr>
          <m:t>-</m:t>
        </m:r>
        <m:r>
          <m:rPr>
            <m:sty m:val="b"/>
          </m:rPr>
          <w:rPr>
            <w:rFonts w:ascii="Cambria Math" w:hAnsi="Cambria Math"/>
          </w:rPr>
          <m:t>y</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t>.</w:t>
      </w:r>
    </w:p>
    <w:p w14:paraId="3D516178" w14:textId="77777777" w:rsidR="0065117B" w:rsidRDefault="00000000">
      <w:pPr>
        <w:pStyle w:val="2"/>
      </w:pPr>
      <w:bookmarkStart w:id="70" w:name="Xfa5d661e3e9acc30d91fc44a0300cf5219b5d38"/>
      <w:bookmarkStart w:id="71" w:name="_Toc214939503"/>
      <w:bookmarkEnd w:id="68"/>
      <w:r>
        <w:t>Stabilizing Predictions with Ensemble Aggregation</w:t>
      </w:r>
      <w:bookmarkEnd w:id="71"/>
    </w:p>
    <w:p w14:paraId="76150E29" w14:textId="77777777" w:rsidR="0065117B" w:rsidRDefault="00000000">
      <w:pPr>
        <w:pStyle w:val="FirstParagraph"/>
      </w:pPr>
      <w:r>
        <w:t xml:space="preserve">Single models often give poorly calibrated scores that drift toward the majority class. PANDA tempers this tendency with an ensemble setup, which aggregates multiple slightly varied representations to steady both calibration and overall stability. </w:t>
      </w:r>
      <w:r>
        <w:rPr>
          <w:b/>
          <w:bCs/>
        </w:rPr>
        <w:t>Class imbalance handling</w:t>
      </w:r>
      <w:r>
        <w:t xml:space="preserve"> uses inverse-frequency reweighting:</w:t>
      </w:r>
    </w:p>
    <w:p w14:paraId="20CD30D5" w14:textId="77777777" w:rsidR="0065117B" w:rsidRDefault="00000000">
      <w:pPr>
        <w:pStyle w:val="a0"/>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r>
                <w:rPr>
                  <w:rFonts w:ascii="Cambria Math" w:hAnsi="Cambria Math"/>
                </w:rPr>
                <m:t>i</m:t>
              </m:r>
            </m:sub>
            <m:sup>
              <m:r>
                <m:rPr>
                  <m:nor/>
                </m:rPr>
                <m:t>balanced</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sub>
              </m:sSub>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C</m:t>
                  </m:r>
                </m:sup>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j</m:t>
                  </m:r>
                </m:sub>
              </m:sSub>
            </m:den>
          </m:f>
        </m:oMath>
      </m:oMathPara>
    </w:p>
    <w:p w14:paraId="7AD73178" w14:textId="77777777" w:rsidR="0065117B" w:rsidRDefault="00000000">
      <w:pPr>
        <w:pStyle w:val="FirstParagraph"/>
      </w:pPr>
      <w:r>
        <w:t xml:space="preserve">where </w:t>
      </w:r>
      <m:oMath>
        <m:acc>
          <m:accPr>
            <m:ctrlPr>
              <w:rPr>
                <w:rFonts w:ascii="Cambria Math" w:hAnsi="Cambria Math"/>
              </w:rPr>
            </m:ctrlPr>
          </m:accPr>
          <m:e>
            <m:r>
              <w:rPr>
                <w:rFonts w:ascii="Cambria Math" w:hAnsi="Cambria Math"/>
              </w:rPr>
              <m:t>p</m:t>
            </m:r>
          </m:e>
        </m:acc>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oMath>
      <w:r>
        <w:t xml:space="preserve"> are predicted probabilities and </w:t>
      </w:r>
      <m:oMath>
        <m:r>
          <w:rPr>
            <w:rFonts w:ascii="Cambria Math" w:hAnsi="Cambria Math"/>
          </w:rPr>
          <m:t>π</m:t>
        </m:r>
      </m:oMath>
      <w:r>
        <w:t xml:space="preserve"> the empirical class distribution. </w:t>
      </w:r>
      <w:r>
        <w:rPr>
          <w:b/>
          <w:bCs/>
        </w:rPr>
        <w:t>Ensemble aggregation</w:t>
      </w:r>
      <w:r>
        <w:t xml:space="preserve"> takes a simple but surprisingly steadying approach: it averages the temperature-scaled outputs from </w:t>
      </w:r>
      <m:oMath>
        <m:r>
          <w:rPr>
            <w:rFonts w:ascii="Cambria Math" w:hAnsi="Cambria Math"/>
          </w:rPr>
          <m:t>N</m:t>
        </m:r>
        <m:r>
          <m:rPr>
            <m:sty m:val="p"/>
          </m:rPr>
          <w:rPr>
            <w:rFonts w:ascii="Cambria Math" w:hAnsi="Cambria Math"/>
          </w:rPr>
          <m:t>=</m:t>
        </m:r>
        <m:r>
          <w:rPr>
            <w:rFonts w:ascii="Cambria Math" w:hAnsi="Cambria Math"/>
          </w:rPr>
          <m:t>32</m:t>
        </m:r>
      </m:oMath>
      <w:r>
        <w:t xml:space="preserve"> members,</w:t>
      </w:r>
    </w:p>
    <w:p w14:paraId="2C91BD7C" w14:textId="77777777" w:rsidR="0065117B" w:rsidRDefault="00000000">
      <w:pPr>
        <w:pStyle w:val="a0"/>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c</m:t>
          </m:r>
          <m:r>
            <m:rPr>
              <m:sty m:val="p"/>
            </m:rPr>
            <w:rPr>
              <w:rFonts w:ascii="Cambria Math" w:hAnsi="Cambria Math"/>
            </w:rPr>
            <m:t>∣</m:t>
          </m:r>
          <m:r>
            <m:rPr>
              <m:sty m:val="b"/>
            </m:rP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f>
                <m:fPr>
                  <m:ctrlPr>
                    <w:rPr>
                      <w:rFonts w:ascii="Cambria Math" w:hAnsi="Cambria Math"/>
                    </w:rPr>
                  </m:ctrlPr>
                </m:fPr>
                <m:num>
                  <m:r>
                    <m:rPr>
                      <m:sty m:val="p"/>
                    </m:rPr>
                    <w:rPr>
                      <w:rFonts w:ascii="Cambria Math" w:hAnsi="Cambria Math"/>
                    </w:rPr>
                    <m:t>exp(</m:t>
                  </m:r>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c</m:t>
                      </m:r>
                    </m:sup>
                  </m:sSubSup>
                  <m:r>
                    <m:rPr>
                      <m:sty m:val="p"/>
                    </m:rPr>
                    <w:rPr>
                      <w:rFonts w:ascii="Cambria Math" w:hAnsi="Cambria Math"/>
                    </w:rPr>
                    <m:t>/</m:t>
                  </m:r>
                  <m:r>
                    <w:rPr>
                      <w:rFonts w:ascii="Cambria Math" w:hAnsi="Cambria Math"/>
                    </w:rPr>
                    <m:t>T</m:t>
                  </m:r>
                  <m:r>
                    <m:rPr>
                      <m:sty m:val="p"/>
                    </m:rPr>
                    <w:rPr>
                      <w:rFonts w:ascii="Cambria Math" w:hAnsi="Cambria Math"/>
                    </w:rPr>
                    <m:t>)</m:t>
                  </m:r>
                </m:num>
                <m:den>
                  <m:nary>
                    <m:naryPr>
                      <m:chr m:val="∑"/>
                      <m:limLoc m:val="undOvr"/>
                      <m:ctrlPr>
                        <w:rPr>
                          <w:rFonts w:ascii="Cambria Math" w:hAnsi="Cambria Math"/>
                        </w:rPr>
                      </m:ctrlPr>
                    </m:naryPr>
                    <m:sub>
                      <m:sSup>
                        <m:sSupPr>
                          <m:ctrlPr>
                            <w:rPr>
                              <w:rFonts w:ascii="Cambria Math" w:hAnsi="Cambria Math"/>
                            </w:rPr>
                          </m:ctrlPr>
                        </m:sSupPr>
                        <m:e>
                          <m:r>
                            <w:rPr>
                              <w:rFonts w:ascii="Cambria Math" w:hAnsi="Cambria Math"/>
                            </w:rPr>
                            <m:t>c</m:t>
                          </m:r>
                        </m:e>
                        <m:sup>
                          <m:r>
                            <m:rPr>
                              <m:sty m:val="p"/>
                            </m:rPr>
                            <w:rPr>
                              <w:rFonts w:ascii="Cambria Math" w:hAnsi="Cambria Math"/>
                            </w:rPr>
                            <m:t>'</m:t>
                          </m:r>
                        </m:sup>
                      </m:sSup>
                      <m:r>
                        <m:rPr>
                          <m:sty m:val="p"/>
                        </m:rPr>
                        <w:rPr>
                          <w:rFonts w:ascii="Cambria Math" w:hAnsi="Cambria Math"/>
                        </w:rPr>
                        <m:t>=</m:t>
                      </m:r>
                      <m:r>
                        <w:rPr>
                          <w:rFonts w:ascii="Cambria Math" w:hAnsi="Cambria Math"/>
                        </w:rPr>
                        <m:t>1</m:t>
                      </m:r>
                    </m:sub>
                    <m:sup>
                      <m:r>
                        <w:rPr>
                          <w:rFonts w:ascii="Cambria Math" w:hAnsi="Cambria Math"/>
                        </w:rPr>
                        <m:t>C</m:t>
                      </m:r>
                    </m:sup>
                    <m:e>
                      <m:r>
                        <m:rPr>
                          <m:sty m:val="p"/>
                        </m:rPr>
                        <w:rPr>
                          <w:rFonts w:ascii="Cambria Math" w:hAnsi="Cambria Math"/>
                        </w:rPr>
                        <m:t>exp</m:t>
                      </m:r>
                    </m:e>
                  </m:nary>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sSup>
                        <m:sSupPr>
                          <m:ctrlPr>
                            <w:rPr>
                              <w:rFonts w:ascii="Cambria Math" w:hAnsi="Cambria Math"/>
                            </w:rPr>
                          </m:ctrlPr>
                        </m:sSupPr>
                        <m:e>
                          <m:r>
                            <w:rPr>
                              <w:rFonts w:ascii="Cambria Math" w:hAnsi="Cambria Math"/>
                            </w:rPr>
                            <m:t>c</m:t>
                          </m:r>
                        </m:e>
                        <m:sup>
                          <m:r>
                            <m:rPr>
                              <m:sty m:val="p"/>
                            </m:rPr>
                            <w:rPr>
                              <w:rFonts w:ascii="Cambria Math" w:hAnsi="Cambria Math"/>
                            </w:rPr>
                            <m:t>'</m:t>
                          </m:r>
                        </m:sup>
                      </m:sSup>
                    </m:sup>
                  </m:sSubSup>
                  <m:r>
                    <m:rPr>
                      <m:sty m:val="p"/>
                    </m:rPr>
                    <w:rPr>
                      <w:rFonts w:ascii="Cambria Math" w:hAnsi="Cambria Math"/>
                    </w:rPr>
                    <m:t>/</m:t>
                  </m:r>
                  <m:r>
                    <w:rPr>
                      <w:rFonts w:ascii="Cambria Math" w:hAnsi="Cambria Math"/>
                    </w:rPr>
                    <m:t>T</m:t>
                  </m:r>
                  <m:r>
                    <m:rPr>
                      <m:sty m:val="p"/>
                    </m:rPr>
                    <w:rPr>
                      <w:rFonts w:ascii="Cambria Math" w:hAnsi="Cambria Math"/>
                    </w:rPr>
                    <m:t>)</m:t>
                  </m:r>
                </m:den>
              </m:f>
            </m:e>
          </m:nary>
          <m:r>
            <m:rPr>
              <m:sty m:val="p"/>
            </m:rPr>
            <w:rPr>
              <w:rFonts w:ascii="Cambria Math" w:hAnsi="Cambria Math"/>
            </w:rPr>
            <m:t>,</m:t>
          </m:r>
        </m:oMath>
      </m:oMathPara>
    </w:p>
    <w:p w14:paraId="6E1EFF4F" w14:textId="77777777" w:rsidR="0065117B" w:rsidRDefault="00000000">
      <w:pPr>
        <w:pStyle w:val="FirstParagraph"/>
      </w:pPr>
      <w:r>
        <w:t xml:space="preserve">where </w:t>
      </w:r>
      <m:oMath>
        <m:sSubSup>
          <m:sSubSupPr>
            <m:ctrlPr>
              <w:rPr>
                <w:rFonts w:ascii="Cambria Math" w:hAnsi="Cambria Math"/>
              </w:rPr>
            </m:ctrlPr>
          </m:sSubSupPr>
          <m:e>
            <m:r>
              <w:rPr>
                <w:rFonts w:ascii="Cambria Math" w:hAnsi="Cambria Math"/>
              </w:rPr>
              <m:t>z</m:t>
            </m:r>
          </m:e>
          <m:sub>
            <m:r>
              <w:rPr>
                <w:rFonts w:ascii="Cambria Math" w:hAnsi="Cambria Math"/>
              </w:rPr>
              <m:t>i</m:t>
            </m:r>
          </m:sub>
          <m:sup>
            <m:r>
              <w:rPr>
                <w:rFonts w:ascii="Cambria Math" w:hAnsi="Cambria Math"/>
              </w:rPr>
              <m:t>c</m:t>
            </m:r>
          </m:sup>
        </m:sSubSup>
      </m:oMath>
      <w:r>
        <w:t xml:space="preserve"> are the logits and </w:t>
      </w:r>
      <m:oMath>
        <m:r>
          <w:rPr>
            <w:rFonts w:ascii="Cambria Math" w:hAnsi="Cambria Math"/>
          </w:rPr>
          <m:t>T</m:t>
        </m:r>
        <m:r>
          <m:rPr>
            <m:sty m:val="p"/>
          </m:rPr>
          <w:rPr>
            <w:rFonts w:ascii="Cambria Math" w:hAnsi="Cambria Math"/>
          </w:rPr>
          <m:t>=</m:t>
        </m:r>
        <m:r>
          <w:rPr>
            <w:rFonts w:ascii="Cambria Math" w:hAnsi="Cambria Math"/>
          </w:rPr>
          <m:t>0.9</m:t>
        </m:r>
      </m:oMath>
      <w:r>
        <w:t xml:space="preserve"> sets the softmax temperature. This kind of averaging tends to smooth out the quirks of any single model. It usually improves calibration and cuts down variance, giving risk scores that feel a bit more stable–something clinicians often care about more than a marginal bump in accuracy.</w:t>
      </w:r>
    </w:p>
    <w:p w14:paraId="36355B8E" w14:textId="77777777" w:rsidR="0065117B" w:rsidRDefault="00000000">
      <w:pPr>
        <w:pStyle w:val="2"/>
      </w:pPr>
      <w:bookmarkStart w:id="72" w:name="why-panda-outperforms-baselines"/>
      <w:bookmarkStart w:id="73" w:name="_Toc214939504"/>
      <w:bookmarkEnd w:id="70"/>
      <w:r>
        <w:t>Why PANDA Outperforms Baselines</w:t>
      </w:r>
      <w:bookmarkEnd w:id="73"/>
    </w:p>
    <w:p w14:paraId="380638F8" w14:textId="77777777" w:rsidR="0065117B" w:rsidRDefault="00000000">
      <w:pPr>
        <w:pStyle w:val="FirstParagraph"/>
      </w:pPr>
      <w:r>
        <w:t>Before applying TCA, the PCA and t-SNE plots (Fig. </w:t>
      </w:r>
      <w:hyperlink w:anchor="fig:tca-visualization">
        <w:r>
          <w:rPr>
            <w:rStyle w:val="af"/>
          </w:rPr>
          <w:t>3</w:t>
        </w:r>
      </w:hyperlink>
      <w:r>
        <w:t>a,c) show that the two hospitals’ data don’t quite land in the same neighborhood–there’s some separation, though perhaps not as dramatic as one might expect from a textbook domain-shift example. Still, the shape of the clusters hints at meaningful differences in how the two cohorts distribute themselves in feature space. After alignment (Fig. </w:t>
      </w:r>
      <w:hyperlink w:anchor="fig:tca-visualization">
        <w:r>
          <w:rPr>
            <w:rStyle w:val="af"/>
          </w:rPr>
          <w:t>3</w:t>
        </w:r>
      </w:hyperlink>
      <w:r>
        <w:t>b,d), those clouds pull a bit closer together. They don’t collapse into a single blob, but the overlap becomes tighter in a way that feels more reassuring than the raw-input view.</w:t>
      </w:r>
    </w:p>
    <w:p w14:paraId="61C44886" w14:textId="77777777" w:rsidR="0065117B" w:rsidRDefault="00000000">
      <w:pPr>
        <w:pStyle w:val="a0"/>
      </w:pPr>
      <w:r>
        <w:lastRenderedPageBreak/>
        <w:t>When we looked at the numbers behind the scenes–the MMD, Wasserstein-1 distance, and symmetric KL divergence computed on the latent representations–they all moved in the direction we hoped for: smaller gaps, less tug-of-war between hospitals. These weren’t included as explicit figures, but the calculations (following the definitions in Sec. </w:t>
      </w:r>
      <w:hyperlink w:anchor="sec:analysis">
        <w:r>
          <w:rPr>
            <w:rStyle w:val="af"/>
          </w:rPr>
          <w:t>6</w:t>
        </w:r>
      </w:hyperlink>
      <w:r>
        <w:t>) back up the visual impression. It’s not perfect alignment, but it seems to argue that the method is at least nudging the domains toward the same latent "language."</w:t>
      </w:r>
    </w:p>
    <w:p w14:paraId="421F32FE" w14:textId="77777777" w:rsidR="0065117B" w:rsidRDefault="00000000">
      <w:pPr>
        <w:pStyle w:val="a0"/>
      </w:pPr>
      <w:r>
        <w:t>Another piece that quietly helps is the cross-domain RFE step. By trimming the features down to the eight variables both hospitals actually measure–and that stay predictive across both–it strips away a lot of those site-specific quirks that often masquerade as signal. This makes the alignment problem less messy. There’s even a theoretical hint supporting this: the covariance bound discussed in the Theoretical Foundation section on feature selection and domain adaptation suggests that selecting lower-variance shared features may shrink the alignment complexity. In practice, that seems to match what we observed: once the feature set stops dragging along hospital-specific noise, TCA has an easier time finding a common subspace that both cohorts can live with.</w:t>
      </w:r>
    </w:p>
    <w:p w14:paraId="41F40CD8" w14:textId="77777777" w:rsidR="0065117B" w:rsidRDefault="00000000">
      <w:pPr>
        <w:pStyle w:val="1"/>
      </w:pPr>
      <w:bookmarkStart w:id="74" w:name="sec:evaluation"/>
      <w:bookmarkStart w:id="75" w:name="_Toc214939505"/>
      <w:bookmarkEnd w:id="60"/>
      <w:bookmarkEnd w:id="72"/>
      <w:r>
        <w:t>Evaluation</w:t>
      </w:r>
      <w:bookmarkEnd w:id="75"/>
    </w:p>
    <w:p w14:paraId="4A9D9AC0" w14:textId="77777777" w:rsidR="0065117B" w:rsidRDefault="00000000">
      <w:pPr>
        <w:pStyle w:val="FirstParagraph"/>
      </w:pPr>
      <w:r>
        <w:t>We assess PANDA across cross-institutional performance, domain adaptation, interpretability, and clinical utility, using a protocol meant to resemble what deployment would actually look like.</w:t>
      </w:r>
    </w:p>
    <w:p w14:paraId="1B46A140" w14:textId="77777777" w:rsidR="0065117B" w:rsidRDefault="00000000">
      <w:pPr>
        <w:pStyle w:val="2"/>
      </w:pPr>
      <w:bookmarkStart w:id="76" w:name="X3dc2ed24dc64bee859a60f085339eefaadd918b"/>
      <w:bookmarkStart w:id="77" w:name="_Toc214939506"/>
      <w:r>
        <w:t>Evaluation Metrics and Statistical Analysis</w:t>
      </w:r>
      <w:bookmarkEnd w:id="77"/>
    </w:p>
    <w:p w14:paraId="7FA4E47F" w14:textId="77777777" w:rsidR="0065117B" w:rsidRDefault="00000000">
      <w:pPr>
        <w:pStyle w:val="3"/>
      </w:pPr>
      <w:bookmarkStart w:id="78" w:name="classification-performance-metrics"/>
      <w:bookmarkStart w:id="79" w:name="_Toc214939507"/>
      <w:r>
        <w:t>Classification Performance Metrics</w:t>
      </w:r>
      <w:bookmarkEnd w:id="79"/>
    </w:p>
    <w:p w14:paraId="73DECA94" w14:textId="77777777" w:rsidR="0065117B" w:rsidRDefault="00000000">
      <w:pPr>
        <w:pStyle w:val="FirstParagraph"/>
      </w:pPr>
      <w:r>
        <w:t>Results are averaged over 10-fold stratified cross-validation to temper label imbalance. The metrics are:</w:t>
      </w:r>
    </w:p>
    <w:p w14:paraId="450E85ED" w14:textId="77777777" w:rsidR="0065117B" w:rsidRDefault="00000000">
      <w:pPr>
        <w:pStyle w:val="a0"/>
      </w:pPr>
      <m:oMathPara>
        <m:oMathParaPr>
          <m:jc m:val="center"/>
        </m:oMathParaPr>
        <m:oMath>
          <m:eqArr>
            <m:eqArrPr>
              <m:ctrlPr>
                <w:rPr>
                  <w:rFonts w:ascii="Cambria Math" w:hAnsi="Cambria Math"/>
                </w:rPr>
              </m:ctrlPr>
            </m:eqArrPr>
            <m:e>
              <m:r>
                <w:rPr>
                  <w:rFonts w:ascii="Cambria Math" w:hAnsi="Cambria Math"/>
                </w:rPr>
                <m:t>&amp;</m:t>
              </m:r>
              <m:r>
                <m:rPr>
                  <m:nor/>
                </m:rPr>
                <m:t>True Positive Rate:</m:t>
              </m:r>
              <m:r>
                <w:rPr>
                  <w:rFonts w:ascii="Cambria Math" w:hAnsi="Cambria Math"/>
                </w:rPr>
                <m:t>&amp;&amp;TPR</m:t>
              </m:r>
              <m:r>
                <m:rPr>
                  <m:sty m:val="p"/>
                </m:rPr>
                <w:rPr>
                  <w:rFonts w:ascii="Cambria Math" w:hAnsi="Cambria Math"/>
                </w:rPr>
                <m:t>(</m:t>
              </m:r>
              <m:r>
                <w:rPr>
                  <w:rFonts w:ascii="Cambria Math" w:hAnsi="Cambria Math"/>
                </w:rPr>
                <m:t>τ</m:t>
              </m:r>
              <m:r>
                <m:rPr>
                  <m:sty m:val="p"/>
                </m:rPr>
                <w:rPr>
                  <w:rFonts w:ascii="Cambria Math" w:hAnsi="Cambria Math"/>
                </w:rPr>
                <m:t>)=</m:t>
              </m:r>
              <m:f>
                <m:fPr>
                  <m:ctrlPr>
                    <w:rPr>
                      <w:rFonts w:ascii="Cambria Math" w:hAnsi="Cambria Math"/>
                    </w:rPr>
                  </m:ctrlPr>
                </m:fPr>
                <m:num>
                  <m:r>
                    <w:rPr>
                      <w:rFonts w:ascii="Cambria Math" w:hAnsi="Cambria Math"/>
                    </w:rPr>
                    <m:t>TP</m:t>
                  </m:r>
                  <m:r>
                    <m:rPr>
                      <m:sty m:val="p"/>
                    </m:rPr>
                    <w:rPr>
                      <w:rFonts w:ascii="Cambria Math" w:hAnsi="Cambria Math"/>
                    </w:rPr>
                    <m:t>(</m:t>
                  </m:r>
                  <m:r>
                    <w:rPr>
                      <w:rFonts w:ascii="Cambria Math" w:hAnsi="Cambria Math"/>
                    </w:rPr>
                    <m:t>τ</m:t>
                  </m:r>
                  <m:r>
                    <m:rPr>
                      <m:sty m:val="p"/>
                    </m:rPr>
                    <w:rPr>
                      <w:rFonts w:ascii="Cambria Math" w:hAnsi="Cambria Math"/>
                    </w:rPr>
                    <m:t>)</m:t>
                  </m:r>
                </m:num>
                <m:den>
                  <m:r>
                    <w:rPr>
                      <w:rFonts w:ascii="Cambria Math" w:hAnsi="Cambria Math"/>
                    </w:rPr>
                    <m:t>TP</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FN</m:t>
                  </m:r>
                  <m:r>
                    <m:rPr>
                      <m:sty m:val="p"/>
                    </m:rPr>
                    <w:rPr>
                      <w:rFonts w:ascii="Cambria Math" w:hAnsi="Cambria Math"/>
                    </w:rPr>
                    <m:t>(</m:t>
                  </m:r>
                  <m:r>
                    <w:rPr>
                      <w:rFonts w:ascii="Cambria Math" w:hAnsi="Cambria Math"/>
                    </w:rPr>
                    <m:t>τ</m:t>
                  </m:r>
                  <m:r>
                    <m:rPr>
                      <m:sty m:val="p"/>
                    </m:rPr>
                    <w:rPr>
                      <w:rFonts w:ascii="Cambria Math" w:hAnsi="Cambria Math"/>
                    </w:rPr>
                    <m:t>)</m:t>
                  </m:r>
                </m:den>
              </m:f>
            </m:e>
            <m:e>
              <m:r>
                <w:rPr>
                  <w:rFonts w:ascii="Cambria Math" w:hAnsi="Cambria Math"/>
                </w:rPr>
                <m:t>&amp;</m:t>
              </m:r>
              <m:r>
                <m:rPr>
                  <m:nor/>
                </m:rPr>
                <m:t>False Positive Rate:</m:t>
              </m:r>
              <m:r>
                <w:rPr>
                  <w:rFonts w:ascii="Cambria Math" w:hAnsi="Cambria Math"/>
                </w:rPr>
                <m:t>&amp;&amp;FPR</m:t>
              </m:r>
              <m:r>
                <m:rPr>
                  <m:sty m:val="p"/>
                </m:rPr>
                <w:rPr>
                  <w:rFonts w:ascii="Cambria Math" w:hAnsi="Cambria Math"/>
                </w:rPr>
                <m:t>(</m:t>
              </m:r>
              <m:r>
                <w:rPr>
                  <w:rFonts w:ascii="Cambria Math" w:hAnsi="Cambria Math"/>
                </w:rPr>
                <m:t>τ</m:t>
              </m:r>
              <m:r>
                <m:rPr>
                  <m:sty m:val="p"/>
                </m:rPr>
                <w:rPr>
                  <w:rFonts w:ascii="Cambria Math" w:hAnsi="Cambria Math"/>
                </w:rPr>
                <m:t>)=</m:t>
              </m:r>
              <m:f>
                <m:fPr>
                  <m:ctrlPr>
                    <w:rPr>
                      <w:rFonts w:ascii="Cambria Math" w:hAnsi="Cambria Math"/>
                    </w:rPr>
                  </m:ctrlPr>
                </m:fPr>
                <m:num>
                  <m:r>
                    <w:rPr>
                      <w:rFonts w:ascii="Cambria Math" w:hAnsi="Cambria Math"/>
                    </w:rPr>
                    <m:t>FP</m:t>
                  </m:r>
                  <m:r>
                    <m:rPr>
                      <m:sty m:val="p"/>
                    </m:rPr>
                    <w:rPr>
                      <w:rFonts w:ascii="Cambria Math" w:hAnsi="Cambria Math"/>
                    </w:rPr>
                    <m:t>(</m:t>
                  </m:r>
                  <m:r>
                    <w:rPr>
                      <w:rFonts w:ascii="Cambria Math" w:hAnsi="Cambria Math"/>
                    </w:rPr>
                    <m:t>τ</m:t>
                  </m:r>
                  <m:r>
                    <m:rPr>
                      <m:sty m:val="p"/>
                    </m:rPr>
                    <w:rPr>
                      <w:rFonts w:ascii="Cambria Math" w:hAnsi="Cambria Math"/>
                    </w:rPr>
                    <m:t>)</m:t>
                  </m:r>
                </m:num>
                <m:den>
                  <m:r>
                    <w:rPr>
                      <w:rFonts w:ascii="Cambria Math" w:hAnsi="Cambria Math"/>
                    </w:rPr>
                    <m:t>FP</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TN</m:t>
                  </m:r>
                  <m:r>
                    <m:rPr>
                      <m:sty m:val="p"/>
                    </m:rPr>
                    <w:rPr>
                      <w:rFonts w:ascii="Cambria Math" w:hAnsi="Cambria Math"/>
                    </w:rPr>
                    <m:t>(</m:t>
                  </m:r>
                  <m:r>
                    <w:rPr>
                      <w:rFonts w:ascii="Cambria Math" w:hAnsi="Cambria Math"/>
                    </w:rPr>
                    <m:t>τ</m:t>
                  </m:r>
                  <m:r>
                    <m:rPr>
                      <m:sty m:val="p"/>
                    </m:rPr>
                    <w:rPr>
                      <w:rFonts w:ascii="Cambria Math" w:hAnsi="Cambria Math"/>
                    </w:rPr>
                    <m:t>)</m:t>
                  </m:r>
                </m:den>
              </m:f>
            </m:e>
            <m:e>
              <m:r>
                <w:rPr>
                  <w:rFonts w:ascii="Cambria Math" w:hAnsi="Cambria Math"/>
                </w:rPr>
                <m:t>&amp;</m:t>
              </m:r>
              <m:r>
                <m:rPr>
                  <m:nor/>
                </m:rPr>
                <m:t>AUC:</m:t>
              </m:r>
              <m:r>
                <w:rPr>
                  <w:rFonts w:ascii="Cambria Math" w:hAnsi="Cambria Math"/>
                </w:rPr>
                <m:t>&amp;&amp;AUC</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m:t>
                  </m:r>
                </m:sup>
                <m:e>
                  <m:r>
                    <w:rPr>
                      <w:rFonts w:ascii="Cambria Math" w:hAnsi="Cambria Math"/>
                    </w:rPr>
                    <m:t>T</m:t>
                  </m:r>
                </m:e>
              </m:nary>
              <m:r>
                <w:rPr>
                  <w:rFonts w:ascii="Cambria Math" w:hAnsi="Cambria Math"/>
                </w:rPr>
                <m:t>PR</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FPR</m:t>
              </m:r>
              <m:r>
                <m:rPr>
                  <m:sty m:val="p"/>
                </m:rPr>
                <w:rPr>
                  <w:rFonts w:ascii="Cambria Math" w:hAnsi="Cambria Math"/>
                </w:rPr>
                <m:t>(</m:t>
              </m:r>
              <m:r>
                <w:rPr>
                  <w:rFonts w:ascii="Cambria Math" w:hAnsi="Cambria Math"/>
                </w:rPr>
                <m:t>τ</m:t>
              </m:r>
              <m:r>
                <m:rPr>
                  <m:sty m:val="p"/>
                </m:rPr>
                <w:rPr>
                  <w:rFonts w:ascii="Cambria Math" w:hAnsi="Cambria Math"/>
                </w:rPr>
                <m:t>))</m:t>
              </m:r>
            </m:e>
            <m:e>
              <m:r>
                <w:rPr>
                  <w:rFonts w:ascii="Cambria Math" w:hAnsi="Cambria Math"/>
                </w:rPr>
                <m:t>&amp;</m:t>
              </m:r>
              <m:r>
                <m:rPr>
                  <m:nor/>
                </m:rPr>
                <m:t>Accuracy:</m:t>
              </m:r>
              <m:r>
                <w:rPr>
                  <w:rFonts w:ascii="Cambria Math" w:hAnsi="Cambria Math"/>
                </w:rPr>
                <m:t>&amp;&amp;</m:t>
              </m:r>
              <m:f>
                <m:fPr>
                  <m:ctrlPr>
                    <w:rPr>
                      <w:rFonts w:ascii="Cambria Math" w:hAnsi="Cambria Math"/>
                    </w:rPr>
                  </m:ctrlPr>
                </m:fPr>
                <m:num>
                  <m:r>
                    <w:rPr>
                      <w:rFonts w:ascii="Cambria Math" w:hAnsi="Cambria Math"/>
                    </w:rPr>
                    <m:t>TP</m:t>
                  </m:r>
                  <m:r>
                    <m:rPr>
                      <m:sty m:val="p"/>
                    </m:rPr>
                    <w:rPr>
                      <w:rFonts w:ascii="Cambria Math" w:hAnsi="Cambria Math"/>
                    </w:rPr>
                    <m:t>+</m:t>
                  </m:r>
                  <m:r>
                    <w:rPr>
                      <w:rFonts w:ascii="Cambria Math" w:hAnsi="Cambria Math"/>
                    </w:rPr>
                    <m:t>TN</m:t>
                  </m:r>
                </m:num>
                <m:den>
                  <m:r>
                    <w:rPr>
                      <w:rFonts w:ascii="Cambria Math" w:hAnsi="Cambria Math"/>
                    </w:rPr>
                    <m:t>TP</m:t>
                  </m:r>
                  <m:r>
                    <m:rPr>
                      <m:sty m:val="p"/>
                    </m:rPr>
                    <w:rPr>
                      <w:rFonts w:ascii="Cambria Math" w:hAnsi="Cambria Math"/>
                    </w:rPr>
                    <m:t>+</m:t>
                  </m:r>
                  <m:r>
                    <w:rPr>
                      <w:rFonts w:ascii="Cambria Math" w:hAnsi="Cambria Math"/>
                    </w:rPr>
                    <m:t>TN</m:t>
                  </m:r>
                  <m:r>
                    <m:rPr>
                      <m:sty m:val="p"/>
                    </m:rPr>
                    <w:rPr>
                      <w:rFonts w:ascii="Cambria Math" w:hAnsi="Cambria Math"/>
                    </w:rPr>
                    <m:t>+</m:t>
                  </m:r>
                  <m:r>
                    <w:rPr>
                      <w:rFonts w:ascii="Cambria Math" w:hAnsi="Cambria Math"/>
                    </w:rPr>
                    <m:t>FP</m:t>
                  </m:r>
                  <m:r>
                    <m:rPr>
                      <m:sty m:val="p"/>
                    </m:rPr>
                    <w:rPr>
                      <w:rFonts w:ascii="Cambria Math" w:hAnsi="Cambria Math"/>
                    </w:rPr>
                    <m:t>+</m:t>
                  </m:r>
                  <m:r>
                    <w:rPr>
                      <w:rFonts w:ascii="Cambria Math" w:hAnsi="Cambria Math"/>
                    </w:rPr>
                    <m:t>FN</m:t>
                  </m:r>
                </m:den>
              </m:f>
            </m:e>
            <m:e>
              <m:r>
                <w:rPr>
                  <w:rFonts w:ascii="Cambria Math" w:hAnsi="Cambria Math"/>
                </w:rPr>
                <m:t>&amp;</m:t>
              </m:r>
              <m:r>
                <m:rPr>
                  <m:nor/>
                </m:rPr>
                <m:t>Precision:</m:t>
              </m:r>
              <m:r>
                <w:rPr>
                  <w:rFonts w:ascii="Cambria Math" w:hAnsi="Cambria Math"/>
                </w:rPr>
                <m:t>&amp;&amp;</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e>
            <m:e>
              <m:r>
                <w:rPr>
                  <w:rFonts w:ascii="Cambria Math" w:hAnsi="Cambria Math"/>
                </w:rPr>
                <m:t>&amp;</m:t>
              </m:r>
              <m:r>
                <m:rPr>
                  <m:nor/>
                </m:rPr>
                <m:t>Recall (Sensitivity):</m:t>
              </m:r>
              <m:r>
                <w:rPr>
                  <w:rFonts w:ascii="Cambria Math" w:hAnsi="Cambria Math"/>
                </w:rPr>
                <m:t>&amp;&amp;</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e>
            <m:e>
              <m:r>
                <w:rPr>
                  <w:rFonts w:ascii="Cambria Math" w:hAnsi="Cambria Math"/>
                </w:rPr>
                <m:t>&amp;</m:t>
              </m:r>
              <m:r>
                <m:rPr>
                  <m:nor/>
                </m:rPr>
                <m:t>F1 Score:</m:t>
              </m:r>
              <m:r>
                <w:rPr>
                  <w:rFonts w:ascii="Cambria Math" w:hAnsi="Cambria Math"/>
                </w:rPr>
                <m:t>&amp;&amp;</m:t>
              </m:r>
              <m:f>
                <m:fPr>
                  <m:ctrlPr>
                    <w:rPr>
                      <w:rFonts w:ascii="Cambria Math" w:hAnsi="Cambria Math"/>
                    </w:rPr>
                  </m:ctrlPr>
                </m:fPr>
                <m:num>
                  <m:r>
                    <w:rPr>
                      <w:rFonts w:ascii="Cambria Math" w:hAnsi="Cambria Math"/>
                    </w:rPr>
                    <m:t>2</m:t>
                  </m:r>
                  <m:r>
                    <m:rPr>
                      <m:sty m:val="p"/>
                    </m:rPr>
                    <w:rPr>
                      <w:rFonts w:ascii="Cambria Math" w:hAnsi="Cambria Math"/>
                    </w:rPr>
                    <m:t>⋅</m:t>
                  </m:r>
                  <m:r>
                    <m:rPr>
                      <m:nor/>
                    </m:rPr>
                    <m:t>Precision</m:t>
                  </m:r>
                  <m:r>
                    <m:rPr>
                      <m:sty m:val="p"/>
                    </m:rPr>
                    <w:rPr>
                      <w:rFonts w:ascii="Cambria Math" w:hAnsi="Cambria Math"/>
                    </w:rPr>
                    <m:t>⋅</m:t>
                  </m:r>
                  <m:r>
                    <m:rPr>
                      <m:nor/>
                    </m:rPr>
                    <m:t>Recall</m:t>
                  </m:r>
                </m:num>
                <m:den>
                  <m:r>
                    <m:rPr>
                      <m:nor/>
                    </m:rPr>
                    <m:t>Precision</m:t>
                  </m:r>
                  <m:r>
                    <m:rPr>
                      <m:sty m:val="p"/>
                    </m:rPr>
                    <w:rPr>
                      <w:rFonts w:ascii="Cambria Math" w:hAnsi="Cambria Math"/>
                    </w:rPr>
                    <m:t>+</m:t>
                  </m:r>
                  <m:r>
                    <m:rPr>
                      <m:nor/>
                    </m:rPr>
                    <m:t>Recall</m:t>
                  </m:r>
                </m:den>
              </m:f>
              <m:r>
                <m:rPr>
                  <m:sty m:val="p"/>
                </m:rPr>
                <w:rPr>
                  <w:rFonts w:ascii="Cambria Math" w:hAnsi="Cambria Math"/>
                </w:rPr>
                <m:t>=</m:t>
              </m:r>
              <m:f>
                <m:fPr>
                  <m:ctrlPr>
                    <w:rPr>
                      <w:rFonts w:ascii="Cambria Math" w:hAnsi="Cambria Math"/>
                    </w:rPr>
                  </m:ctrlPr>
                </m:fPr>
                <m:num>
                  <m:r>
                    <w:rPr>
                      <w:rFonts w:ascii="Cambria Math" w:hAnsi="Cambria Math"/>
                    </w:rPr>
                    <m:t>2TP</m:t>
                  </m:r>
                </m:num>
                <m:den>
                  <m:r>
                    <w:rPr>
                      <w:rFonts w:ascii="Cambria Math" w:hAnsi="Cambria Math"/>
                    </w:rPr>
                    <m:t>2TP</m:t>
                  </m:r>
                  <m:r>
                    <m:rPr>
                      <m:sty m:val="p"/>
                    </m:rPr>
                    <w:rPr>
                      <w:rFonts w:ascii="Cambria Math" w:hAnsi="Cambria Math"/>
                    </w:rPr>
                    <m:t>+</m:t>
                  </m:r>
                  <m:r>
                    <w:rPr>
                      <w:rFonts w:ascii="Cambria Math" w:hAnsi="Cambria Math"/>
                    </w:rPr>
                    <m:t>FP</m:t>
                  </m:r>
                  <m:r>
                    <m:rPr>
                      <m:sty m:val="p"/>
                    </m:rPr>
                    <w:rPr>
                      <w:rFonts w:ascii="Cambria Math" w:hAnsi="Cambria Math"/>
                    </w:rPr>
                    <m:t>+</m:t>
                  </m:r>
                  <m:r>
                    <w:rPr>
                      <w:rFonts w:ascii="Cambria Math" w:hAnsi="Cambria Math"/>
                    </w:rPr>
                    <m:t>FN</m:t>
                  </m:r>
                </m:den>
              </m:f>
            </m:e>
            <m:e>
              <m:r>
                <w:rPr>
                  <w:rFonts w:ascii="Cambria Math" w:hAnsi="Cambria Math"/>
                </w:rPr>
                <m:t>&amp;</m:t>
              </m:r>
              <m:r>
                <m:rPr>
                  <m:nor/>
                </m:rPr>
                <m:t>Specificity:</m:t>
              </m:r>
              <m:r>
                <w:rPr>
                  <w:rFonts w:ascii="Cambria Math" w:hAnsi="Cambria Math"/>
                </w:rPr>
                <m:t>&amp;&amp;</m:t>
              </m:r>
              <m:f>
                <m:fPr>
                  <m:ctrlPr>
                    <w:rPr>
                      <w:rFonts w:ascii="Cambria Math" w:hAnsi="Cambria Math"/>
                    </w:rPr>
                  </m:ctrlPr>
                </m:fPr>
                <m:num>
                  <m:r>
                    <w:rPr>
                      <w:rFonts w:ascii="Cambria Math" w:hAnsi="Cambria Math"/>
                    </w:rPr>
                    <m:t>TN</m:t>
                  </m:r>
                </m:num>
                <m:den>
                  <m:r>
                    <w:rPr>
                      <w:rFonts w:ascii="Cambria Math" w:hAnsi="Cambria Math"/>
                    </w:rPr>
                    <m:t>TN</m:t>
                  </m:r>
                  <m:r>
                    <m:rPr>
                      <m:sty m:val="p"/>
                    </m:rPr>
                    <w:rPr>
                      <w:rFonts w:ascii="Cambria Math" w:hAnsi="Cambria Math"/>
                    </w:rPr>
                    <m:t>+</m:t>
                  </m:r>
                  <m:r>
                    <w:rPr>
                      <w:rFonts w:ascii="Cambria Math" w:hAnsi="Cambria Math"/>
                    </w:rPr>
                    <m:t>FP</m:t>
                  </m:r>
                </m:den>
              </m:f>
            </m:e>
          </m:eqArr>
        </m:oMath>
      </m:oMathPara>
    </w:p>
    <w:p w14:paraId="5934C02B" w14:textId="77777777" w:rsidR="0065117B" w:rsidRDefault="00000000">
      <w:pPr>
        <w:pStyle w:val="FirstParagraph"/>
      </w:pPr>
      <w:r>
        <w:lastRenderedPageBreak/>
        <w:t xml:space="preserve">Let </w:t>
      </w:r>
      <m:oMath>
        <m:r>
          <m:rPr>
            <m:scr m:val="script"/>
            <m:sty m:val="p"/>
          </m:rPr>
          <w:rPr>
            <w:rFonts w:ascii="Cambria Math" w:hAnsi="Cambria Math"/>
          </w:rPr>
          <m:t>D={(</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t xml:space="preserve"> denote the full dataset, and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k</m:t>
            </m:r>
          </m:sub>
        </m:sSub>
      </m:oMath>
      <w:r>
        <w:t xml:space="preserve"> be the </w:t>
      </w:r>
      <m:oMath>
        <m:r>
          <w:rPr>
            <w:rFonts w:ascii="Cambria Math" w:hAnsi="Cambria Math"/>
          </w:rPr>
          <m:t>k</m:t>
        </m:r>
      </m:oMath>
      <w:r>
        <w:t xml:space="preserve">-th fold. For metric </w:t>
      </w:r>
      <m:oMath>
        <m:r>
          <w:rPr>
            <w:rFonts w:ascii="Cambria Math" w:hAnsi="Cambria Math"/>
          </w:rPr>
          <m:t>M</m:t>
        </m:r>
      </m:oMath>
      <w:r>
        <w:t xml:space="preserve">, the mean and standard deviation over </w:t>
      </w:r>
      <m:oMath>
        <m:r>
          <w:rPr>
            <w:rFonts w:ascii="Cambria Math" w:hAnsi="Cambria Math"/>
          </w:rPr>
          <m:t>K</m:t>
        </m:r>
        <m:r>
          <m:rPr>
            <m:sty m:val="p"/>
          </m:rPr>
          <w:rPr>
            <w:rFonts w:ascii="Cambria Math" w:hAnsi="Cambria Math"/>
          </w:rPr>
          <m:t>=</m:t>
        </m:r>
        <m:r>
          <w:rPr>
            <w:rFonts w:ascii="Cambria Math" w:hAnsi="Cambria Math"/>
          </w:rPr>
          <m:t>10</m:t>
        </m:r>
      </m:oMath>
      <w:r>
        <w:t xml:space="preserve"> folds are:</w:t>
      </w:r>
    </w:p>
    <w:p w14:paraId="57BD211D" w14:textId="77777777" w:rsidR="0065117B" w:rsidRDefault="00000000">
      <w:pPr>
        <w:pStyle w:val="a0"/>
      </w:pPr>
      <m:oMathPara>
        <m:oMathParaPr>
          <m:jc m:val="center"/>
        </m:oMathParaPr>
        <m:oMath>
          <m:acc>
            <m:accPr>
              <m:chr m:val="‾"/>
              <m:ctrlPr>
                <w:rPr>
                  <w:rFonts w:ascii="Cambria Math" w:hAnsi="Cambria Math"/>
                </w:rPr>
              </m:ctrlPr>
            </m:accPr>
            <m:e>
              <m:r>
                <w:rPr>
                  <w:rFonts w:ascii="Cambria Math" w:hAnsi="Cambria Math"/>
                </w:rPr>
                <m:t>M</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M</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K</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r>
                    <m:rPr>
                      <m:sty m:val="p"/>
                    </m:rPr>
                    <w:rPr>
                      <w:rFonts w:ascii="Cambria Math" w:hAnsi="Cambria Math"/>
                    </w:rPr>
                    <m:t>(</m:t>
                  </m:r>
                </m:e>
              </m:nary>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acc>
                <m:accPr>
                  <m:chr m:val="‾"/>
                  <m:ctrlPr>
                    <w:rPr>
                      <w:rFonts w:ascii="Cambria Math" w:hAnsi="Cambria Math"/>
                    </w:rPr>
                  </m:ctrlPr>
                </m:accPr>
                <m:e>
                  <m:r>
                    <w:rPr>
                      <w:rFonts w:ascii="Cambria Math" w:hAnsi="Cambria Math"/>
                    </w:rPr>
                    <m:t>M</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m:oMathPara>
    </w:p>
    <w:p w14:paraId="0DAC3A2B" w14:textId="77777777" w:rsidR="0065117B" w:rsidRDefault="00000000">
      <w:pPr>
        <w:pStyle w:val="3"/>
      </w:pPr>
      <w:bookmarkStart w:id="80" w:name="visualization-based-evaluation"/>
      <w:bookmarkStart w:id="81" w:name="_Toc214939508"/>
      <w:bookmarkEnd w:id="78"/>
      <w:r>
        <w:t>Visualization-Based Evaluation</w:t>
      </w:r>
      <w:bookmarkEnd w:id="81"/>
    </w:p>
    <w:p w14:paraId="234034ED" w14:textId="77777777" w:rsidR="0065117B" w:rsidRDefault="00000000">
      <w:pPr>
        <w:numPr>
          <w:ilvl w:val="0"/>
          <w:numId w:val="6"/>
        </w:numPr>
      </w:pPr>
      <w:r>
        <w:rPr>
          <w:b/>
          <w:bCs/>
        </w:rPr>
        <w:t>ROC Curves:</w:t>
      </w:r>
      <w:r>
        <w:t xml:space="preserve"> Plot </w:t>
      </w:r>
      <m:oMath>
        <m:r>
          <w:rPr>
            <w:rFonts w:ascii="Cambria Math" w:hAnsi="Cambria Math"/>
          </w:rPr>
          <m:t>TPR</m:t>
        </m:r>
        <m:r>
          <m:rPr>
            <m:sty m:val="p"/>
          </m:rPr>
          <w:rPr>
            <w:rFonts w:ascii="Cambria Math" w:hAnsi="Cambria Math"/>
          </w:rPr>
          <m:t>(</m:t>
        </m:r>
        <m:r>
          <w:rPr>
            <w:rFonts w:ascii="Cambria Math" w:hAnsi="Cambria Math"/>
          </w:rPr>
          <m:t>τ</m:t>
        </m:r>
        <m:r>
          <m:rPr>
            <m:sty m:val="p"/>
          </m:rPr>
          <w:rPr>
            <w:rFonts w:ascii="Cambria Math" w:hAnsi="Cambria Math"/>
          </w:rPr>
          <m:t>)</m:t>
        </m:r>
      </m:oMath>
      <w:r>
        <w:t xml:space="preserve"> versus </w:t>
      </w:r>
      <m:oMath>
        <m:r>
          <w:rPr>
            <w:rFonts w:ascii="Cambria Math" w:hAnsi="Cambria Math"/>
          </w:rPr>
          <m:t>FPR</m:t>
        </m:r>
        <m:r>
          <m:rPr>
            <m:sty m:val="p"/>
          </m:rPr>
          <w:rPr>
            <w:rFonts w:ascii="Cambria Math" w:hAnsi="Cambria Math"/>
          </w:rPr>
          <m:t>(</m:t>
        </m:r>
        <m:r>
          <w:rPr>
            <w:rFonts w:ascii="Cambria Math" w:hAnsi="Cambria Math"/>
          </w:rPr>
          <m:t>τ</m:t>
        </m:r>
        <m:r>
          <m:rPr>
            <m:sty m:val="p"/>
          </m:rPr>
          <w:rPr>
            <w:rFonts w:ascii="Cambria Math" w:hAnsi="Cambria Math"/>
          </w:rPr>
          <m:t>)</m:t>
        </m:r>
      </m:oMath>
      <w:r>
        <w:t xml:space="preserve">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to see the sensitivity-specificity trade-off.</w:t>
      </w:r>
    </w:p>
    <w:p w14:paraId="713B2F80" w14:textId="77777777" w:rsidR="0065117B" w:rsidRDefault="00000000">
      <w:pPr>
        <w:numPr>
          <w:ilvl w:val="0"/>
          <w:numId w:val="6"/>
        </w:numPr>
      </w:pPr>
      <w:r>
        <w:rPr>
          <w:b/>
          <w:bCs/>
        </w:rPr>
        <w:t>Calibration Curves:</w:t>
      </w:r>
      <w:r>
        <w:t xml:space="preserve"> Check agreement between predicted probability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oMath>
      <w:r>
        <w:t xml:space="preserve"> and observed frequency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For </w:t>
      </w:r>
      <m:oMath>
        <m:r>
          <w:rPr>
            <w:rFonts w:ascii="Cambria Math" w:hAnsi="Cambria Math"/>
          </w:rPr>
          <m:t>K</m:t>
        </m:r>
      </m:oMath>
      <w:r>
        <w:t xml:space="preserve"> equal-width bins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w:r>
        <w:t>:</w:t>
      </w:r>
    </w:p>
    <w:p w14:paraId="069A45AD" w14:textId="77777777" w:rsidR="0065117B"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ub>
            <m:sup>
              <m:r>
                <w:rPr>
                  <w:rFonts w:ascii="Cambria Math" w:hAnsi="Cambria Math"/>
                </w:rPr>
                <m:t>​</m:t>
              </m:r>
            </m:sup>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m:t>
                  </m:r>
                </m:sub>
              </m:sSub>
            </m:e>
          </m:nary>
        </m:oMath>
      </m:oMathPara>
    </w:p>
    <w:p w14:paraId="676FC135" w14:textId="77777777" w:rsidR="0065117B" w:rsidRDefault="00000000">
      <w:pPr>
        <w:numPr>
          <w:ilvl w:val="0"/>
          <w:numId w:val="6"/>
        </w:numPr>
      </w:pPr>
      <w:r>
        <w:rPr>
          <w:b/>
          <w:bCs/>
        </w:rPr>
        <w:t>Decision Curve Analysis (DCA):</w:t>
      </w:r>
    </w:p>
    <w:p w14:paraId="4553F368" w14:textId="77777777" w:rsidR="0065117B" w:rsidRDefault="00000000">
      <w:pPr>
        <w:pStyle w:val="a0"/>
      </w:pPr>
      <m:oMathPara>
        <m:oMathParaPr>
          <m:jc m:val="center"/>
        </m:oMathParaPr>
        <m:oMath>
          <m:r>
            <w:rPr>
              <w:rFonts w:ascii="Cambria Math" w:hAnsi="Cambria Math"/>
            </w:rPr>
            <m:t>NB</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r>
                <w:rPr>
                  <w:rFonts w:ascii="Cambria Math" w:hAnsi="Cambria Math"/>
                </w:rPr>
                <m:t>FP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den>
          </m:f>
        </m:oMath>
      </m:oMathPara>
    </w:p>
    <w:p w14:paraId="40ADBEDD" w14:textId="77777777" w:rsidR="0065117B" w:rsidRDefault="00000000">
      <w:pPr>
        <w:numPr>
          <w:ilvl w:val="0"/>
          <w:numId w:val="2"/>
        </w:numPr>
      </w:pPr>
      <w:r>
        <w:t>With benchmark strategies:</w:t>
      </w:r>
    </w:p>
    <w:p w14:paraId="647FF535" w14:textId="77777777" w:rsidR="0065117B" w:rsidRDefault="00000000">
      <w:pPr>
        <w:pStyle w:val="a0"/>
      </w:pPr>
      <m:oMathPara>
        <m:oMathParaPr>
          <m:jc m:val="center"/>
        </m:oMathParaPr>
        <m:oMath>
          <m:r>
            <w:rPr>
              <w:rFonts w:ascii="Cambria Math" w:hAnsi="Cambria Math"/>
            </w:rPr>
            <m:t>N</m:t>
          </m:r>
          <m:sSub>
            <m:sSubPr>
              <m:ctrlPr>
                <w:rPr>
                  <w:rFonts w:ascii="Cambria Math" w:hAnsi="Cambria Math"/>
                </w:rPr>
              </m:ctrlPr>
            </m:sSubPr>
            <m:e>
              <m:r>
                <w:rPr>
                  <w:rFonts w:ascii="Cambria Math" w:hAnsi="Cambria Math"/>
                </w:rPr>
                <m:t>B</m:t>
              </m:r>
            </m:e>
            <m:sub>
              <m:r>
                <w:rPr>
                  <w:rFonts w:ascii="Cambria Math" w:hAnsi="Cambria Math"/>
                </w:rPr>
                <m:t>all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m:rPr>
              <m:nor/>
            </m:rPr>
            <m:t>Prevalence</m:t>
          </m:r>
          <m:r>
            <m:rPr>
              <m:sty m:val="p"/>
            </m:rPr>
            <w:rPr>
              <w:rFonts w:ascii="Cambria Math" w:hAnsi="Cambria Math"/>
            </w:rPr>
            <m:t>-(</m:t>
          </m:r>
          <m:r>
            <w:rPr>
              <w:rFonts w:ascii="Cambria Math" w:hAnsi="Cambria Math"/>
            </w:rPr>
            <m:t>1</m:t>
          </m:r>
          <m:r>
            <m:rPr>
              <m:sty m:val="p"/>
            </m:rPr>
            <w:rPr>
              <w:rFonts w:ascii="Cambria Math" w:hAnsi="Cambria Math"/>
            </w:rPr>
            <m:t>-</m:t>
          </m:r>
          <m:r>
            <m:rPr>
              <m:nor/>
            </m:rPr>
            <m:t>Prevalence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den>
          </m:f>
          <m:r>
            <m:rPr>
              <m:sty m:val="p"/>
            </m:rPr>
            <w:rPr>
              <w:rFonts w:ascii="Cambria Math" w:hAnsi="Cambria Math"/>
            </w:rPr>
            <m:t>,</m:t>
          </m:r>
          <m:r>
            <w:rPr>
              <w:rFonts w:ascii="Cambria Math" w:hAnsi="Cambria Math"/>
            </w:rPr>
            <m:t> N</m:t>
          </m:r>
          <m:sSub>
            <m:sSubPr>
              <m:ctrlPr>
                <w:rPr>
                  <w:rFonts w:ascii="Cambria Math" w:hAnsi="Cambria Math"/>
                </w:rPr>
              </m:ctrlPr>
            </m:sSubPr>
            <m:e>
              <m:r>
                <w:rPr>
                  <w:rFonts w:ascii="Cambria Math" w:hAnsi="Cambria Math"/>
                </w:rPr>
                <m:t>B</m:t>
              </m:r>
            </m:e>
            <m:sub>
              <m:r>
                <w:rPr>
                  <w:rFonts w:ascii="Cambria Math" w:hAnsi="Cambria Math"/>
                </w:rPr>
                <m:t>none</m:t>
              </m:r>
            </m:sub>
          </m:sSub>
          <m:r>
            <m:rPr>
              <m:sty m:val="p"/>
            </m:rPr>
            <w:rPr>
              <w:rFonts w:ascii="Cambria Math" w:hAnsi="Cambria Math"/>
            </w:rPr>
            <m:t>=</m:t>
          </m:r>
          <m:r>
            <w:rPr>
              <w:rFonts w:ascii="Cambria Math" w:hAnsi="Cambria Math"/>
            </w:rPr>
            <m:t>0</m:t>
          </m:r>
        </m:oMath>
      </m:oMathPara>
    </w:p>
    <w:p w14:paraId="1BEED2B0" w14:textId="77777777" w:rsidR="0065117B" w:rsidRDefault="00000000">
      <w:pPr>
        <w:numPr>
          <w:ilvl w:val="0"/>
          <w:numId w:val="2"/>
        </w:numPr>
      </w:pPr>
      <w:r>
        <w:t xml:space="preserve">where </w:t>
      </w:r>
      <m:oMath>
        <m:r>
          <m:rPr>
            <m:nor/>
          </m:rPr>
          <m:t>Prevalence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oMath>
    </w:p>
    <w:p w14:paraId="34157B03" w14:textId="77777777" w:rsidR="0065117B" w:rsidRDefault="00000000">
      <w:pPr>
        <w:pStyle w:val="2"/>
      </w:pPr>
      <w:bookmarkStart w:id="82" w:name="experimental-setup-and-results"/>
      <w:bookmarkStart w:id="83" w:name="_Toc214939509"/>
      <w:bookmarkEnd w:id="76"/>
      <w:bookmarkEnd w:id="80"/>
      <w:r>
        <w:t>Experimental Setup and Results</w:t>
      </w:r>
      <w:bookmarkEnd w:id="83"/>
    </w:p>
    <w:p w14:paraId="371CEA19" w14:textId="77777777" w:rsidR="0065117B" w:rsidRDefault="00000000">
      <w:pPr>
        <w:pStyle w:val="FirstParagraph"/>
      </w:pPr>
      <w:r>
        <w:t xml:space="preserve">Structured clinical data from two cancer centers in China provided a training cohort (Cohort A,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295</m:t>
        </m:r>
      </m:oMath>
      <w:r>
        <w:t xml:space="preserve">) and an external test cohort (Cohort B, </w:t>
      </w:r>
      <m:oMath>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r>
          <w:rPr>
            <w:rFonts w:ascii="Cambria Math" w:hAnsi="Cambria Math"/>
          </w:rPr>
          <m:t>190</m:t>
        </m:r>
      </m:oMath>
      <w:r>
        <w:t>). Cohort A contained 63 structured features; Cohort B contained 58 (Table </w:t>
      </w:r>
      <w:hyperlink w:anchor="tbl:cohort_summary">
        <w:r>
          <w:rPr>
            <w:rStyle w:val="af"/>
          </w:rPr>
          <w:t>1</w:t>
        </w:r>
      </w:hyperlink>
      <w:r>
        <w:t>).</w:t>
      </w:r>
    </w:p>
    <w:p w14:paraId="6B4D89E9" w14:textId="77777777" w:rsidR="0065117B" w:rsidRDefault="00000000">
      <w:pPr>
        <w:pStyle w:val="TableCaption"/>
      </w:pPr>
      <w:bookmarkStart w:id="84" w:name="tbl:cohort_summary"/>
      <w:bookmarkStart w:id="85" w:name="_Toc214939470"/>
      <w:r>
        <w:t>Table 1: The training (Cohort A) and testing (Cohort B) cohorts.</w:t>
      </w:r>
      <w:bookmarkEnd w:id="85"/>
    </w:p>
    <w:tbl>
      <w:tblPr>
        <w:tblStyle w:val="Table"/>
        <w:tblW w:w="0" w:type="auto"/>
        <w:tblLook w:val="0020" w:firstRow="1" w:lastRow="0" w:firstColumn="0" w:lastColumn="0" w:noHBand="0" w:noVBand="0"/>
        <w:tblCaption w:val="Table 1: The training (Cohort A) and testing (Cohort B) cohorts."/>
      </w:tblPr>
      <w:tblGrid>
        <w:gridCol w:w="2309"/>
        <w:gridCol w:w="2153"/>
        <w:gridCol w:w="2140"/>
      </w:tblGrid>
      <w:tr w:rsidR="0065117B" w14:paraId="752C2E7F" w14:textId="77777777" w:rsidTr="0065117B">
        <w:trPr>
          <w:cnfStyle w:val="100000000000" w:firstRow="1" w:lastRow="0" w:firstColumn="0" w:lastColumn="0" w:oddVBand="0" w:evenVBand="0" w:oddHBand="0" w:evenHBand="0" w:firstRowFirstColumn="0" w:firstRowLastColumn="0" w:lastRowFirstColumn="0" w:lastRowLastColumn="0"/>
          <w:tblHeader/>
        </w:trPr>
        <w:tc>
          <w:tcPr>
            <w:tcW w:w="0" w:type="auto"/>
          </w:tcPr>
          <w:p w14:paraId="18B09EC4" w14:textId="77777777" w:rsidR="0065117B" w:rsidRDefault="00000000">
            <w:pPr>
              <w:pStyle w:val="Compact"/>
            </w:pPr>
            <w:r>
              <w:rPr>
                <w:b/>
                <w:bCs/>
              </w:rPr>
              <w:t>Characteristic</w:t>
            </w:r>
          </w:p>
        </w:tc>
        <w:tc>
          <w:tcPr>
            <w:tcW w:w="0" w:type="auto"/>
          </w:tcPr>
          <w:p w14:paraId="4AC78711" w14:textId="77777777" w:rsidR="0065117B" w:rsidRDefault="00000000">
            <w:pPr>
              <w:pStyle w:val="Compact"/>
              <w:jc w:val="center"/>
            </w:pPr>
            <w:r>
              <w:rPr>
                <w:b/>
                <w:bCs/>
              </w:rPr>
              <w:t>Cohort A (n = 295)</w:t>
            </w:r>
          </w:p>
        </w:tc>
        <w:tc>
          <w:tcPr>
            <w:tcW w:w="0" w:type="auto"/>
          </w:tcPr>
          <w:p w14:paraId="6395640D" w14:textId="77777777" w:rsidR="0065117B" w:rsidRDefault="00000000">
            <w:pPr>
              <w:pStyle w:val="Compact"/>
              <w:jc w:val="center"/>
            </w:pPr>
            <w:r>
              <w:rPr>
                <w:b/>
                <w:bCs/>
              </w:rPr>
              <w:t>Cohort B (n = 190)</w:t>
            </w:r>
          </w:p>
        </w:tc>
      </w:tr>
      <w:tr w:rsidR="0065117B" w14:paraId="35514EE5" w14:textId="77777777">
        <w:tc>
          <w:tcPr>
            <w:tcW w:w="0" w:type="auto"/>
          </w:tcPr>
          <w:p w14:paraId="3B00ADEE" w14:textId="77777777" w:rsidR="0065117B" w:rsidRDefault="00000000">
            <w:pPr>
              <w:pStyle w:val="Compact"/>
            </w:pPr>
            <w:r>
              <w:t>Upper lobe</w:t>
            </w:r>
          </w:p>
        </w:tc>
        <w:tc>
          <w:tcPr>
            <w:tcW w:w="0" w:type="auto"/>
          </w:tcPr>
          <w:p w14:paraId="241D5D9A" w14:textId="77777777" w:rsidR="0065117B" w:rsidRDefault="0065117B">
            <w:pPr>
              <w:pStyle w:val="Compact"/>
            </w:pPr>
          </w:p>
        </w:tc>
        <w:tc>
          <w:tcPr>
            <w:tcW w:w="0" w:type="auto"/>
          </w:tcPr>
          <w:p w14:paraId="159CA421" w14:textId="77777777" w:rsidR="0065117B" w:rsidRDefault="0065117B">
            <w:pPr>
              <w:pStyle w:val="Compact"/>
            </w:pPr>
          </w:p>
        </w:tc>
      </w:tr>
      <w:tr w:rsidR="0065117B" w14:paraId="4FD3B562" w14:textId="77777777">
        <w:tc>
          <w:tcPr>
            <w:tcW w:w="0" w:type="auto"/>
          </w:tcPr>
          <w:p w14:paraId="0B4C76EB" w14:textId="77777777" w:rsidR="0065117B" w:rsidRDefault="00000000">
            <w:pPr>
              <w:pStyle w:val="Compact"/>
            </w:pPr>
            <w:r>
              <w:t>Yes/Positive</w:t>
            </w:r>
          </w:p>
        </w:tc>
        <w:tc>
          <w:tcPr>
            <w:tcW w:w="0" w:type="auto"/>
          </w:tcPr>
          <w:p w14:paraId="0F7AD30A" w14:textId="77777777" w:rsidR="0065117B" w:rsidRDefault="00000000">
            <w:pPr>
              <w:pStyle w:val="Compact"/>
              <w:jc w:val="center"/>
            </w:pPr>
            <w:r>
              <w:t>121 (41.0%)</w:t>
            </w:r>
          </w:p>
        </w:tc>
        <w:tc>
          <w:tcPr>
            <w:tcW w:w="0" w:type="auto"/>
          </w:tcPr>
          <w:p w14:paraId="75FEECEA" w14:textId="77777777" w:rsidR="0065117B" w:rsidRDefault="00000000">
            <w:pPr>
              <w:pStyle w:val="Compact"/>
              <w:jc w:val="center"/>
            </w:pPr>
            <w:r>
              <w:t>98 (51.6%)</w:t>
            </w:r>
          </w:p>
        </w:tc>
      </w:tr>
      <w:tr w:rsidR="0065117B" w14:paraId="1D105AA6" w14:textId="77777777">
        <w:tc>
          <w:tcPr>
            <w:tcW w:w="0" w:type="auto"/>
          </w:tcPr>
          <w:p w14:paraId="07E24B7E" w14:textId="77777777" w:rsidR="0065117B" w:rsidRDefault="00000000">
            <w:pPr>
              <w:pStyle w:val="Compact"/>
            </w:pPr>
            <w:r>
              <w:t>No/Negative</w:t>
            </w:r>
          </w:p>
        </w:tc>
        <w:tc>
          <w:tcPr>
            <w:tcW w:w="0" w:type="auto"/>
          </w:tcPr>
          <w:p w14:paraId="0F76E0EA" w14:textId="77777777" w:rsidR="0065117B" w:rsidRDefault="00000000">
            <w:pPr>
              <w:pStyle w:val="Compact"/>
              <w:jc w:val="center"/>
            </w:pPr>
            <w:r>
              <w:t>174 (59.0%)</w:t>
            </w:r>
          </w:p>
        </w:tc>
        <w:tc>
          <w:tcPr>
            <w:tcW w:w="0" w:type="auto"/>
          </w:tcPr>
          <w:p w14:paraId="5E9F3710" w14:textId="77777777" w:rsidR="0065117B" w:rsidRDefault="00000000">
            <w:pPr>
              <w:pStyle w:val="Compact"/>
              <w:jc w:val="center"/>
            </w:pPr>
            <w:r>
              <w:t>92 (48.4%)</w:t>
            </w:r>
          </w:p>
        </w:tc>
      </w:tr>
      <w:tr w:rsidR="0065117B" w14:paraId="40D49C99" w14:textId="77777777">
        <w:tc>
          <w:tcPr>
            <w:tcW w:w="0" w:type="auto"/>
          </w:tcPr>
          <w:p w14:paraId="1772531F" w14:textId="77777777" w:rsidR="0065117B" w:rsidRDefault="00000000">
            <w:pPr>
              <w:pStyle w:val="Compact"/>
            </w:pPr>
            <w:r>
              <w:t>Age (years)</w:t>
            </w:r>
          </w:p>
        </w:tc>
        <w:tc>
          <w:tcPr>
            <w:tcW w:w="0" w:type="auto"/>
          </w:tcPr>
          <w:p w14:paraId="17EB8450" w14:textId="77777777" w:rsidR="0065117B" w:rsidRDefault="00000000">
            <w:pPr>
              <w:pStyle w:val="Compact"/>
              <w:jc w:val="center"/>
            </w:pPr>
            <w:r>
              <w:t xml:space="preserve">56.95 </w:t>
            </w:r>
            <m:oMath>
              <m:r>
                <m:rPr>
                  <m:sty m:val="p"/>
                </m:rPr>
                <w:rPr>
                  <w:rFonts w:ascii="Cambria Math" w:hAnsi="Cambria Math"/>
                </w:rPr>
                <m:t>±</m:t>
              </m:r>
            </m:oMath>
            <w:r>
              <w:t xml:space="preserve"> 11.03</w:t>
            </w:r>
          </w:p>
        </w:tc>
        <w:tc>
          <w:tcPr>
            <w:tcW w:w="0" w:type="auto"/>
          </w:tcPr>
          <w:p w14:paraId="413F9F72" w14:textId="77777777" w:rsidR="0065117B" w:rsidRDefault="00000000">
            <w:pPr>
              <w:pStyle w:val="Compact"/>
              <w:jc w:val="center"/>
            </w:pPr>
            <w:r>
              <w:t xml:space="preserve">58.26 </w:t>
            </w:r>
            <m:oMath>
              <m:r>
                <m:rPr>
                  <m:sty m:val="p"/>
                </m:rPr>
                <w:rPr>
                  <w:rFonts w:ascii="Cambria Math" w:hAnsi="Cambria Math"/>
                </w:rPr>
                <m:t>±</m:t>
              </m:r>
            </m:oMath>
            <w:r>
              <w:t xml:space="preserve"> 9.57</w:t>
            </w:r>
          </w:p>
        </w:tc>
      </w:tr>
      <w:tr w:rsidR="0065117B" w14:paraId="26BEDB20" w14:textId="77777777">
        <w:tc>
          <w:tcPr>
            <w:tcW w:w="0" w:type="auto"/>
          </w:tcPr>
          <w:p w14:paraId="37887EA9" w14:textId="77777777" w:rsidR="0065117B" w:rsidRDefault="00000000">
            <w:pPr>
              <w:pStyle w:val="Compact"/>
            </w:pPr>
            <w:r>
              <w:t>Lobe location (upper)</w:t>
            </w:r>
          </w:p>
        </w:tc>
        <w:tc>
          <w:tcPr>
            <w:tcW w:w="0" w:type="auto"/>
          </w:tcPr>
          <w:p w14:paraId="0A6FF483" w14:textId="77777777" w:rsidR="0065117B" w:rsidRDefault="0065117B">
            <w:pPr>
              <w:pStyle w:val="Compact"/>
            </w:pPr>
          </w:p>
        </w:tc>
        <w:tc>
          <w:tcPr>
            <w:tcW w:w="0" w:type="auto"/>
          </w:tcPr>
          <w:p w14:paraId="0403F446" w14:textId="77777777" w:rsidR="0065117B" w:rsidRDefault="0065117B">
            <w:pPr>
              <w:pStyle w:val="Compact"/>
            </w:pPr>
          </w:p>
        </w:tc>
      </w:tr>
      <w:tr w:rsidR="0065117B" w14:paraId="00EF62BD" w14:textId="77777777">
        <w:tc>
          <w:tcPr>
            <w:tcW w:w="0" w:type="auto"/>
          </w:tcPr>
          <w:p w14:paraId="02E92F39" w14:textId="77777777" w:rsidR="0065117B" w:rsidRDefault="00000000">
            <w:pPr>
              <w:pStyle w:val="Compact"/>
            </w:pPr>
            <w:r>
              <w:t>Category 1</w:t>
            </w:r>
          </w:p>
        </w:tc>
        <w:tc>
          <w:tcPr>
            <w:tcW w:w="0" w:type="auto"/>
          </w:tcPr>
          <w:p w14:paraId="46C553F4" w14:textId="77777777" w:rsidR="0065117B" w:rsidRDefault="00000000">
            <w:pPr>
              <w:pStyle w:val="Compact"/>
              <w:jc w:val="center"/>
            </w:pPr>
            <w:r>
              <w:t>161 (54.6%)</w:t>
            </w:r>
          </w:p>
        </w:tc>
        <w:tc>
          <w:tcPr>
            <w:tcW w:w="0" w:type="auto"/>
          </w:tcPr>
          <w:p w14:paraId="1B32A4F7" w14:textId="77777777" w:rsidR="0065117B" w:rsidRDefault="00000000">
            <w:pPr>
              <w:pStyle w:val="Compact"/>
              <w:jc w:val="center"/>
            </w:pPr>
            <w:r>
              <w:t>98 (51.6%)</w:t>
            </w:r>
          </w:p>
        </w:tc>
      </w:tr>
      <w:tr w:rsidR="0065117B" w14:paraId="4712FE0C" w14:textId="77777777">
        <w:tc>
          <w:tcPr>
            <w:tcW w:w="0" w:type="auto"/>
          </w:tcPr>
          <w:p w14:paraId="7AAB9950" w14:textId="77777777" w:rsidR="0065117B" w:rsidRDefault="00000000">
            <w:pPr>
              <w:pStyle w:val="Compact"/>
            </w:pPr>
            <w:r>
              <w:t>Category 2</w:t>
            </w:r>
          </w:p>
        </w:tc>
        <w:tc>
          <w:tcPr>
            <w:tcW w:w="0" w:type="auto"/>
          </w:tcPr>
          <w:p w14:paraId="24259C29" w14:textId="77777777" w:rsidR="0065117B" w:rsidRDefault="00000000">
            <w:pPr>
              <w:pStyle w:val="Compact"/>
              <w:jc w:val="center"/>
            </w:pPr>
            <w:r>
              <w:t>29 (9.8%)</w:t>
            </w:r>
          </w:p>
        </w:tc>
        <w:tc>
          <w:tcPr>
            <w:tcW w:w="0" w:type="auto"/>
          </w:tcPr>
          <w:p w14:paraId="51E486C4" w14:textId="77777777" w:rsidR="0065117B" w:rsidRDefault="00000000">
            <w:pPr>
              <w:pStyle w:val="Compact"/>
              <w:jc w:val="center"/>
            </w:pPr>
            <w:r>
              <w:t>18 (9.5%)</w:t>
            </w:r>
          </w:p>
        </w:tc>
      </w:tr>
      <w:tr w:rsidR="0065117B" w14:paraId="237AA209" w14:textId="77777777">
        <w:tc>
          <w:tcPr>
            <w:tcW w:w="0" w:type="auto"/>
          </w:tcPr>
          <w:p w14:paraId="3EA8DAF7" w14:textId="77777777" w:rsidR="0065117B" w:rsidRDefault="00000000">
            <w:pPr>
              <w:pStyle w:val="Compact"/>
            </w:pPr>
            <w:r>
              <w:lastRenderedPageBreak/>
              <w:t>Category 3</w:t>
            </w:r>
          </w:p>
        </w:tc>
        <w:tc>
          <w:tcPr>
            <w:tcW w:w="0" w:type="auto"/>
          </w:tcPr>
          <w:p w14:paraId="6EE50FF1" w14:textId="77777777" w:rsidR="0065117B" w:rsidRDefault="00000000">
            <w:pPr>
              <w:pStyle w:val="Compact"/>
              <w:jc w:val="center"/>
            </w:pPr>
            <w:r>
              <w:t>105 (35.6%)</w:t>
            </w:r>
          </w:p>
        </w:tc>
        <w:tc>
          <w:tcPr>
            <w:tcW w:w="0" w:type="auto"/>
          </w:tcPr>
          <w:p w14:paraId="64A18510" w14:textId="77777777" w:rsidR="0065117B" w:rsidRDefault="00000000">
            <w:pPr>
              <w:pStyle w:val="Compact"/>
              <w:jc w:val="center"/>
            </w:pPr>
            <w:r>
              <w:t>74 (38.9%)</w:t>
            </w:r>
          </w:p>
        </w:tc>
      </w:tr>
      <w:tr w:rsidR="0065117B" w14:paraId="79BAC5A4" w14:textId="77777777">
        <w:tc>
          <w:tcPr>
            <w:tcW w:w="0" w:type="auto"/>
          </w:tcPr>
          <w:p w14:paraId="32A70A56" w14:textId="77777777" w:rsidR="0065117B" w:rsidRDefault="00000000">
            <w:pPr>
              <w:pStyle w:val="Compact"/>
            </w:pPr>
            <w:r>
              <w:t>DLCO1</w:t>
            </w:r>
          </w:p>
        </w:tc>
        <w:tc>
          <w:tcPr>
            <w:tcW w:w="0" w:type="auto"/>
          </w:tcPr>
          <w:p w14:paraId="4D4461A1" w14:textId="77777777" w:rsidR="0065117B" w:rsidRDefault="00000000">
            <w:pPr>
              <w:pStyle w:val="Compact"/>
              <w:jc w:val="center"/>
            </w:pPr>
            <w:r>
              <w:t xml:space="preserve">5.90 </w:t>
            </w:r>
            <m:oMath>
              <m:r>
                <m:rPr>
                  <m:sty m:val="p"/>
                </m:rPr>
                <w:rPr>
                  <w:rFonts w:ascii="Cambria Math" w:hAnsi="Cambria Math"/>
                </w:rPr>
                <m:t>±</m:t>
              </m:r>
            </m:oMath>
            <w:r>
              <w:t xml:space="preserve"> 2.89</w:t>
            </w:r>
          </w:p>
        </w:tc>
        <w:tc>
          <w:tcPr>
            <w:tcW w:w="0" w:type="auto"/>
          </w:tcPr>
          <w:p w14:paraId="536235E7" w14:textId="77777777" w:rsidR="0065117B" w:rsidRDefault="00000000">
            <w:pPr>
              <w:pStyle w:val="Compact"/>
              <w:jc w:val="center"/>
            </w:pPr>
            <w:r>
              <w:t xml:space="preserve">6.31 </w:t>
            </w:r>
            <m:oMath>
              <m:r>
                <m:rPr>
                  <m:sty m:val="p"/>
                </m:rPr>
                <w:rPr>
                  <w:rFonts w:ascii="Cambria Math" w:hAnsi="Cambria Math"/>
                </w:rPr>
                <m:t>±</m:t>
              </m:r>
            </m:oMath>
            <w:r>
              <w:t xml:space="preserve"> 1.55</w:t>
            </w:r>
          </w:p>
        </w:tc>
      </w:tr>
      <w:tr w:rsidR="0065117B" w14:paraId="3F6BE68C" w14:textId="77777777">
        <w:tc>
          <w:tcPr>
            <w:tcW w:w="0" w:type="auto"/>
          </w:tcPr>
          <w:p w14:paraId="0D3D25E8" w14:textId="77777777" w:rsidR="0065117B" w:rsidRDefault="00000000">
            <w:pPr>
              <w:pStyle w:val="Compact"/>
            </w:pPr>
            <w:r>
              <w:t>VC</w:t>
            </w:r>
          </w:p>
        </w:tc>
        <w:tc>
          <w:tcPr>
            <w:tcW w:w="0" w:type="auto"/>
          </w:tcPr>
          <w:p w14:paraId="7DE3FC62" w14:textId="77777777" w:rsidR="0065117B" w:rsidRDefault="00000000">
            <w:pPr>
              <w:pStyle w:val="Compact"/>
              <w:jc w:val="center"/>
            </w:pPr>
            <w:r>
              <w:t xml:space="preserve">3.33 </w:t>
            </w:r>
            <m:oMath>
              <m:r>
                <m:rPr>
                  <m:sty m:val="p"/>
                </m:rPr>
                <w:rPr>
                  <w:rFonts w:ascii="Cambria Math" w:hAnsi="Cambria Math"/>
                </w:rPr>
                <m:t>±</m:t>
              </m:r>
            </m:oMath>
            <w:r>
              <w:t xml:space="preserve"> 0.80</w:t>
            </w:r>
          </w:p>
        </w:tc>
        <w:tc>
          <w:tcPr>
            <w:tcW w:w="0" w:type="auto"/>
          </w:tcPr>
          <w:p w14:paraId="2E564A44" w14:textId="77777777" w:rsidR="0065117B" w:rsidRDefault="00000000">
            <w:pPr>
              <w:pStyle w:val="Compact"/>
              <w:jc w:val="center"/>
            </w:pPr>
            <w:r>
              <w:t xml:space="preserve">2.92 </w:t>
            </w:r>
            <m:oMath>
              <m:r>
                <m:rPr>
                  <m:sty m:val="p"/>
                </m:rPr>
                <w:rPr>
                  <w:rFonts w:ascii="Cambria Math" w:hAnsi="Cambria Math"/>
                </w:rPr>
                <m:t>±</m:t>
              </m:r>
            </m:oMath>
            <w:r>
              <w:t xml:space="preserve"> 0.73</w:t>
            </w:r>
          </w:p>
        </w:tc>
      </w:tr>
      <w:tr w:rsidR="0065117B" w14:paraId="20390BA9" w14:textId="77777777">
        <w:tc>
          <w:tcPr>
            <w:tcW w:w="0" w:type="auto"/>
          </w:tcPr>
          <w:p w14:paraId="29786C84" w14:textId="77777777" w:rsidR="0065117B" w:rsidRDefault="00000000">
            <w:pPr>
              <w:pStyle w:val="Compact"/>
            </w:pPr>
            <w:r>
              <w:t>CEA</w:t>
            </w:r>
          </w:p>
        </w:tc>
        <w:tc>
          <w:tcPr>
            <w:tcW w:w="0" w:type="auto"/>
          </w:tcPr>
          <w:p w14:paraId="0BE7CDC3" w14:textId="77777777" w:rsidR="0065117B" w:rsidRDefault="00000000">
            <w:pPr>
              <w:pStyle w:val="Compact"/>
              <w:jc w:val="center"/>
            </w:pPr>
            <w:r>
              <w:t xml:space="preserve">4.23 </w:t>
            </w:r>
            <m:oMath>
              <m:r>
                <m:rPr>
                  <m:sty m:val="p"/>
                </m:rPr>
                <w:rPr>
                  <w:rFonts w:ascii="Cambria Math" w:hAnsi="Cambria Math"/>
                </w:rPr>
                <m:t>±</m:t>
              </m:r>
            </m:oMath>
            <w:r>
              <w:t xml:space="preserve"> 6.90</w:t>
            </w:r>
          </w:p>
        </w:tc>
        <w:tc>
          <w:tcPr>
            <w:tcW w:w="0" w:type="auto"/>
          </w:tcPr>
          <w:p w14:paraId="56CD6218" w14:textId="77777777" w:rsidR="0065117B" w:rsidRDefault="00000000">
            <w:pPr>
              <w:pStyle w:val="Compact"/>
              <w:jc w:val="center"/>
            </w:pPr>
            <w:r>
              <w:t xml:space="preserve">4.15 </w:t>
            </w:r>
            <m:oMath>
              <m:r>
                <m:rPr>
                  <m:sty m:val="p"/>
                </m:rPr>
                <w:rPr>
                  <w:rFonts w:ascii="Cambria Math" w:hAnsi="Cambria Math"/>
                </w:rPr>
                <m:t>±</m:t>
              </m:r>
            </m:oMath>
            <w:r>
              <w:t xml:space="preserve"> 10.61</w:t>
            </w:r>
          </w:p>
        </w:tc>
      </w:tr>
      <w:tr w:rsidR="0065117B" w14:paraId="54CB0004" w14:textId="77777777">
        <w:tc>
          <w:tcPr>
            <w:tcW w:w="0" w:type="auto"/>
          </w:tcPr>
          <w:p w14:paraId="47811D2C" w14:textId="77777777" w:rsidR="0065117B" w:rsidRDefault="00000000">
            <w:pPr>
              <w:pStyle w:val="Compact"/>
            </w:pPr>
            <w:r>
              <w:t>CRE</w:t>
            </w:r>
          </w:p>
        </w:tc>
        <w:tc>
          <w:tcPr>
            <w:tcW w:w="0" w:type="auto"/>
          </w:tcPr>
          <w:p w14:paraId="3F490577" w14:textId="77777777" w:rsidR="0065117B" w:rsidRDefault="00000000">
            <w:pPr>
              <w:pStyle w:val="Compact"/>
              <w:jc w:val="center"/>
            </w:pPr>
            <w:r>
              <w:t xml:space="preserve">73.41 </w:t>
            </w:r>
            <m:oMath>
              <m:r>
                <m:rPr>
                  <m:sty m:val="p"/>
                </m:rPr>
                <w:rPr>
                  <w:rFonts w:ascii="Cambria Math" w:hAnsi="Cambria Math"/>
                </w:rPr>
                <m:t>±</m:t>
              </m:r>
            </m:oMath>
            <w:r>
              <w:t xml:space="preserve"> 17.16</w:t>
            </w:r>
          </w:p>
        </w:tc>
        <w:tc>
          <w:tcPr>
            <w:tcW w:w="0" w:type="auto"/>
          </w:tcPr>
          <w:p w14:paraId="6F636FF5" w14:textId="77777777" w:rsidR="0065117B" w:rsidRDefault="00000000">
            <w:pPr>
              <w:pStyle w:val="Compact"/>
              <w:jc w:val="center"/>
            </w:pPr>
            <w:r>
              <w:t xml:space="preserve">62.94 </w:t>
            </w:r>
            <m:oMath>
              <m:r>
                <m:rPr>
                  <m:sty m:val="p"/>
                </m:rPr>
                <w:rPr>
                  <w:rFonts w:ascii="Cambria Math" w:hAnsi="Cambria Math"/>
                </w:rPr>
                <m:t>±</m:t>
              </m:r>
            </m:oMath>
            <w:r>
              <w:t xml:space="preserve"> 13.64</w:t>
            </w:r>
          </w:p>
        </w:tc>
      </w:tr>
      <w:tr w:rsidR="0065117B" w14:paraId="622CDCFC" w14:textId="77777777">
        <w:tc>
          <w:tcPr>
            <w:tcW w:w="0" w:type="auto"/>
          </w:tcPr>
          <w:p w14:paraId="0ACC7698" w14:textId="77777777" w:rsidR="0065117B" w:rsidRDefault="00000000">
            <w:pPr>
              <w:pStyle w:val="Compact"/>
            </w:pPr>
            <w:r>
              <w:t>NSE</w:t>
            </w:r>
          </w:p>
        </w:tc>
        <w:tc>
          <w:tcPr>
            <w:tcW w:w="0" w:type="auto"/>
          </w:tcPr>
          <w:p w14:paraId="60EE503A" w14:textId="77777777" w:rsidR="0065117B" w:rsidRDefault="00000000">
            <w:pPr>
              <w:pStyle w:val="Compact"/>
              <w:jc w:val="center"/>
            </w:pPr>
            <w:r>
              <w:t xml:space="preserve">13.07 </w:t>
            </w:r>
            <m:oMath>
              <m:r>
                <m:rPr>
                  <m:sty m:val="p"/>
                </m:rPr>
                <w:rPr>
                  <w:rFonts w:ascii="Cambria Math" w:hAnsi="Cambria Math"/>
                </w:rPr>
                <m:t>±</m:t>
              </m:r>
            </m:oMath>
            <w:r>
              <w:t xml:space="preserve"> 3.90</w:t>
            </w:r>
          </w:p>
        </w:tc>
        <w:tc>
          <w:tcPr>
            <w:tcW w:w="0" w:type="auto"/>
          </w:tcPr>
          <w:p w14:paraId="3188A4F3" w14:textId="77777777" w:rsidR="0065117B" w:rsidRDefault="00000000">
            <w:pPr>
              <w:pStyle w:val="Compact"/>
              <w:jc w:val="center"/>
            </w:pPr>
            <w:r>
              <w:t xml:space="preserve">13.82 </w:t>
            </w:r>
            <m:oMath>
              <m:r>
                <m:rPr>
                  <m:sty m:val="p"/>
                </m:rPr>
                <w:rPr>
                  <w:rFonts w:ascii="Cambria Math" w:hAnsi="Cambria Math"/>
                </w:rPr>
                <m:t>±</m:t>
              </m:r>
            </m:oMath>
            <w:r>
              <w:t xml:space="preserve"> 4.36</w:t>
            </w:r>
          </w:p>
        </w:tc>
      </w:tr>
      <w:tr w:rsidR="0065117B" w14:paraId="637B802C" w14:textId="77777777">
        <w:tc>
          <w:tcPr>
            <w:tcW w:w="0" w:type="auto"/>
          </w:tcPr>
          <w:p w14:paraId="6E26A029" w14:textId="77777777" w:rsidR="0065117B" w:rsidRDefault="00000000">
            <w:pPr>
              <w:pStyle w:val="Compact"/>
            </w:pPr>
            <w:r>
              <w:t>Outcome (Malignant)</w:t>
            </w:r>
          </w:p>
        </w:tc>
        <w:tc>
          <w:tcPr>
            <w:tcW w:w="0" w:type="auto"/>
          </w:tcPr>
          <w:p w14:paraId="5ADB4552" w14:textId="77777777" w:rsidR="0065117B" w:rsidRDefault="0065117B">
            <w:pPr>
              <w:pStyle w:val="Compact"/>
            </w:pPr>
          </w:p>
        </w:tc>
        <w:tc>
          <w:tcPr>
            <w:tcW w:w="0" w:type="auto"/>
          </w:tcPr>
          <w:p w14:paraId="28FF415E" w14:textId="77777777" w:rsidR="0065117B" w:rsidRDefault="0065117B">
            <w:pPr>
              <w:pStyle w:val="Compact"/>
            </w:pPr>
          </w:p>
        </w:tc>
      </w:tr>
      <w:tr w:rsidR="0065117B" w14:paraId="769C5826" w14:textId="77777777">
        <w:tc>
          <w:tcPr>
            <w:tcW w:w="0" w:type="auto"/>
          </w:tcPr>
          <w:p w14:paraId="13F10DB3" w14:textId="77777777" w:rsidR="0065117B" w:rsidRDefault="00000000">
            <w:pPr>
              <w:pStyle w:val="Compact"/>
            </w:pPr>
            <w:r>
              <w:t>Yes/Positive</w:t>
            </w:r>
          </w:p>
        </w:tc>
        <w:tc>
          <w:tcPr>
            <w:tcW w:w="0" w:type="auto"/>
          </w:tcPr>
          <w:p w14:paraId="21A74D38" w14:textId="77777777" w:rsidR="0065117B" w:rsidRDefault="00000000">
            <w:pPr>
              <w:pStyle w:val="Compact"/>
              <w:jc w:val="center"/>
            </w:pPr>
            <w:r>
              <w:t>189 (64.1%)</w:t>
            </w:r>
          </w:p>
        </w:tc>
        <w:tc>
          <w:tcPr>
            <w:tcW w:w="0" w:type="auto"/>
          </w:tcPr>
          <w:p w14:paraId="2A4A11DF" w14:textId="77777777" w:rsidR="0065117B" w:rsidRDefault="00000000">
            <w:pPr>
              <w:pStyle w:val="Compact"/>
              <w:jc w:val="center"/>
            </w:pPr>
            <w:r>
              <w:t>125 (65.8%)</w:t>
            </w:r>
          </w:p>
        </w:tc>
      </w:tr>
      <w:tr w:rsidR="0065117B" w14:paraId="0CE1D201" w14:textId="77777777">
        <w:tc>
          <w:tcPr>
            <w:tcW w:w="0" w:type="auto"/>
          </w:tcPr>
          <w:p w14:paraId="66EE9639" w14:textId="77777777" w:rsidR="0065117B" w:rsidRDefault="00000000">
            <w:pPr>
              <w:pStyle w:val="Compact"/>
            </w:pPr>
            <w:r>
              <w:t>No/Negative</w:t>
            </w:r>
          </w:p>
        </w:tc>
        <w:tc>
          <w:tcPr>
            <w:tcW w:w="0" w:type="auto"/>
          </w:tcPr>
          <w:p w14:paraId="6A06029D" w14:textId="77777777" w:rsidR="0065117B" w:rsidRDefault="00000000">
            <w:pPr>
              <w:pStyle w:val="Compact"/>
              <w:jc w:val="center"/>
            </w:pPr>
            <w:r>
              <w:t>106 (35.9%)</w:t>
            </w:r>
          </w:p>
        </w:tc>
        <w:tc>
          <w:tcPr>
            <w:tcW w:w="0" w:type="auto"/>
          </w:tcPr>
          <w:p w14:paraId="039F2F2F" w14:textId="77777777" w:rsidR="0065117B" w:rsidRDefault="00000000">
            <w:pPr>
              <w:pStyle w:val="Compact"/>
              <w:jc w:val="center"/>
            </w:pPr>
            <w:r>
              <w:t>65 (34.2%)</w:t>
            </w:r>
          </w:p>
        </w:tc>
      </w:tr>
    </w:tbl>
    <w:bookmarkEnd w:id="84"/>
    <w:p w14:paraId="4E421F1E" w14:textId="77777777" w:rsidR="0065117B" w:rsidRDefault="00000000">
      <w:pPr>
        <w:pStyle w:val="a0"/>
      </w:pPr>
      <w:r>
        <w:t>In source-domain evaluation (10-fold cross-validation on Cohort A), PANDA led on all metrics (Fig. </w:t>
      </w:r>
      <w:hyperlink w:anchor="fig:performance-heatmaps">
        <w:r>
          <w:rPr>
            <w:rStyle w:val="af"/>
          </w:rPr>
          <w:t>2</w:t>
        </w:r>
      </w:hyperlink>
      <w:r>
        <w:t>): AUC 0.829, accuracy 0.746, F1-score 0.810, precision 0.786, recall 0.846. The high recall is what screening workflows tend to care about. Classical machine learning methods were moderate (Random Forest AUC 0.752; XGBoost 0.742), and clinical scores fared poorly.</w:t>
      </w:r>
    </w:p>
    <w:p w14:paraId="59B0A8EC" w14:textId="77777777" w:rsidR="0065117B" w:rsidRDefault="00000000">
      <w:pPr>
        <w:pStyle w:val="a0"/>
      </w:pPr>
      <w:r>
        <w:t>For external validation (train on Cohort A, test on Cohort B), the TCA-enhanced PANDA model again came out ahead (AUC 0.705, F1-score 0.808, recall 0.944), with the non-adaptive version slightly behind at AUC 0.698. Among baselines, LASSO LR reached AUC 0.668 with recall 0.943; Random Forest dropped to 0.632; SVM, GBDT, and XGBoost fell below 0.59, underscoring shift sensitivity.</w:t>
      </w:r>
    </w:p>
    <w:p w14:paraId="694D5C92" w14:textId="77777777" w:rsidR="0065117B" w:rsidRDefault="00000000">
      <w:pPr>
        <w:pStyle w:val="CaptionedFigure"/>
      </w:pPr>
      <w:bookmarkStart w:id="86" w:name="fig:performance-heatmaps"/>
      <w:r>
        <w:rPr>
          <w:noProof/>
        </w:rPr>
        <w:lastRenderedPageBreak/>
        <w:drawing>
          <wp:inline distT="0" distB="0" distL="0" distR="0" wp14:anchorId="6DEBF9FB" wp14:editId="10E20008">
            <wp:extent cx="5486400" cy="7190814"/>
            <wp:effectExtent l="0" t="0" r="0" b="0"/>
            <wp:docPr id="56" name="Picture" descr="Figure 2: Performance comparison across source and target domains. a Source domain 10-fold cross-validation performance heatmap across five classification metrics. The PANDA framework achieves the best overall performance across all metrics. b Cross-domain performance heatmap on the external validation set. The TCA-enhanced PANDA model shows the highest AUC and recall, indicating improved generalization under domain shift."/>
            <wp:cNvGraphicFramePr/>
            <a:graphic xmlns:a="http://schemas.openxmlformats.org/drawingml/2006/main">
              <a:graphicData uri="http://schemas.openxmlformats.org/drawingml/2006/picture">
                <pic:pic xmlns:pic="http://schemas.openxmlformats.org/drawingml/2006/picture">
                  <pic:nvPicPr>
                    <pic:cNvPr id="57" name="Picture" descr="combined_heatmaps_nature.pdf"/>
                    <pic:cNvPicPr>
                      <a:picLocks noChangeAspect="1" noChangeArrowheads="1"/>
                    </pic:cNvPicPr>
                  </pic:nvPicPr>
                  <pic:blipFill>
                    <a:blip r:embed="rId6"/>
                    <a:stretch>
                      <a:fillRect/>
                    </a:stretch>
                  </pic:blipFill>
                  <pic:spPr bwMode="auto">
                    <a:xfrm>
                      <a:off x="0" y="0"/>
                      <a:ext cx="5486400" cy="7190814"/>
                    </a:xfrm>
                    <a:prstGeom prst="rect">
                      <a:avLst/>
                    </a:prstGeom>
                    <a:noFill/>
                    <a:ln w="9525">
                      <a:noFill/>
                      <a:headEnd/>
                      <a:tailEnd/>
                    </a:ln>
                  </pic:spPr>
                </pic:pic>
              </a:graphicData>
            </a:graphic>
          </wp:inline>
        </w:drawing>
      </w:r>
    </w:p>
    <w:p w14:paraId="57E52A06" w14:textId="77777777" w:rsidR="0065117B" w:rsidRDefault="00000000">
      <w:pPr>
        <w:pStyle w:val="ImageCaption"/>
      </w:pPr>
      <w:bookmarkStart w:id="87" w:name="_Toc214939466"/>
      <w:r>
        <w:t xml:space="preserve">Figure 2: </w:t>
      </w:r>
      <w:r>
        <w:rPr>
          <w:b/>
          <w:bCs/>
        </w:rPr>
        <w:t>Performance comparison across source and target domains.</w:t>
      </w:r>
      <w:r>
        <w:t xml:space="preserve"> </w:t>
      </w:r>
      <w:r>
        <w:rPr>
          <w:b/>
          <w:bCs/>
        </w:rPr>
        <w:t>a</w:t>
      </w:r>
      <w:r>
        <w:t xml:space="preserve"> Source domain 10-fold cross-validation performance heatmap across five classification metrics. The PANDA framework achieves the best overall performance across all metrics. </w:t>
      </w:r>
      <w:r>
        <w:rPr>
          <w:b/>
          <w:bCs/>
        </w:rPr>
        <w:t>b</w:t>
      </w:r>
      <w:r>
        <w:t xml:space="preserve"> Cross-domain performance heatmap on the external validation set. The TCA-enhanced PANDA </w:t>
      </w:r>
      <w:r>
        <w:lastRenderedPageBreak/>
        <w:t>model shows the highest AUC and recall, indicating improved generalization under domain shift.</w:t>
      </w:r>
      <w:bookmarkEnd w:id="87"/>
    </w:p>
    <w:bookmarkEnd w:id="86"/>
    <w:p w14:paraId="0D8A11FB" w14:textId="77777777" w:rsidR="0065117B" w:rsidRDefault="00000000">
      <w:pPr>
        <w:pStyle w:val="a0"/>
      </w:pPr>
      <w:r>
        <w:t>Feature-space checks (Fig. </w:t>
      </w:r>
      <w:hyperlink w:anchor="fig:tca-visualization">
        <w:r>
          <w:rPr>
            <w:rStyle w:val="af"/>
          </w:rPr>
          <w:t>3</w:t>
        </w:r>
      </w:hyperlink>
      <w:r>
        <w:t>) suggest TCA is doing its job: PCA and t-SNE views tighten the alignment between source and target after transformation, even if some scatter remains.</w:t>
      </w:r>
    </w:p>
    <w:p w14:paraId="04E08FF2" w14:textId="77777777" w:rsidR="0065117B" w:rsidRDefault="00000000">
      <w:pPr>
        <w:pStyle w:val="CaptionedFigure"/>
      </w:pPr>
      <w:bookmarkStart w:id="88" w:name="fig:tca-visualization"/>
      <w:r>
        <w:rPr>
          <w:noProof/>
        </w:rPr>
        <w:drawing>
          <wp:inline distT="0" distB="0" distL="0" distR="0" wp14:anchorId="4927F152" wp14:editId="1C61BC65">
            <wp:extent cx="5486400" cy="4108778"/>
            <wp:effectExtent l="0" t="0" r="0" b="0"/>
            <wp:docPr id="60" name="Picture" descr="Figure 3: TCA-based domain adaptation visualization. a,b PCA visualization before and after TCA transformation, showing improved alignment of target samples with source samples. c,d t-SNE visualization before and after TCA transformation, demonstrating enhanced cluster center alignment and distribution consistency."/>
            <wp:cNvGraphicFramePr/>
            <a:graphic xmlns:a="http://schemas.openxmlformats.org/drawingml/2006/main">
              <a:graphicData uri="http://schemas.openxmlformats.org/drawingml/2006/picture">
                <pic:pic xmlns:pic="http://schemas.openxmlformats.org/drawingml/2006/picture">
                  <pic:nvPicPr>
                    <pic:cNvPr id="61" name="Picture" descr="TCA_dimensionality_reduction.pdf"/>
                    <pic:cNvPicPr>
                      <a:picLocks noChangeAspect="1" noChangeArrowheads="1"/>
                    </pic:cNvPicPr>
                  </pic:nvPicPr>
                  <pic:blipFill>
                    <a:blip r:embed="rId7"/>
                    <a:stretch>
                      <a:fillRect/>
                    </a:stretch>
                  </pic:blipFill>
                  <pic:spPr bwMode="auto">
                    <a:xfrm>
                      <a:off x="0" y="0"/>
                      <a:ext cx="5486400" cy="4108778"/>
                    </a:xfrm>
                    <a:prstGeom prst="rect">
                      <a:avLst/>
                    </a:prstGeom>
                    <a:noFill/>
                    <a:ln w="9525">
                      <a:noFill/>
                      <a:headEnd/>
                      <a:tailEnd/>
                    </a:ln>
                  </pic:spPr>
                </pic:pic>
              </a:graphicData>
            </a:graphic>
          </wp:inline>
        </w:drawing>
      </w:r>
    </w:p>
    <w:p w14:paraId="35FEEE83" w14:textId="77777777" w:rsidR="0065117B" w:rsidRDefault="00000000">
      <w:pPr>
        <w:pStyle w:val="ImageCaption"/>
      </w:pPr>
      <w:bookmarkStart w:id="89" w:name="_Toc214939467"/>
      <w:r>
        <w:t xml:space="preserve">Figure 3: TCA-based domain adaptation visualization. </w:t>
      </w:r>
      <w:r>
        <w:rPr>
          <w:b/>
          <w:bCs/>
        </w:rPr>
        <w:t>a,b</w:t>
      </w:r>
      <w:r>
        <w:t xml:space="preserve"> PCA visualization before and after TCA transformation, showing improved alignment of target samples with source samples. </w:t>
      </w:r>
      <w:r>
        <w:rPr>
          <w:b/>
          <w:bCs/>
        </w:rPr>
        <w:t>c,d</w:t>
      </w:r>
      <w:r>
        <w:t xml:space="preserve"> t-SNE visualization before and after TCA transformation, demonstrating enhanced cluster center alignment and distribution consistency.</w:t>
      </w:r>
      <w:bookmarkEnd w:id="89"/>
    </w:p>
    <w:p w14:paraId="1010E8E4" w14:textId="77777777" w:rsidR="0065117B" w:rsidRDefault="00000000">
      <w:pPr>
        <w:pStyle w:val="2"/>
      </w:pPr>
      <w:bookmarkStart w:id="90" w:name="X4d3d992c0a68172c7ad69892af3b4ceb5a2701f"/>
      <w:bookmarkStart w:id="91" w:name="_Toc214939510"/>
      <w:bookmarkEnd w:id="82"/>
      <w:bookmarkEnd w:id="88"/>
      <w:r>
        <w:t>Model Explainability, Reliability, and Clinical Utility</w:t>
      </w:r>
      <w:bookmarkEnd w:id="91"/>
    </w:p>
    <w:p w14:paraId="73C32960" w14:textId="77777777" w:rsidR="0065117B" w:rsidRDefault="00000000">
      <w:pPr>
        <w:pStyle w:val="FirstParagraph"/>
      </w:pPr>
      <w:r>
        <w:t>RFE with the pre-trained model kept interpretation manageable, and performance across subset sizes leveled off around 9–13 features (Fig. </w:t>
      </w:r>
      <w:hyperlink w:anchor="fig:rfe-performance">
        <w:r>
          <w:rPr>
            <w:rStyle w:val="af"/>
          </w:rPr>
          <w:t>4</w:t>
        </w:r>
      </w:hyperlink>
      <w:r>
        <w:t>). In terms of reliability, the ROC curves give PANDA a clear edge–AUC 0.829 on the source cohort and 0.705 for the TCA-augmented model on the external one. Calibration plots also place PANDA closer to the diagonal, with TCA nudging the target-side curve a bit nearer to what we would hope for. Decision curves, which weigh net clinical benefit across thresholds, tilt in PANDA’s favor as well, and the TCA variant adds a small but noticeable gain on the external cohort.</w:t>
      </w:r>
    </w:p>
    <w:p w14:paraId="21172AB5" w14:textId="77777777" w:rsidR="0065117B" w:rsidRDefault="00000000">
      <w:pPr>
        <w:pStyle w:val="CaptionedFigure"/>
      </w:pPr>
      <w:bookmarkStart w:id="92" w:name="fig:rfe-performance"/>
      <w:r>
        <w:rPr>
          <w:noProof/>
        </w:rPr>
        <w:lastRenderedPageBreak/>
        <w:drawing>
          <wp:inline distT="0" distB="0" distL="0" distR="0" wp14:anchorId="6C852DDB" wp14:editId="4C3D091E">
            <wp:extent cx="5486400" cy="5769847"/>
            <wp:effectExtent l="0" t="0" r="0" b="0"/>
            <wp:docPr id="65" name="Picture" descr="Figure 4: Comprehensive feature selection and performance analysis using recursive feature elimination (RF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feature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0.45 + Simplicity×0.25 + Efficiency×0.15 + Stability×0.15) to identify a feature count that balances accuracy with practical deployment considerations."/>
            <wp:cNvGraphicFramePr/>
            <a:graphic xmlns:a="http://schemas.openxmlformats.org/drawingml/2006/main">
              <a:graphicData uri="http://schemas.openxmlformats.org/drawingml/2006/picture">
                <pic:pic xmlns:pic="http://schemas.openxmlformats.org/drawingml/2006/picture">
                  <pic:nvPicPr>
                    <pic:cNvPr id="66" name="Picture" descr="feature_performance_comparison_comprehensive.pdf"/>
                    <pic:cNvPicPr>
                      <a:picLocks noChangeAspect="1" noChangeArrowheads="1"/>
                    </pic:cNvPicPr>
                  </pic:nvPicPr>
                  <pic:blipFill>
                    <a:blip r:embed="rId8"/>
                    <a:stretch>
                      <a:fillRect/>
                    </a:stretch>
                  </pic:blipFill>
                  <pic:spPr bwMode="auto">
                    <a:xfrm>
                      <a:off x="0" y="0"/>
                      <a:ext cx="5486400" cy="5769847"/>
                    </a:xfrm>
                    <a:prstGeom prst="rect">
                      <a:avLst/>
                    </a:prstGeom>
                    <a:noFill/>
                    <a:ln w="9525">
                      <a:noFill/>
                      <a:headEnd/>
                      <a:tailEnd/>
                    </a:ln>
                  </pic:spPr>
                </pic:pic>
              </a:graphicData>
            </a:graphic>
          </wp:inline>
        </w:drawing>
      </w:r>
    </w:p>
    <w:p w14:paraId="10CE2BB6" w14:textId="77777777" w:rsidR="0065117B" w:rsidRDefault="00000000">
      <w:pPr>
        <w:pStyle w:val="ImageCaption"/>
      </w:pPr>
      <w:bookmarkStart w:id="93" w:name="_Toc214939468"/>
      <w:r>
        <w:t xml:space="preserve">Figure 4: Comprehensive feature selection and performance analysis using recursive feature elimination (RFE). </w:t>
      </w:r>
      <w:r>
        <w:rPr>
          <w:b/>
          <w:bCs/>
        </w:rPr>
        <w:t>a</w:t>
      </w:r>
      <w:r>
        <w:t xml:space="preserve"> AUC, accuracy, and F1 curves as functions of the number of selected features. Performance plateaus around 9–13 features, aligning with the preference for simpler models. Shaded regions show variance across 10-fold cross-validation. </w:t>
      </w:r>
      <w:r>
        <w:rPr>
          <w:b/>
          <w:bCs/>
        </w:rPr>
        <w:t>b</w:t>
      </w:r>
      <w:r>
        <w:t xml:space="preserve"> Class-specific accuracy for malignant and benign cases across feature subset sizes, illustrating how predictive balance shifts as features are removed. </w:t>
      </w:r>
      <w:r>
        <w:rPr>
          <w:b/>
          <w:bCs/>
        </w:rPr>
        <w:t>c</w:t>
      </w:r>
      <w:r>
        <w:t xml:space="preserve"> Training-time analysis (seconds per fold) as a function of feature dimensionality, highlighting the computational gain from smaller subsets. </w:t>
      </w:r>
      <w:r>
        <w:rPr>
          <w:b/>
          <w:bCs/>
        </w:rPr>
        <w:t>d</w:t>
      </w:r>
      <w:r>
        <w:t xml:space="preserve"> Stability assessment using the coefficient of variation across folds; lower values indicate steadier performance. </w:t>
      </w:r>
      <w:r>
        <w:rPr>
          <w:b/>
          <w:bCs/>
        </w:rPr>
        <w:t>e</w:t>
      </w:r>
      <w:r>
        <w:t xml:space="preserve"> Cost-effectiveness index combining multiple criteria (Performance×0.45 + Simplicity×0.25 + Efficiency×0.15 + Stability×0.15) to identify a feature count that balances accuracy with practical deployment considerations.</w:t>
      </w:r>
      <w:bookmarkEnd w:id="93"/>
    </w:p>
    <w:p w14:paraId="506FA34F" w14:textId="77777777" w:rsidR="0065117B" w:rsidRDefault="00000000">
      <w:pPr>
        <w:pStyle w:val="CaptionedFigure"/>
      </w:pPr>
      <w:bookmarkStart w:id="94" w:name="fig:combined_analysis"/>
      <w:bookmarkEnd w:id="92"/>
      <w:r>
        <w:rPr>
          <w:noProof/>
        </w:rPr>
        <w:lastRenderedPageBreak/>
        <w:drawing>
          <wp:inline distT="0" distB="0" distL="0" distR="0" wp14:anchorId="5C93A694" wp14:editId="276A5E13">
            <wp:extent cx="5486400" cy="6125919"/>
            <wp:effectExtent l="0" t="0" r="0" b="0"/>
            <wp:docPr id="69" name="Picture" descr="Figure 5: Performance and utility across source and target domains. a,b ROC curves. c,d Calibration plots. e,f Decision curves."/>
            <wp:cNvGraphicFramePr/>
            <a:graphic xmlns:a="http://schemas.openxmlformats.org/drawingml/2006/main">
              <a:graphicData uri="http://schemas.openxmlformats.org/drawingml/2006/picture">
                <pic:pic xmlns:pic="http://schemas.openxmlformats.org/drawingml/2006/picture">
                  <pic:nvPicPr>
                    <pic:cNvPr id="70" name="Picture" descr="combined_analysis_figure.pdf"/>
                    <pic:cNvPicPr>
                      <a:picLocks noChangeAspect="1" noChangeArrowheads="1"/>
                    </pic:cNvPicPr>
                  </pic:nvPicPr>
                  <pic:blipFill>
                    <a:blip r:embed="rId9"/>
                    <a:stretch>
                      <a:fillRect/>
                    </a:stretch>
                  </pic:blipFill>
                  <pic:spPr bwMode="auto">
                    <a:xfrm>
                      <a:off x="0" y="0"/>
                      <a:ext cx="5486400" cy="6125919"/>
                    </a:xfrm>
                    <a:prstGeom prst="rect">
                      <a:avLst/>
                    </a:prstGeom>
                    <a:noFill/>
                    <a:ln w="9525">
                      <a:noFill/>
                      <a:headEnd/>
                      <a:tailEnd/>
                    </a:ln>
                  </pic:spPr>
                </pic:pic>
              </a:graphicData>
            </a:graphic>
          </wp:inline>
        </w:drawing>
      </w:r>
    </w:p>
    <w:p w14:paraId="65D8DE65" w14:textId="77777777" w:rsidR="0065117B" w:rsidRDefault="00000000">
      <w:pPr>
        <w:pStyle w:val="ImageCaption"/>
      </w:pPr>
      <w:bookmarkStart w:id="95" w:name="_Toc214939469"/>
      <w:r>
        <w:t xml:space="preserve">Figure 5: </w:t>
      </w:r>
      <w:r>
        <w:rPr>
          <w:b/>
          <w:bCs/>
        </w:rPr>
        <w:t>Performance and utility across source and target domains.</w:t>
      </w:r>
      <w:r>
        <w:t xml:space="preserve"> </w:t>
      </w:r>
      <w:r>
        <w:rPr>
          <w:b/>
          <w:bCs/>
        </w:rPr>
        <w:t>a,b</w:t>
      </w:r>
      <w:r>
        <w:t xml:space="preserve"> ROC curves. </w:t>
      </w:r>
      <w:r>
        <w:rPr>
          <w:b/>
          <w:bCs/>
        </w:rPr>
        <w:t>c,d</w:t>
      </w:r>
      <w:r>
        <w:t xml:space="preserve"> Calibration plots. </w:t>
      </w:r>
      <w:r>
        <w:rPr>
          <w:b/>
          <w:bCs/>
        </w:rPr>
        <w:t>e,f</w:t>
      </w:r>
      <w:r>
        <w:t xml:space="preserve"> Decision curves.</w:t>
      </w:r>
      <w:bookmarkEnd w:id="95"/>
    </w:p>
    <w:p w14:paraId="4BD8BA95" w14:textId="77777777" w:rsidR="0065117B" w:rsidRDefault="00000000">
      <w:pPr>
        <w:pStyle w:val="1"/>
      </w:pPr>
      <w:bookmarkStart w:id="96" w:name="sec:conclusion"/>
      <w:bookmarkStart w:id="97" w:name="_Toc214939511"/>
      <w:bookmarkEnd w:id="74"/>
      <w:bookmarkEnd w:id="90"/>
      <w:bookmarkEnd w:id="94"/>
      <w:r>
        <w:t>Conclusion</w:t>
      </w:r>
      <w:bookmarkEnd w:id="97"/>
    </w:p>
    <w:p w14:paraId="547AC390" w14:textId="77777777" w:rsidR="0065117B" w:rsidRDefault="00000000">
      <w:pPr>
        <w:pStyle w:val="FirstParagraph"/>
      </w:pPr>
      <w:r>
        <w:t xml:space="preserve">This work links pre-trained tabular foundation models with domain adaptation to address long-standing issues in tabular learning under distribution shift. PANDA suggests that foundation-model priors and statistical alignment can reinforce one another, helping models generalize from scarce, heterogeneous samples where standard supervised </w:t>
      </w:r>
      <w:r>
        <w:lastRenderedPageBreak/>
        <w:t>approaches often stumble. The evidence is not sweeping, but it does point toward a practical recipe rather than a one-off trick.</w:t>
      </w:r>
    </w:p>
    <w:p w14:paraId="04AD5890" w14:textId="77777777" w:rsidR="0065117B" w:rsidRDefault="00000000">
      <w:pPr>
        <w:pStyle w:val="a0"/>
      </w:pPr>
      <w:r>
        <w:t>Several methodological themes stand out. Pre-trained representations reduce the effective sample burden, letting high-capacity models behave sensibly in low-data regimes. Cross-domain feature selection pinpoints predictors that consistently transfer between sites, which makes alignment less fragile. Embedding TCA into these smoother representation spaces also seems to make domain transitions more workable. Taken together, these pieces outline a reasonable blueprint for adapting pre-trained tabular models across domains without relying on abundant labels.</w:t>
      </w:r>
    </w:p>
    <w:p w14:paraId="092B3959" w14:textId="77777777" w:rsidR="0065117B" w:rsidRDefault="00000000">
      <w:pPr>
        <w:pStyle w:val="a0"/>
      </w:pPr>
      <w:r>
        <w:t>Beyond pulmonary nodules, the same ingredients likely extend to other structured settings with small samples and noticeable shift–financial risk scores that change across branches, industrial monitoring when sensors drift, or hospital-adjacent analytics where coding practices evolve. PANDA is meant as a reusable template that treats pre-trained representations as portable priors rather than site-specific quirks.</w:t>
      </w:r>
    </w:p>
    <w:p w14:paraId="5A43C52D" w14:textId="77777777" w:rsidR="0065117B" w:rsidRDefault="00000000">
      <w:pPr>
        <w:pStyle w:val="a0"/>
      </w:pPr>
      <w:r>
        <w:t>The claims about smoother representations, feature-selection interactions, and reduced sample complexity align with the observed reduction in discrepancy and the improved external performance, hinting that pre-trained tabular models may broaden what is feasible in domain adaptation.</w:t>
      </w:r>
    </w:p>
    <w:p w14:paraId="74F031E0" w14:textId="77777777" w:rsidR="0065117B" w:rsidRDefault="00000000">
      <w:pPr>
        <w:pStyle w:val="a0"/>
      </w:pPr>
      <w:r>
        <w:t>Open questions remain: scaling to larger tabular foundation models, moving toward multimodal pre-training, tightening feature selection for distributional robustness, and handling continual shift. As tabular models mature, pairing them with principled alignment may redefine how we handle shift.</w:t>
      </w:r>
    </w:p>
    <w:p w14:paraId="3DB6591C" w14:textId="77777777" w:rsidR="0065117B" w:rsidRDefault="00000000">
      <w:pPr>
        <w:pStyle w:val="a0"/>
      </w:pPr>
      <w:r>
        <w:t>In sum, PANDA frames tabular domain adaptation around pre-trained representations that support cross-domain generalization, aiming for deployments where shift is the rule rather than the exception.</w:t>
      </w:r>
    </w:p>
    <w:p w14:paraId="17854EE2" w14:textId="77777777" w:rsidR="0065117B" w:rsidRDefault="00000000">
      <w:pPr>
        <w:pStyle w:val="1"/>
      </w:pPr>
      <w:bookmarkStart w:id="98" w:name="acknowledgements"/>
      <w:bookmarkStart w:id="99" w:name="_Toc214939512"/>
      <w:bookmarkEnd w:id="96"/>
      <w:r>
        <w:t>Acknowledgements</w:t>
      </w:r>
      <w:bookmarkEnd w:id="99"/>
    </w:p>
    <w:p w14:paraId="702FE10E" w14:textId="77777777" w:rsidR="0065117B" w:rsidRDefault="00000000">
      <w:pPr>
        <w:pStyle w:val="FirstParagraph"/>
      </w:pPr>
      <w:r>
        <w:t>I thank the clinical teams at the participating hospitals for sharing de-identified data and domain expertise, my advisor Wenqi Fan for steady guidance, and Bobo for patient and practical advice. Any remaining mistakes are mine.</w:t>
      </w:r>
    </w:p>
    <w:p w14:paraId="77D9D5B0" w14:textId="77777777" w:rsidR="0065117B" w:rsidRDefault="00000000">
      <w:pPr>
        <w:pStyle w:val="a9"/>
      </w:pPr>
      <w:bookmarkStart w:id="100" w:name="ref-swensen1997chest"/>
      <w:bookmarkStart w:id="101" w:name="refs"/>
      <w:r>
        <w:t xml:space="preserve">[1] </w:t>
      </w:r>
      <w:r>
        <w:tab/>
        <w:t>Swensen SJ, Silverstein MD, Ilstrup DM, Schleck CD, Edell ES 1997. The probability of malignancy in solitary pulmonary nodules: Application to clinical practice. Chest.111:228–234</w:t>
      </w:r>
    </w:p>
    <w:p w14:paraId="7AE7A7A9" w14:textId="77777777" w:rsidR="0065117B" w:rsidRDefault="00000000">
      <w:pPr>
        <w:pStyle w:val="a9"/>
      </w:pPr>
      <w:bookmarkStart w:id="102" w:name="ref-gould2007clinical"/>
      <w:bookmarkEnd w:id="100"/>
      <w:r>
        <w:t xml:space="preserve">[2] </w:t>
      </w:r>
      <w:r>
        <w:tab/>
        <w:t>Gould MK, Ananth L, Barnett PG, others 2007. Clinical prediction of 1-year survival for patients with lung cancer. Chest.132:872–880</w:t>
      </w:r>
    </w:p>
    <w:p w14:paraId="2417FFCC" w14:textId="77777777" w:rsidR="0065117B" w:rsidRDefault="00000000">
      <w:pPr>
        <w:pStyle w:val="a9"/>
      </w:pPr>
      <w:bookmarkStart w:id="103" w:name="ref-cui_comparison_2019"/>
      <w:bookmarkEnd w:id="102"/>
      <w:r>
        <w:t xml:space="preserve">[3] </w:t>
      </w:r>
      <w:r>
        <w:tab/>
        <w:t xml:space="preserve">Cui X, Heuvelmans MA, Han D, Zhao Y, Fan S, Zheng S, Sidorenkov G, Groen HJM, Dorrius MD, Oudkerk M, Bock GH de, Vliegenthart R, Ye Z 2019. </w:t>
      </w:r>
      <w:hyperlink r:id="rId10">
        <w:r>
          <w:rPr>
            <w:rStyle w:val="af"/>
          </w:rPr>
          <w:t xml:space="preserve">Comparison of veterans affairs, mayo, brock classification models and radiologist diagnosis for </w:t>
        </w:r>
        <w:r>
          <w:rPr>
            <w:rStyle w:val="af"/>
          </w:rPr>
          <w:lastRenderedPageBreak/>
          <w:t>classifying the malignancy of pulmonary nodules in chinese clinical population</w:t>
        </w:r>
      </w:hyperlink>
      <w:r>
        <w:t>. Translational Lung Cancer Research.8:</w:t>
      </w:r>
    </w:p>
    <w:p w14:paraId="47BD0342" w14:textId="77777777" w:rsidR="0065117B" w:rsidRDefault="00000000">
      <w:pPr>
        <w:pStyle w:val="a9"/>
      </w:pPr>
      <w:bookmarkStart w:id="104" w:name="ref-hassani_radiomics_2019"/>
      <w:bookmarkEnd w:id="103"/>
      <w:r>
        <w:t xml:space="preserve">[4] </w:t>
      </w:r>
      <w:r>
        <w:tab/>
        <w:t xml:space="preserve">Hassani C, Varghese BA, Nieva J, Duddalwar V 2019. </w:t>
      </w:r>
      <w:hyperlink r:id="rId11">
        <w:r>
          <w:rPr>
            <w:rStyle w:val="af"/>
          </w:rPr>
          <w:t>Radiomics in pulmonary lesion imaging</w:t>
        </w:r>
      </w:hyperlink>
      <w:r>
        <w:t>. American Journal of Roentgenology.212:497–504</w:t>
      </w:r>
    </w:p>
    <w:p w14:paraId="3932E620" w14:textId="77777777" w:rsidR="0065117B" w:rsidRDefault="00000000">
      <w:pPr>
        <w:pStyle w:val="a9"/>
      </w:pPr>
      <w:bookmarkStart w:id="105" w:name="ref-lin_combined_2024"/>
      <w:bookmarkEnd w:id="104"/>
      <w:r>
        <w:t xml:space="preserve">[5] </w:t>
      </w:r>
      <w:r>
        <w:tab/>
        <w:t xml:space="preserve">Lin C-Y, Guo S-M, Lien J-JJ, Lin W-T, Liu Y-S, Lai C-H, Hsu I-L, Chang C-C, Tseng Y-L 2024. </w:t>
      </w:r>
      <w:hyperlink r:id="rId12">
        <w:r>
          <w:rPr>
            <w:rStyle w:val="af"/>
          </w:rPr>
          <w:t>Combined model integrating deep learning, radiomics, and clinical data to classify lung nodules at chest CT</w:t>
        </w:r>
      </w:hyperlink>
      <w:r>
        <w:t>. Radiol med.129:56–69</w:t>
      </w:r>
    </w:p>
    <w:p w14:paraId="70B329B8" w14:textId="77777777" w:rsidR="0065117B" w:rsidRDefault="00000000">
      <w:pPr>
        <w:pStyle w:val="a9"/>
      </w:pPr>
      <w:bookmarkStart w:id="106" w:name="ref-hollmann2025accurate"/>
      <w:bookmarkEnd w:id="105"/>
      <w:r>
        <w:t xml:space="preserve">[6] </w:t>
      </w:r>
      <w:r>
        <w:tab/>
        <w:t>Hollmann N, Müller S, Purucker L, Krishnakumar A, Körfer M, Hoo SB, Schirrmeister RT, Hutter F 2025. Accurate predictions on small data with a tabular foundation model. Nature.637:319–326</w:t>
      </w:r>
    </w:p>
    <w:p w14:paraId="24547EB7" w14:textId="77777777" w:rsidR="0065117B" w:rsidRDefault="00000000">
      <w:pPr>
        <w:pStyle w:val="a9"/>
      </w:pPr>
      <w:bookmarkStart w:id="107" w:name="ref-zech_variable_2018"/>
      <w:bookmarkEnd w:id="106"/>
      <w:r>
        <w:t xml:space="preserve">[7] </w:t>
      </w:r>
      <w:r>
        <w:tab/>
        <w:t xml:space="preserve">Zech JR, Badgeley MA, Liu M, Costa AB, Titano JJ, Oermann EK 2018. </w:t>
      </w:r>
      <w:hyperlink r:id="rId13">
        <w:r>
          <w:rPr>
            <w:rStyle w:val="af"/>
          </w:rPr>
          <w:t>Variable generalization performance of a deep learning model to detect pneumonia in chest radiographs: A cross-sectional study</w:t>
        </w:r>
      </w:hyperlink>
      <w:r>
        <w:t>. PLOS Medicine.15:e1002683</w:t>
      </w:r>
    </w:p>
    <w:p w14:paraId="588E0A85" w14:textId="77777777" w:rsidR="0065117B" w:rsidRDefault="00000000">
      <w:pPr>
        <w:pStyle w:val="a9"/>
      </w:pPr>
      <w:bookmarkStart w:id="108" w:name="ref-guan2021domain"/>
      <w:bookmarkEnd w:id="107"/>
      <w:r>
        <w:t xml:space="preserve">[8] </w:t>
      </w:r>
      <w:r>
        <w:tab/>
        <w:t>Guan H, Liu M 2021. Domain adaptation for medical image analysis: A survey. IEEE Transactions on Biomedical Engineering.69:1173–1185</w:t>
      </w:r>
    </w:p>
    <w:p w14:paraId="5C367A90" w14:textId="77777777" w:rsidR="0065117B" w:rsidRDefault="00000000">
      <w:pPr>
        <w:pStyle w:val="a9"/>
      </w:pPr>
      <w:bookmarkStart w:id="109" w:name="ref-guo_evaluation_2022"/>
      <w:bookmarkEnd w:id="108"/>
      <w:r>
        <w:t xml:space="preserve">[9] </w:t>
      </w:r>
      <w:r>
        <w:tab/>
        <w:t xml:space="preserve">Guo LL, Pfohl SR, Fries J, Johnson AEW, Posada J, Aftandilian C, Shah N, Sung L 2022. </w:t>
      </w:r>
      <w:hyperlink r:id="rId14">
        <w:r>
          <w:rPr>
            <w:rStyle w:val="af"/>
          </w:rPr>
          <w:t>Evaluation of domain generalization and adaptation on improving model robustness to temporal dataset shift in clinical medicine</w:t>
        </w:r>
      </w:hyperlink>
      <w:r>
        <w:t>. Scientific Reports.12:2726</w:t>
      </w:r>
    </w:p>
    <w:p w14:paraId="3108D5E2" w14:textId="77777777" w:rsidR="0065117B" w:rsidRDefault="00000000">
      <w:pPr>
        <w:pStyle w:val="a9"/>
      </w:pPr>
      <w:bookmarkStart w:id="110" w:name="ref-schneider2024foundation"/>
      <w:bookmarkEnd w:id="109"/>
      <w:r>
        <w:t xml:space="preserve">[10] </w:t>
      </w:r>
      <w:r>
        <w:tab/>
        <w:t>Schneider J, Meske C, Kuss P 2024. Foundation models: A new paradigm for artificial intelligence. Business &amp; Information Systems Engineering.66:221–231</w:t>
      </w:r>
    </w:p>
    <w:p w14:paraId="3B020456" w14:textId="77777777" w:rsidR="0065117B" w:rsidRDefault="00000000">
      <w:pPr>
        <w:pStyle w:val="a9"/>
      </w:pPr>
      <w:bookmarkStart w:id="111" w:name="ref-borisov2022deep"/>
      <w:bookmarkEnd w:id="110"/>
      <w:r>
        <w:t xml:space="preserve">[11] </w:t>
      </w:r>
      <w:r>
        <w:tab/>
        <w:t>Borisov V, Leemann T, Selegue P, Miotto R, May M, Züfle A 2022. Deep neural networks and tabular data: A survey. IEEE Transactions on Neural Networks and Learning Systems.33:4472–4492</w:t>
      </w:r>
    </w:p>
    <w:p w14:paraId="576D2AC9" w14:textId="77777777" w:rsidR="0065117B" w:rsidRDefault="00000000">
      <w:pPr>
        <w:pStyle w:val="a9"/>
      </w:pPr>
      <w:bookmarkStart w:id="112" w:name="ref-chen2016xgboost"/>
      <w:bookmarkEnd w:id="111"/>
      <w:r>
        <w:t xml:space="preserve">[12] </w:t>
      </w:r>
      <w:r>
        <w:tab/>
        <w:t>Chen T, Guestrin C 2016. Xgboost: A scalable tree boosting system. Proceedings of the 22nd acm sigkdd international conference on knowledge discovery and data mining.785–794</w:t>
      </w:r>
    </w:p>
    <w:p w14:paraId="120F4F2B" w14:textId="77777777" w:rsidR="0065117B" w:rsidRDefault="00000000">
      <w:pPr>
        <w:pStyle w:val="a9"/>
      </w:pPr>
      <w:bookmarkStart w:id="113" w:name="ref-arik2021tabnet"/>
      <w:bookmarkEnd w:id="112"/>
      <w:r>
        <w:t xml:space="preserve">[13] </w:t>
      </w:r>
      <w:r>
        <w:tab/>
        <w:t>Arik SO, Pfister T 2021. TabNet: Attentive interpretable tabular learning. Proceedings of the AAAI conference on artificial intelligence.35:6679–6687</w:t>
      </w:r>
    </w:p>
    <w:p w14:paraId="705CD88B" w14:textId="77777777" w:rsidR="0065117B" w:rsidRDefault="00000000">
      <w:pPr>
        <w:pStyle w:val="a9"/>
      </w:pPr>
      <w:bookmarkStart w:id="114" w:name="ref-huang2020tabtransformer"/>
      <w:bookmarkEnd w:id="113"/>
      <w:r>
        <w:t xml:space="preserve">[14] </w:t>
      </w:r>
      <w:r>
        <w:tab/>
        <w:t>Huang X, Khetan A, Cvitkovic M, Karnin Z 2020. TabTransformer: Tabular data modeling using contextual embeddings. Advances in neural information processing systems.33:14914–14925</w:t>
      </w:r>
    </w:p>
    <w:p w14:paraId="34EC47FB" w14:textId="77777777" w:rsidR="0065117B" w:rsidRDefault="00000000">
      <w:pPr>
        <w:pStyle w:val="a9"/>
      </w:pPr>
      <w:bookmarkStart w:id="115" w:name="ref-somepalli2021saint"/>
      <w:bookmarkEnd w:id="114"/>
      <w:r>
        <w:t xml:space="preserve">[15] </w:t>
      </w:r>
      <w:r>
        <w:tab/>
        <w:t>Somepalli G, Goldblum M, Schwarzschild A, Bruss CB, Goldstein T 2021. Saint: Improved neural networks for tabular data via row attention and contrastive pre-training. arXiv preprint arXiv:2106.01342.</w:t>
      </w:r>
    </w:p>
    <w:p w14:paraId="679228D8" w14:textId="77777777" w:rsidR="0065117B" w:rsidRDefault="00000000">
      <w:pPr>
        <w:pStyle w:val="a9"/>
      </w:pPr>
      <w:bookmarkStart w:id="116" w:name="ref-gorishniy2021revisiting"/>
      <w:bookmarkEnd w:id="115"/>
      <w:r>
        <w:t xml:space="preserve">[16] </w:t>
      </w:r>
      <w:r>
        <w:tab/>
        <w:t>Gorishniy Y, Rubachev I, Khrulkov V, Babenko A 2021. Revisiting deep learning models for tabular data. Advances in neural information processing systems.34:18932–18943</w:t>
      </w:r>
    </w:p>
    <w:p w14:paraId="6D35DD4D" w14:textId="77777777" w:rsidR="0065117B" w:rsidRDefault="00000000">
      <w:pPr>
        <w:pStyle w:val="a9"/>
      </w:pPr>
      <w:bookmarkStart w:id="117" w:name="ref-hollmann_accurate_2025"/>
      <w:bookmarkEnd w:id="116"/>
      <w:r>
        <w:lastRenderedPageBreak/>
        <w:t xml:space="preserve">[17] </w:t>
      </w:r>
      <w:r>
        <w:tab/>
        <w:t xml:space="preserve">Hollmann N, Müller S, Purucker L, Krishnakumar A, Körfer M, Hoo SB, Schirrmeister RT, Hutter F 2025. </w:t>
      </w:r>
      <w:hyperlink r:id="rId15">
        <w:r>
          <w:rPr>
            <w:rStyle w:val="af"/>
          </w:rPr>
          <w:t>Accurate predictions on small data with a tabular foundation model</w:t>
        </w:r>
      </w:hyperlink>
      <w:r>
        <w:t>. Nature.637:319–326</w:t>
      </w:r>
    </w:p>
    <w:p w14:paraId="4677D652" w14:textId="77777777" w:rsidR="0065117B" w:rsidRDefault="00000000">
      <w:pPr>
        <w:pStyle w:val="a9"/>
      </w:pPr>
      <w:bookmarkStart w:id="118" w:name="ref-noauthor_pdf_2025"/>
      <w:bookmarkEnd w:id="117"/>
      <w:r>
        <w:t xml:space="preserve">[18] </w:t>
      </w:r>
      <w:r>
        <w:tab/>
        <w:t xml:space="preserve">2025. </w:t>
      </w:r>
      <w:hyperlink r:id="rId16">
        <w:r>
          <w:rPr>
            <w:rStyle w:val="af"/>
          </w:rPr>
          <w:t>(PDF) TabPFN-2.5: Advancing the state of the art in tabular foundation models. ResearchGate</w:t>
        </w:r>
      </w:hyperlink>
      <w:r>
        <w:t xml:space="preserve">. </w:t>
      </w:r>
    </w:p>
    <w:p w14:paraId="7E65F1A9" w14:textId="77777777" w:rsidR="0065117B" w:rsidRDefault="00000000">
      <w:pPr>
        <w:pStyle w:val="a9"/>
      </w:pPr>
      <w:bookmarkStart w:id="119" w:name="ref-noauthor_closer_nodate"/>
      <w:bookmarkEnd w:id="118"/>
      <w:r>
        <w:t xml:space="preserve">[19] </w:t>
      </w:r>
      <w:r>
        <w:tab/>
      </w:r>
      <w:hyperlink r:id="rId17">
        <w:r>
          <w:rPr>
            <w:rStyle w:val="af"/>
          </w:rPr>
          <w:t>A closer look at TabPFN v2: Strength, limitation, and extension</w:t>
        </w:r>
      </w:hyperlink>
      <w:r>
        <w:t xml:space="preserve">. </w:t>
      </w:r>
    </w:p>
    <w:p w14:paraId="27F4D37C" w14:textId="77777777" w:rsidR="0065117B" w:rsidRDefault="00000000">
      <w:pPr>
        <w:pStyle w:val="a9"/>
      </w:pPr>
      <w:bookmarkStart w:id="120" w:name="ref-noauthor_realistic_nodate"/>
      <w:bookmarkEnd w:id="119"/>
      <w:r>
        <w:t xml:space="preserve">[20] </w:t>
      </w:r>
      <w:r>
        <w:tab/>
      </w:r>
      <w:hyperlink r:id="rId18">
        <w:r>
          <w:rPr>
            <w:rStyle w:val="af"/>
          </w:rPr>
          <w:t>Realistic evaluation of TabPFN v2 in open environments</w:t>
        </w:r>
      </w:hyperlink>
      <w:r>
        <w:t xml:space="preserve">. </w:t>
      </w:r>
    </w:p>
    <w:p w14:paraId="766215E2" w14:textId="77777777" w:rsidR="0065117B" w:rsidRDefault="00000000">
      <w:pPr>
        <w:pStyle w:val="a9"/>
      </w:pPr>
      <w:bookmarkStart w:id="121" w:name="ref-helli_drift-resilient_2024"/>
      <w:bookmarkEnd w:id="120"/>
      <w:r>
        <w:t xml:space="preserve">[21] </w:t>
      </w:r>
      <w:r>
        <w:tab/>
        <w:t xml:space="preserve">Helli K, Schnurr D, Hollmann N, Müller S, Hutter F 2024. </w:t>
      </w:r>
      <w:hyperlink r:id="rId19">
        <w:r>
          <w:rPr>
            <w:rStyle w:val="af"/>
          </w:rPr>
          <w:t>Drift-resilient TabPFN: In-context learning temporal distribution shifts on tabular data</w:t>
        </w:r>
      </w:hyperlink>
      <w:r>
        <w:t xml:space="preserve">. </w:t>
      </w:r>
    </w:p>
    <w:p w14:paraId="2BEE7723" w14:textId="77777777" w:rsidR="0065117B" w:rsidRDefault="00000000">
      <w:pPr>
        <w:pStyle w:val="a9"/>
      </w:pPr>
      <w:bookmarkStart w:id="122" w:name="X60a9a1bcb93ef50ea8b7bc291808839e814cc23"/>
      <w:bookmarkEnd w:id="121"/>
      <w:r>
        <w:t xml:space="preserve">[22] </w:t>
      </w:r>
      <w:r>
        <w:tab/>
        <w:t xml:space="preserve">2025. </w:t>
      </w:r>
      <w:hyperlink r:id="rId20">
        <w:r>
          <w:rPr>
            <w:rStyle w:val="af"/>
          </w:rPr>
          <w:t>Automl/drift-resilient_TabPFN</w:t>
        </w:r>
      </w:hyperlink>
      <w:r>
        <w:t xml:space="preserve">. </w:t>
      </w:r>
    </w:p>
    <w:p w14:paraId="765D531A" w14:textId="77777777" w:rsidR="0065117B" w:rsidRDefault="00000000">
      <w:pPr>
        <w:pStyle w:val="a9"/>
      </w:pPr>
      <w:bookmarkStart w:id="123" w:name="ref-eremeev_turning_2025"/>
      <w:bookmarkEnd w:id="122"/>
      <w:r>
        <w:t xml:space="preserve">[23] </w:t>
      </w:r>
      <w:r>
        <w:tab/>
        <w:t xml:space="preserve">Eremeev D, Bazhenov G, Platonov O, Babenko A, Prokhorenkova L 2025. </w:t>
      </w:r>
      <w:hyperlink r:id="rId21">
        <w:r>
          <w:rPr>
            <w:rStyle w:val="af"/>
          </w:rPr>
          <w:t>Turning tabular foundation models into graph foundation models</w:t>
        </w:r>
      </w:hyperlink>
      <w:r>
        <w:t xml:space="preserve">. </w:t>
      </w:r>
    </w:p>
    <w:p w14:paraId="754A0108" w14:textId="77777777" w:rsidR="0065117B" w:rsidRDefault="00000000">
      <w:pPr>
        <w:pStyle w:val="a9"/>
      </w:pPr>
      <w:bookmarkStart w:id="124" w:name="ref-zhang_adadiag_2022"/>
      <w:bookmarkEnd w:id="123"/>
      <w:r>
        <w:t xml:space="preserve">[24] </w:t>
      </w:r>
      <w:r>
        <w:tab/>
        <w:t xml:space="preserve">Zhang T, Chen M, Bui AAT 2022. </w:t>
      </w:r>
      <w:hyperlink r:id="rId22">
        <w:r>
          <w:rPr>
            <w:rStyle w:val="af"/>
          </w:rPr>
          <w:t>AdaDiag: Adversarial domain adaptation of diagnostic prediction with clinical event sequences</w:t>
        </w:r>
      </w:hyperlink>
      <w:r>
        <w:t>. J Biomed Inform.134:104168</w:t>
      </w:r>
    </w:p>
    <w:p w14:paraId="33168206" w14:textId="77777777" w:rsidR="0065117B" w:rsidRDefault="00000000">
      <w:pPr>
        <w:pStyle w:val="a9"/>
      </w:pPr>
      <w:bookmarkStart w:id="125" w:name="Xd20ec9efaf7cad77fe2665a3b298a644c8be26c"/>
      <w:bookmarkEnd w:id="124"/>
      <w:r>
        <w:t xml:space="preserve">[25] </w:t>
      </w:r>
      <w:r>
        <w:tab/>
        <w:t xml:space="preserve">Sun B, Feng J, Saenko K 2016. </w:t>
      </w:r>
      <w:hyperlink r:id="rId23">
        <w:r>
          <w:rPr>
            <w:rStyle w:val="af"/>
          </w:rPr>
          <w:t>Correlation alignment for unsupervised domain adaptation</w:t>
        </w:r>
      </w:hyperlink>
      <w:r>
        <w:t xml:space="preserve">. </w:t>
      </w:r>
    </w:p>
    <w:p w14:paraId="0186EC3C" w14:textId="77777777" w:rsidR="0065117B" w:rsidRDefault="00000000">
      <w:pPr>
        <w:pStyle w:val="a9"/>
      </w:pPr>
      <w:bookmarkStart w:id="126" w:name="ref-gardner_benchmarking_2024"/>
      <w:bookmarkEnd w:id="125"/>
      <w:r>
        <w:t xml:space="preserve">[26] </w:t>
      </w:r>
      <w:r>
        <w:tab/>
        <w:t xml:space="preserve">Gardner J, Popovic Z, Schmidt L 2024. </w:t>
      </w:r>
      <w:hyperlink r:id="rId24">
        <w:r>
          <w:rPr>
            <w:rStyle w:val="af"/>
          </w:rPr>
          <w:t>Benchmarking distribution shift in tabular data with TableShift</w:t>
        </w:r>
      </w:hyperlink>
      <w:r>
        <w:t xml:space="preserve">. </w:t>
      </w:r>
    </w:p>
    <w:p w14:paraId="30217B49" w14:textId="77777777" w:rsidR="0065117B" w:rsidRDefault="00000000">
      <w:pPr>
        <w:pStyle w:val="a9"/>
      </w:pPr>
      <w:bookmarkStart w:id="127" w:name="X4f9f0e8a6fc6d4d5516fc073f21d764bfed9221"/>
      <w:bookmarkEnd w:id="126"/>
      <w:r>
        <w:t xml:space="preserve">[27] </w:t>
      </w:r>
      <w:r>
        <w:tab/>
      </w:r>
      <w:hyperlink r:id="rId25">
        <w:r>
          <w:rPr>
            <w:rStyle w:val="af"/>
          </w:rPr>
          <w:t>Mlfoundations/tableshift: A benchmark for distribution shift in tabular data</w:t>
        </w:r>
      </w:hyperlink>
      <w:r>
        <w:t xml:space="preserve">. </w:t>
      </w:r>
    </w:p>
    <w:p w14:paraId="0F836FEC" w14:textId="77777777" w:rsidR="0065117B" w:rsidRDefault="00000000">
      <w:pPr>
        <w:pStyle w:val="a9"/>
      </w:pPr>
      <w:bookmarkStart w:id="128" w:name="ref-aritake_unsupervised_2022"/>
      <w:bookmarkEnd w:id="127"/>
      <w:r>
        <w:t xml:space="preserve">[28] </w:t>
      </w:r>
      <w:r>
        <w:tab/>
        <w:t xml:space="preserve">Aritake T, Hino H 2022. </w:t>
      </w:r>
      <w:hyperlink r:id="rId26">
        <w:r>
          <w:rPr>
            <w:rStyle w:val="af"/>
          </w:rPr>
          <w:t>Unsupervised domain adaptation for extra features in the target domain using optimal transport</w:t>
        </w:r>
      </w:hyperlink>
      <w:r>
        <w:t xml:space="preserve">. </w:t>
      </w:r>
    </w:p>
    <w:p w14:paraId="40696BE4" w14:textId="77777777" w:rsidR="0065117B" w:rsidRDefault="00000000">
      <w:pPr>
        <w:pStyle w:val="a9"/>
      </w:pPr>
      <w:bookmarkStart w:id="129" w:name="ref-orouji_domain_nodate"/>
      <w:bookmarkEnd w:id="128"/>
      <w:r>
        <w:t xml:space="preserve">[29] </w:t>
      </w:r>
      <w:r>
        <w:tab/>
        <w:t xml:space="preserve">Orouji S, Liu MC, Korem T, Peters MAK </w:t>
      </w:r>
      <w:hyperlink r:id="rId27">
        <w:r>
          <w:rPr>
            <w:rStyle w:val="af"/>
          </w:rPr>
          <w:t>Domain adaptation in small-scale and heterogeneous biological datasets</w:t>
        </w:r>
      </w:hyperlink>
      <w:r>
        <w:t>. Sci Adv.10:eadp6040</w:t>
      </w:r>
    </w:p>
    <w:p w14:paraId="275CE009" w14:textId="77777777" w:rsidR="0065117B" w:rsidRDefault="00000000">
      <w:pPr>
        <w:pStyle w:val="a9"/>
      </w:pPr>
      <w:bookmarkStart w:id="130" w:name="ref-ahn_unsupervised_2023"/>
      <w:bookmarkEnd w:id="129"/>
      <w:r>
        <w:t xml:space="preserve">[30] </w:t>
      </w:r>
      <w:r>
        <w:tab/>
        <w:t xml:space="preserve">Ahn S-H, Kim S, Jeong D-H 2023. </w:t>
      </w:r>
      <w:hyperlink r:id="rId28">
        <w:r>
          <w:rPr>
            <w:rStyle w:val="af"/>
          </w:rPr>
          <w:t>Unsupervised domain adaptation for mitigating sensor variability and interspecies heterogeneity in animal activity recognition</w:t>
        </w:r>
      </w:hyperlink>
      <w:r>
        <w:t>. Animals (Basel).13:3276</w:t>
      </w:r>
    </w:p>
    <w:p w14:paraId="310B7F1B" w14:textId="77777777" w:rsidR="0065117B" w:rsidRDefault="00000000">
      <w:pPr>
        <w:pStyle w:val="a9"/>
      </w:pPr>
      <w:bookmarkStart w:id="131" w:name="ref-kahenga_fedfusion_2025"/>
      <w:bookmarkEnd w:id="130"/>
      <w:r>
        <w:t xml:space="preserve">[31] </w:t>
      </w:r>
      <w:r>
        <w:tab/>
        <w:t xml:space="preserve">Kahenga F, Bagula A, Sello P, Das SK 2025. </w:t>
      </w:r>
      <w:hyperlink r:id="rId29">
        <w:r>
          <w:rPr>
            <w:rStyle w:val="af"/>
          </w:rPr>
          <w:t>FedFusion: Federated learning with diversity- and cluster-aware encoders for robust adaptation under label scarcity</w:t>
        </w:r>
      </w:hyperlink>
      <w:r>
        <w:t xml:space="preserve">. </w:t>
      </w:r>
    </w:p>
    <w:p w14:paraId="2117ED60" w14:textId="77777777" w:rsidR="0065117B" w:rsidRDefault="00000000">
      <w:pPr>
        <w:pStyle w:val="a9"/>
      </w:pPr>
      <w:bookmarkStart w:id="132" w:name="ref-rehman_federated_2023"/>
      <w:bookmarkEnd w:id="131"/>
      <w:r>
        <w:t xml:space="preserve">[32] </w:t>
      </w:r>
      <w:r>
        <w:tab/>
        <w:t xml:space="preserve">Rehman MH ur, Hugo Lopez Pinaya W, Nachev P, Teo JT, Ourselin S, Cardoso MJ 2023. </w:t>
      </w:r>
      <w:hyperlink r:id="rId30">
        <w:r>
          <w:rPr>
            <w:rStyle w:val="af"/>
          </w:rPr>
          <w:t>Federated learning for medical imaging radiology</w:t>
        </w:r>
      </w:hyperlink>
      <w:r>
        <w:t>. Br J Radiol.96:20220890</w:t>
      </w:r>
    </w:p>
    <w:p w14:paraId="2DFA490D" w14:textId="77777777" w:rsidR="0065117B" w:rsidRDefault="00000000">
      <w:pPr>
        <w:pStyle w:val="a9"/>
      </w:pPr>
      <w:bookmarkStart w:id="133" w:name="ref-mcwilliams2013probability"/>
      <w:bookmarkEnd w:id="132"/>
      <w:r>
        <w:t xml:space="preserve">[33] </w:t>
      </w:r>
      <w:r>
        <w:tab/>
        <w:t>McWilliams A, Tammemagi MC, Mayo JR, Roberts H, Liu G, Soghrati K, Yasufuku K, Martel S, Laberge F, Gingras M, Atsu K, Pastis N, Hett K, Sejpal T, Stewart T, Tsao M-S, Goffin J 2013. Probability of malignancy in pulmonary nodules detected on first screening CT. New England Journal of Medicine.369:910–919</w:t>
      </w:r>
    </w:p>
    <w:p w14:paraId="75D15501" w14:textId="77777777" w:rsidR="0065117B" w:rsidRDefault="00000000">
      <w:pPr>
        <w:pStyle w:val="a9"/>
      </w:pPr>
      <w:bookmarkStart w:id="134" w:name="ref-li_evaluation_2020"/>
      <w:bookmarkEnd w:id="133"/>
      <w:r>
        <w:lastRenderedPageBreak/>
        <w:t xml:space="preserve">[34] </w:t>
      </w:r>
      <w:r>
        <w:tab/>
        <w:t xml:space="preserve">Li Y, Hu H, Wu Z, Yan G, Wu T, Liu S, Chen W, Lu Z 2020. </w:t>
      </w:r>
      <w:hyperlink r:id="rId31">
        <w:r>
          <w:rPr>
            <w:rStyle w:val="af"/>
          </w:rPr>
          <w:t>Evaluation of models for predicting the probability of malignancy in patients with pulmonary nodules</w:t>
        </w:r>
      </w:hyperlink>
      <w:r>
        <w:t>. Biosci Rep.40:BSR20193875</w:t>
      </w:r>
    </w:p>
    <w:p w14:paraId="7AB70D08" w14:textId="77777777" w:rsidR="0065117B" w:rsidRDefault="00000000">
      <w:pPr>
        <w:pStyle w:val="a9"/>
      </w:pPr>
      <w:bookmarkStart w:id="135" w:name="ref-causey_highly_2018"/>
      <w:bookmarkEnd w:id="134"/>
      <w:r>
        <w:t xml:space="preserve">[35] </w:t>
      </w:r>
      <w:r>
        <w:tab/>
        <w:t xml:space="preserve">Causey JL, Zhang J, Ma S, Jiang B, Qualls JA, Politte DG, Prior F, Zhang S, Huang X 2018. </w:t>
      </w:r>
      <w:hyperlink r:id="rId32">
        <w:r>
          <w:rPr>
            <w:rStyle w:val="af"/>
          </w:rPr>
          <w:t>Highly accurate model for prediction of lung nodule malignancy with CT scans</w:t>
        </w:r>
      </w:hyperlink>
      <w:r>
        <w:t>. Sci Rep.8:9286</w:t>
      </w:r>
    </w:p>
    <w:p w14:paraId="5B7BEDE8" w14:textId="77777777" w:rsidR="0065117B" w:rsidRDefault="00000000">
      <w:pPr>
        <w:pStyle w:val="a9"/>
      </w:pPr>
      <w:bookmarkStart w:id="136" w:name="ref-koch2024distribution"/>
      <w:bookmarkEnd w:id="135"/>
      <w:r>
        <w:t xml:space="preserve">[36] </w:t>
      </w:r>
      <w:r>
        <w:tab/>
        <w:t>Koch LM, Baumgartner CF, Berens P 2024. Distribution shift detection for the postmarket surveillance of medical AI algorithms: A retrospective simulation study. NPJ Digital Medicine.7:120</w:t>
      </w:r>
    </w:p>
    <w:p w14:paraId="3C62BCD1" w14:textId="77777777" w:rsidR="0065117B" w:rsidRDefault="00000000">
      <w:pPr>
        <w:pStyle w:val="a9"/>
      </w:pPr>
      <w:bookmarkStart w:id="137" w:name="ref-musa2025addressing"/>
      <w:bookmarkEnd w:id="136"/>
      <w:r>
        <w:t xml:space="preserve">[37] </w:t>
      </w:r>
      <w:r>
        <w:tab/>
        <w:t>Musa A, Prasad R, Hernandez M 2025. Addressing cross-population domain shift in chest x-ray classification through supervised adversarial domain adaptation. Scientific Reports.15:11383</w:t>
      </w:r>
    </w:p>
    <w:p w14:paraId="32F2681B" w14:textId="77777777" w:rsidR="0065117B" w:rsidRDefault="00000000">
      <w:pPr>
        <w:pStyle w:val="a9"/>
      </w:pPr>
      <w:bookmarkStart w:id="138" w:name="X580bbd5a4cb92a3d59368e9e148e5b52805b7cb"/>
      <w:bookmarkEnd w:id="137"/>
      <w:r>
        <w:t xml:space="preserve">[38] </w:t>
      </w:r>
      <w:r>
        <w:tab/>
        <w:t xml:space="preserve">Zhou D, Tong H, Wang L, Liu S, Xiong X, Gan Z, Griffier R, Hejblum B, Liu Y-C, Hong C, Bonzel C-L, Cai T, Pan K, Ho Y-L, Costa L, Panickan VA, Gaziano JM, Mandl K, Jouhet V, Thiebaut R, Xia Z, Cho K, Liao K, Cai T 2025. </w:t>
      </w:r>
      <w:hyperlink r:id="rId33">
        <w:r>
          <w:rPr>
            <w:rStyle w:val="af"/>
          </w:rPr>
          <w:t>Representation learning to advance multi-institutional studies with electronic health record data</w:t>
        </w:r>
      </w:hyperlink>
      <w:r>
        <w:t xml:space="preserve">. </w:t>
      </w:r>
    </w:p>
    <w:p w14:paraId="1890A6E8" w14:textId="77777777" w:rsidR="0065117B" w:rsidRDefault="00000000">
      <w:pPr>
        <w:pStyle w:val="a9"/>
      </w:pPr>
      <w:bookmarkStart w:id="139" w:name="ref-bommasani2021opportunities"/>
      <w:bookmarkEnd w:id="138"/>
      <w:r>
        <w:t xml:space="preserve">[39] </w:t>
      </w:r>
      <w:r>
        <w:tab/>
        <w:t>Bommasani R, Hudson DA, Adeli E, al. et 2021. On the opportunities and risks of foundation models. arXiv preprint arXiv:2108.07258.</w:t>
      </w:r>
    </w:p>
    <w:p w14:paraId="005FD69F" w14:textId="77777777" w:rsidR="0065117B" w:rsidRDefault="00000000">
      <w:pPr>
        <w:pStyle w:val="a9"/>
      </w:pPr>
      <w:bookmarkStart w:id="140" w:name="ref-breiman1984classification"/>
      <w:bookmarkEnd w:id="139"/>
      <w:r>
        <w:t xml:space="preserve">[40] </w:t>
      </w:r>
      <w:r>
        <w:tab/>
        <w:t xml:space="preserve">Breiman L, Friedman J, Olshen RA, Stone CJ 1984. Classification and regression trees. </w:t>
      </w:r>
    </w:p>
    <w:p w14:paraId="77B9380C" w14:textId="77777777" w:rsidR="0065117B" w:rsidRDefault="00000000">
      <w:pPr>
        <w:pStyle w:val="a9"/>
      </w:pPr>
      <w:bookmarkStart w:id="141" w:name="ref-friedman2001greedy"/>
      <w:bookmarkEnd w:id="140"/>
      <w:r>
        <w:t xml:space="preserve">[41] </w:t>
      </w:r>
      <w:r>
        <w:tab/>
        <w:t>Friedman JH 2001. Greedy function approximation: A gradient boosting machine. Annals of statistics.1189–1232</w:t>
      </w:r>
    </w:p>
    <w:p w14:paraId="17A81D99" w14:textId="77777777" w:rsidR="0065117B" w:rsidRDefault="00000000">
      <w:pPr>
        <w:pStyle w:val="a9"/>
      </w:pPr>
      <w:bookmarkStart w:id="142" w:name="ref-breiman2001random"/>
      <w:bookmarkEnd w:id="141"/>
      <w:r>
        <w:t xml:space="preserve">[42] </w:t>
      </w:r>
      <w:r>
        <w:tab/>
        <w:t>Breiman L 2001. Random forests. Machine learning.45:5–32</w:t>
      </w:r>
    </w:p>
    <w:p w14:paraId="27843466" w14:textId="77777777" w:rsidR="0065117B" w:rsidRDefault="00000000">
      <w:pPr>
        <w:pStyle w:val="a9"/>
      </w:pPr>
      <w:bookmarkStart w:id="143" w:name="ref-cortes1995support"/>
      <w:bookmarkEnd w:id="142"/>
      <w:r>
        <w:t xml:space="preserve">[43] </w:t>
      </w:r>
      <w:r>
        <w:tab/>
        <w:t>Cortes C, Vapnik V 1995. Support-vector networks. Machine learning.20:273–297</w:t>
      </w:r>
    </w:p>
    <w:p w14:paraId="15DB0147" w14:textId="77777777" w:rsidR="0065117B" w:rsidRDefault="00000000">
      <w:pPr>
        <w:pStyle w:val="a9"/>
      </w:pPr>
      <w:bookmarkStart w:id="144" w:name="ref-he2021novel"/>
      <w:bookmarkEnd w:id="143"/>
      <w:r>
        <w:t xml:space="preserve">[44] </w:t>
      </w:r>
      <w:r>
        <w:tab/>
        <w:t>He X, Xue N, Liu X, Tang X, Peng S, Qu Y, Jiang L, Xu Q, Liu W, Chen S 2021. A novel clinical model for predicting malignancy of solitary pulmonary nodules: A multicenter study in chinese population. Cancer cell international.21:115</w:t>
      </w:r>
    </w:p>
    <w:p w14:paraId="0DCCBA91" w14:textId="77777777" w:rsidR="0065117B" w:rsidRDefault="00000000">
      <w:pPr>
        <w:pStyle w:val="a9"/>
      </w:pPr>
      <w:bookmarkStart w:id="145" w:name="ref-perandini_solid_2016"/>
      <w:bookmarkEnd w:id="144"/>
      <w:r>
        <w:t xml:space="preserve">[45] </w:t>
      </w:r>
      <w:r>
        <w:tab/>
        <w:t xml:space="preserve">Perandini S, Soardi GA, Motton M, Rossi A, Signorini M, Montemezzi S 2016. </w:t>
      </w:r>
      <w:hyperlink r:id="rId34">
        <w:r>
          <w:rPr>
            <w:rStyle w:val="af"/>
          </w:rPr>
          <w:t>Solid pulmonary nodule risk assessment and decision analysis: Comparison of four prediction models in 285 cases</w:t>
        </w:r>
      </w:hyperlink>
      <w:r>
        <w:t>. Eur Radiol.26:3071–3076</w:t>
      </w:r>
      <w:bookmarkEnd w:id="98"/>
      <w:bookmarkEnd w:id="101"/>
      <w:bookmarkEnd w:id="145"/>
    </w:p>
    <w:sectPr w:rsidR="0065117B">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64AB1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43EF9E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11C051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170CD2DE"/>
    <w:multiLevelType w:val="multilevel"/>
    <w:tmpl w:val="DAB4A67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792095618">
    <w:abstractNumId w:val="3"/>
  </w:num>
  <w:num w:numId="2" w16cid:durableId="919170371">
    <w:abstractNumId w:val="0"/>
  </w:num>
  <w:num w:numId="3" w16cid:durableId="1264529759">
    <w:abstractNumId w:val="1"/>
  </w:num>
  <w:num w:numId="4" w16cid:durableId="15201953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8108369">
    <w:abstractNumId w:val="1"/>
  </w:num>
  <w:num w:numId="6" w16cid:durableId="14459232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A44F0"/>
    <w:rsid w:val="000F2A29"/>
    <w:rsid w:val="00226CA0"/>
    <w:rsid w:val="002A535A"/>
    <w:rsid w:val="002F2F0A"/>
    <w:rsid w:val="00304ECD"/>
    <w:rsid w:val="00313397"/>
    <w:rsid w:val="003D0B7E"/>
    <w:rsid w:val="004E1341"/>
    <w:rsid w:val="005B519B"/>
    <w:rsid w:val="0065117B"/>
    <w:rsid w:val="00661BB9"/>
    <w:rsid w:val="006A44F0"/>
    <w:rsid w:val="007A63DB"/>
    <w:rsid w:val="007B7AE9"/>
    <w:rsid w:val="007E31DB"/>
    <w:rsid w:val="008942F4"/>
    <w:rsid w:val="00991E4B"/>
    <w:rsid w:val="00DA021B"/>
    <w:rsid w:val="00F044A1"/>
    <w:rsid w:val="00F16D1D"/>
    <w:rsid w:val="00F330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C749FF1"/>
  <w15:docId w15:val="{8EC49DC5-6B39-E34A-BC82-3EBA384E9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E1341"/>
    <w:rPr>
      <w:rFonts w:ascii="Times New Roman" w:eastAsia="Times New Roman" w:hAnsi="Times New Roman" w:cs="Times New Roman"/>
      <w:color w:val="000000" w:themeColor="text1"/>
    </w:rPr>
  </w:style>
  <w:style w:type="paragraph" w:styleId="1">
    <w:name w:val="heading 1"/>
    <w:basedOn w:val="a"/>
    <w:next w:val="a0"/>
    <w:link w:val="10"/>
    <w:autoRedefine/>
    <w:uiPriority w:val="9"/>
    <w:qFormat/>
    <w:rsid w:val="004E1341"/>
    <w:pPr>
      <w:keepNext/>
      <w:keepLines/>
      <w:spacing w:before="360" w:after="80"/>
      <w:outlineLvl w:val="0"/>
    </w:pPr>
    <w:rPr>
      <w:sz w:val="40"/>
      <w:szCs w:val="40"/>
    </w:rPr>
  </w:style>
  <w:style w:type="paragraph" w:styleId="2">
    <w:name w:val="heading 2"/>
    <w:basedOn w:val="a"/>
    <w:next w:val="a0"/>
    <w:link w:val="20"/>
    <w:autoRedefine/>
    <w:uiPriority w:val="9"/>
    <w:semiHidden/>
    <w:unhideWhenUsed/>
    <w:qFormat/>
    <w:rsid w:val="00991E4B"/>
    <w:pPr>
      <w:keepNext/>
      <w:keepLines/>
      <w:spacing w:before="160" w:after="80"/>
      <w:outlineLvl w:val="1"/>
    </w:pPr>
    <w:rPr>
      <w:sz w:val="32"/>
      <w:szCs w:val="32"/>
    </w:rPr>
  </w:style>
  <w:style w:type="paragraph" w:styleId="3">
    <w:name w:val="heading 3"/>
    <w:basedOn w:val="a"/>
    <w:next w:val="a0"/>
    <w:link w:val="30"/>
    <w:autoRedefine/>
    <w:uiPriority w:val="9"/>
    <w:semiHidden/>
    <w:unhideWhenUsed/>
    <w:qFormat/>
    <w:rsid w:val="00991E4B"/>
    <w:pPr>
      <w:keepNext/>
      <w:keepLines/>
      <w:spacing w:before="160" w:after="80"/>
      <w:outlineLvl w:val="2"/>
    </w:pPr>
    <w:rPr>
      <w:sz w:val="28"/>
      <w:szCs w:val="28"/>
    </w:rPr>
  </w:style>
  <w:style w:type="paragraph" w:styleId="4">
    <w:name w:val="heading 4"/>
    <w:basedOn w:val="a"/>
    <w:next w:val="a0"/>
    <w:link w:val="40"/>
    <w:autoRedefine/>
    <w:uiPriority w:val="9"/>
    <w:semiHidden/>
    <w:unhideWhenUsed/>
    <w:qFormat/>
    <w:rsid w:val="00F044A1"/>
    <w:pPr>
      <w:keepNext/>
      <w:keepLines/>
      <w:spacing w:before="80" w:after="40"/>
      <w:outlineLvl w:val="3"/>
    </w:pPr>
    <w:rPr>
      <w:i/>
      <w:iCs/>
    </w:rPr>
  </w:style>
  <w:style w:type="paragraph" w:styleId="5">
    <w:name w:val="heading 5"/>
    <w:basedOn w:val="a"/>
    <w:next w:val="a0"/>
    <w:link w:val="50"/>
    <w:autoRedefine/>
    <w:uiPriority w:val="9"/>
    <w:semiHidden/>
    <w:unhideWhenUsed/>
    <w:qFormat/>
    <w:rsid w:val="00F044A1"/>
    <w:pPr>
      <w:keepNext/>
      <w:keepLines/>
      <w:spacing w:before="80" w:after="40"/>
      <w:outlineLvl w:val="4"/>
    </w:pPr>
  </w:style>
  <w:style w:type="paragraph" w:styleId="6">
    <w:name w:val="heading 6"/>
    <w:basedOn w:val="a"/>
    <w:next w:val="a0"/>
    <w:link w:val="60"/>
    <w:autoRedefine/>
    <w:uiPriority w:val="9"/>
    <w:semiHidden/>
    <w:unhideWhenUsed/>
    <w:qFormat/>
    <w:rsid w:val="00F044A1"/>
    <w:pPr>
      <w:keepNext/>
      <w:keepLines/>
      <w:spacing w:before="40" w:after="0"/>
      <w:outlineLvl w:val="5"/>
    </w:pPr>
    <w:rPr>
      <w:i/>
      <w:iCs/>
    </w:rPr>
  </w:style>
  <w:style w:type="paragraph" w:styleId="7">
    <w:name w:val="heading 7"/>
    <w:basedOn w:val="a"/>
    <w:next w:val="a0"/>
    <w:link w:val="70"/>
    <w:autoRedefine/>
    <w:uiPriority w:val="9"/>
    <w:semiHidden/>
    <w:unhideWhenUsed/>
    <w:qFormat/>
    <w:rsid w:val="00F044A1"/>
    <w:pPr>
      <w:keepNext/>
      <w:keepLines/>
      <w:spacing w:before="40" w:after="0"/>
      <w:outlineLvl w:val="6"/>
    </w:pPr>
  </w:style>
  <w:style w:type="paragraph" w:styleId="8">
    <w:name w:val="heading 8"/>
    <w:basedOn w:val="a"/>
    <w:next w:val="a0"/>
    <w:link w:val="80"/>
    <w:autoRedefine/>
    <w:uiPriority w:val="9"/>
    <w:semiHidden/>
    <w:unhideWhenUsed/>
    <w:qFormat/>
    <w:rsid w:val="00F044A1"/>
    <w:pPr>
      <w:keepNext/>
      <w:keepLines/>
      <w:spacing w:after="0"/>
      <w:outlineLvl w:val="7"/>
    </w:pPr>
    <w:rPr>
      <w:i/>
      <w:iCs/>
    </w:rPr>
  </w:style>
  <w:style w:type="paragraph" w:styleId="9">
    <w:name w:val="heading 9"/>
    <w:basedOn w:val="a"/>
    <w:next w:val="a0"/>
    <w:link w:val="90"/>
    <w:autoRedefine/>
    <w:uiPriority w:val="9"/>
    <w:semiHidden/>
    <w:unhideWhenUsed/>
    <w:qFormat/>
    <w:rsid w:val="00F044A1"/>
    <w:pPr>
      <w:keepNext/>
      <w:keepLines/>
      <w:spacing w:after="0"/>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autoRedefine/>
    <w:qFormat/>
    <w:rsid w:val="004E1341"/>
    <w:pPr>
      <w:spacing w:before="180" w:after="180"/>
    </w:pPr>
  </w:style>
  <w:style w:type="paragraph" w:customStyle="1" w:styleId="FirstParagraph">
    <w:name w:val="First Paragraph"/>
    <w:basedOn w:val="a0"/>
    <w:next w:val="a0"/>
    <w:qFormat/>
    <w:rsid w:val="004E1341"/>
  </w:style>
  <w:style w:type="paragraph" w:customStyle="1" w:styleId="Compact">
    <w:name w:val="Compact"/>
    <w:basedOn w:val="a0"/>
    <w:autoRedefine/>
    <w:qFormat/>
    <w:rsid w:val="004E1341"/>
    <w:pPr>
      <w:spacing w:before="36" w:after="36"/>
    </w:pPr>
  </w:style>
  <w:style w:type="paragraph" w:styleId="a4">
    <w:name w:val="Title"/>
    <w:basedOn w:val="a"/>
    <w:next w:val="a0"/>
    <w:link w:val="a5"/>
    <w:autoRedefine/>
    <w:uiPriority w:val="10"/>
    <w:qFormat/>
    <w:rsid w:val="004E1341"/>
    <w:pPr>
      <w:spacing w:after="80"/>
      <w:contextualSpacing/>
      <w:jc w:val="center"/>
    </w:pPr>
    <w:rPr>
      <w:sz w:val="56"/>
      <w:szCs w:val="56"/>
    </w:rPr>
  </w:style>
  <w:style w:type="character" w:customStyle="1" w:styleId="a5">
    <w:name w:val="标题 字符"/>
    <w:basedOn w:val="a1"/>
    <w:link w:val="a4"/>
    <w:uiPriority w:val="10"/>
    <w:rsid w:val="004E1341"/>
    <w:rPr>
      <w:rFonts w:ascii="Times New Roman" w:eastAsia="Times New Roman" w:hAnsi="Times New Roman" w:cs="Times New Roman"/>
      <w:color w:val="000000" w:themeColor="text1"/>
      <w:sz w:val="56"/>
      <w:szCs w:val="56"/>
    </w:rPr>
  </w:style>
  <w:style w:type="paragraph" w:styleId="a6">
    <w:name w:val="Subtitle"/>
    <w:basedOn w:val="a4"/>
    <w:next w:val="a0"/>
    <w:link w:val="a7"/>
    <w:autoRedefine/>
    <w:uiPriority w:val="11"/>
    <w:qFormat/>
    <w:rsid w:val="004E1341"/>
    <w:pPr>
      <w:numPr>
        <w:ilvl w:val="1"/>
      </w:numPr>
    </w:pPr>
    <w:rPr>
      <w:spacing w:val="15"/>
      <w:sz w:val="28"/>
      <w:szCs w:val="28"/>
    </w:rPr>
  </w:style>
  <w:style w:type="character" w:customStyle="1" w:styleId="a7">
    <w:name w:val="副标题 字符"/>
    <w:basedOn w:val="a1"/>
    <w:link w:val="a6"/>
    <w:uiPriority w:val="11"/>
    <w:rsid w:val="004E1341"/>
    <w:rPr>
      <w:rFonts w:ascii="Times New Roman" w:eastAsia="Times New Roman" w:hAnsi="Times New Roman" w:cs="Times New Roman"/>
      <w:color w:val="000000" w:themeColor="text1"/>
      <w:spacing w:val="15"/>
      <w:sz w:val="28"/>
      <w:szCs w:val="28"/>
    </w:rPr>
  </w:style>
  <w:style w:type="paragraph" w:customStyle="1" w:styleId="Author">
    <w:name w:val="Author"/>
    <w:basedOn w:val="a4"/>
    <w:next w:val="a0"/>
    <w:autoRedefine/>
    <w:qFormat/>
    <w:rsid w:val="007B7AE9"/>
    <w:pPr>
      <w:keepNext/>
      <w:keepLines/>
    </w:pPr>
    <w:rPr>
      <w:sz w:val="24"/>
      <w:szCs w:val="24"/>
    </w:rPr>
  </w:style>
  <w:style w:type="paragraph" w:styleId="a8">
    <w:name w:val="Date"/>
    <w:basedOn w:val="a4"/>
    <w:next w:val="a0"/>
    <w:autoRedefine/>
    <w:qFormat/>
    <w:rsid w:val="004E1341"/>
    <w:pPr>
      <w:keepNext/>
      <w:keepLines/>
    </w:pPr>
    <w:rPr>
      <w:sz w:val="24"/>
      <w:szCs w:val="24"/>
    </w:rPr>
  </w:style>
  <w:style w:type="paragraph" w:customStyle="1" w:styleId="AbstractTitle">
    <w:name w:val="Abstract Title"/>
    <w:basedOn w:val="a"/>
    <w:next w:val="Abstract"/>
    <w:autoRedefine/>
    <w:qFormat/>
    <w:rsid w:val="007B7AE9"/>
    <w:pPr>
      <w:keepNext/>
      <w:keepLines/>
      <w:spacing w:before="300" w:after="0"/>
      <w:jc w:val="center"/>
    </w:pPr>
    <w:rPr>
      <w:b/>
      <w:sz w:val="20"/>
      <w:szCs w:val="20"/>
    </w:rPr>
  </w:style>
  <w:style w:type="paragraph" w:customStyle="1" w:styleId="Abstract">
    <w:name w:val="Abstract"/>
    <w:basedOn w:val="a"/>
    <w:next w:val="a0"/>
    <w:autoRedefine/>
    <w:qFormat/>
    <w:rsid w:val="007B7AE9"/>
    <w:pPr>
      <w:keepNext/>
      <w:keepLines/>
      <w:spacing w:before="100" w:after="300"/>
    </w:pPr>
    <w:rPr>
      <w:sz w:val="20"/>
      <w:szCs w:val="20"/>
    </w:rPr>
  </w:style>
  <w:style w:type="paragraph" w:styleId="a9">
    <w:name w:val="Bibliography"/>
    <w:basedOn w:val="a"/>
    <w:autoRedefine/>
    <w:qFormat/>
    <w:rsid w:val="004E1341"/>
  </w:style>
  <w:style w:type="character" w:customStyle="1" w:styleId="10">
    <w:name w:val="标题 1 字符"/>
    <w:basedOn w:val="a1"/>
    <w:link w:val="1"/>
    <w:uiPriority w:val="9"/>
    <w:rsid w:val="004E1341"/>
    <w:rPr>
      <w:rFonts w:ascii="Times New Roman" w:eastAsia="Times New Roman" w:hAnsi="Times New Roman" w:cs="Times New Roman"/>
      <w:color w:val="000000" w:themeColor="text1"/>
      <w:sz w:val="40"/>
      <w:szCs w:val="40"/>
    </w:rPr>
  </w:style>
  <w:style w:type="character" w:customStyle="1" w:styleId="20">
    <w:name w:val="标题 2 字符"/>
    <w:basedOn w:val="a1"/>
    <w:link w:val="2"/>
    <w:uiPriority w:val="9"/>
    <w:semiHidden/>
    <w:rsid w:val="00991E4B"/>
    <w:rPr>
      <w:rFonts w:ascii="Times New Roman" w:eastAsia="Times New Roman" w:hAnsi="Times New Roman" w:cs="Times New Roman"/>
      <w:color w:val="000000" w:themeColor="text1"/>
      <w:sz w:val="32"/>
      <w:szCs w:val="32"/>
    </w:rPr>
  </w:style>
  <w:style w:type="character" w:customStyle="1" w:styleId="30">
    <w:name w:val="标题 3 字符"/>
    <w:basedOn w:val="a1"/>
    <w:link w:val="3"/>
    <w:uiPriority w:val="9"/>
    <w:semiHidden/>
    <w:rsid w:val="00991E4B"/>
    <w:rPr>
      <w:rFonts w:ascii="Times New Roman" w:eastAsia="Times New Roman" w:hAnsi="Times New Roman" w:cs="Times New Roman"/>
      <w:color w:val="000000" w:themeColor="text1"/>
      <w:sz w:val="28"/>
      <w:szCs w:val="28"/>
    </w:rPr>
  </w:style>
  <w:style w:type="character" w:customStyle="1" w:styleId="40">
    <w:name w:val="标题 4 字符"/>
    <w:basedOn w:val="a1"/>
    <w:link w:val="4"/>
    <w:uiPriority w:val="9"/>
    <w:semiHidden/>
    <w:rsid w:val="00F044A1"/>
    <w:rPr>
      <w:rFonts w:ascii="Times New Roman" w:eastAsia="Times New Roman" w:hAnsi="Times New Roman" w:cs="Times New Roman"/>
      <w:i/>
      <w:iCs/>
      <w:color w:val="000000" w:themeColor="text1"/>
    </w:rPr>
  </w:style>
  <w:style w:type="character" w:customStyle="1" w:styleId="50">
    <w:name w:val="标题 5 字符"/>
    <w:basedOn w:val="a1"/>
    <w:link w:val="5"/>
    <w:uiPriority w:val="9"/>
    <w:semiHidden/>
    <w:rsid w:val="00F044A1"/>
    <w:rPr>
      <w:rFonts w:ascii="Times New Roman" w:eastAsia="Times New Roman" w:hAnsi="Times New Roman" w:cs="Times New Roman"/>
      <w:color w:val="000000" w:themeColor="text1"/>
    </w:rPr>
  </w:style>
  <w:style w:type="character" w:customStyle="1" w:styleId="60">
    <w:name w:val="标题 6 字符"/>
    <w:basedOn w:val="a1"/>
    <w:link w:val="6"/>
    <w:uiPriority w:val="9"/>
    <w:semiHidden/>
    <w:rsid w:val="00F044A1"/>
    <w:rPr>
      <w:rFonts w:ascii="Times New Roman" w:eastAsia="Times New Roman" w:hAnsi="Times New Roman" w:cs="Times New Roman"/>
      <w:i/>
      <w:iCs/>
      <w:color w:val="000000" w:themeColor="text1"/>
    </w:rPr>
  </w:style>
  <w:style w:type="character" w:customStyle="1" w:styleId="70">
    <w:name w:val="标题 7 字符"/>
    <w:basedOn w:val="a1"/>
    <w:link w:val="7"/>
    <w:uiPriority w:val="9"/>
    <w:semiHidden/>
    <w:rsid w:val="00F044A1"/>
    <w:rPr>
      <w:rFonts w:ascii="Times New Roman" w:eastAsia="Times New Roman" w:hAnsi="Times New Roman" w:cs="Times New Roman"/>
      <w:color w:val="000000" w:themeColor="text1"/>
    </w:rPr>
  </w:style>
  <w:style w:type="character" w:customStyle="1" w:styleId="80">
    <w:name w:val="标题 8 字符"/>
    <w:basedOn w:val="a1"/>
    <w:link w:val="8"/>
    <w:uiPriority w:val="9"/>
    <w:semiHidden/>
    <w:rsid w:val="00F044A1"/>
    <w:rPr>
      <w:rFonts w:ascii="Times New Roman" w:eastAsia="Times New Roman" w:hAnsi="Times New Roman" w:cs="Times New Roman"/>
      <w:i/>
      <w:iCs/>
      <w:color w:val="000000" w:themeColor="text1"/>
    </w:rPr>
  </w:style>
  <w:style w:type="character" w:customStyle="1" w:styleId="90">
    <w:name w:val="标题 9 字符"/>
    <w:basedOn w:val="a1"/>
    <w:link w:val="9"/>
    <w:uiPriority w:val="9"/>
    <w:semiHidden/>
    <w:rsid w:val="00F044A1"/>
    <w:rPr>
      <w:rFonts w:ascii="Times New Roman" w:eastAsia="Times New Roman" w:hAnsi="Times New Roman" w:cs="Times New Roman"/>
      <w:color w:val="000000" w:themeColor="text1"/>
    </w:rPr>
  </w:style>
  <w:style w:type="paragraph" w:styleId="aa">
    <w:name w:val="Block Text"/>
    <w:basedOn w:val="a0"/>
    <w:next w:val="a0"/>
    <w:autoRedefine/>
    <w:uiPriority w:val="9"/>
    <w:unhideWhenUsed/>
    <w:qFormat/>
    <w:rsid w:val="004E1341"/>
    <w:pPr>
      <w:spacing w:before="100" w:after="100"/>
      <w:ind w:left="480" w:right="480"/>
    </w:pPr>
  </w:style>
  <w:style w:type="paragraph" w:styleId="ab">
    <w:name w:val="footnote text"/>
    <w:basedOn w:val="a"/>
    <w:autoRedefine/>
    <w:uiPriority w:val="9"/>
    <w:unhideWhenUsed/>
    <w:qFormat/>
    <w:rsid w:val="004E1341"/>
  </w:style>
  <w:style w:type="paragraph" w:customStyle="1" w:styleId="FootnoteBlockText">
    <w:name w:val="Footnote Block Text"/>
    <w:basedOn w:val="ab"/>
    <w:next w:val="ab"/>
    <w:autoRedefine/>
    <w:uiPriority w:val="9"/>
    <w:unhideWhenUsed/>
    <w:qFormat/>
    <w:rsid w:val="004E1341"/>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autoRedefine/>
    <w:rsid w:val="00F16D1D"/>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rsid w:val="00F16D1D"/>
    <w:rPr>
      <w:rFonts w:ascii="Times New Roman" w:eastAsia="Times New Roman" w:hAnsi="Times New Roman" w:cs="Times New Roman"/>
    </w:rPr>
  </w:style>
  <w:style w:type="character" w:styleId="ae">
    <w:name w:val="footnote reference"/>
    <w:basedOn w:val="ad"/>
    <w:rPr>
      <w:vertAlign w:val="superscript"/>
    </w:rPr>
  </w:style>
  <w:style w:type="character" w:styleId="af">
    <w:name w:val="Hyperlink"/>
    <w:basedOn w:val="ad"/>
    <w:uiPriority w:val="99"/>
    <w:rsid w:val="00F16D1D"/>
    <w:rPr>
      <w:rFonts w:ascii="Times New Roman" w:eastAsia="Times New Roman" w:hAnsi="Times New Roman" w:cs="Times New Roman"/>
      <w:color w:val="156082" w:themeColor="accent1"/>
    </w:rPr>
  </w:style>
  <w:style w:type="paragraph" w:styleId="TOC">
    <w:name w:val="TOC Heading"/>
    <w:basedOn w:val="1"/>
    <w:next w:val="a0"/>
    <w:autoRedefine/>
    <w:uiPriority w:val="39"/>
    <w:unhideWhenUsed/>
    <w:qFormat/>
    <w:rsid w:val="007E31DB"/>
    <w:pPr>
      <w:spacing w:before="240" w:line="259" w:lineRule="auto"/>
      <w:outlineLvl w:val="9"/>
    </w:pPr>
  </w:style>
  <w:style w:type="paragraph" w:customStyle="1" w:styleId="11">
    <w:name w:val="样式1"/>
    <w:basedOn w:val="2"/>
    <w:autoRedefine/>
    <w:qFormat/>
    <w:rsid w:val="00991E4B"/>
    <w:rPr>
      <w:color w:val="0E2841" w:themeColor="text2"/>
    </w:rPr>
  </w:style>
  <w:style w:type="paragraph" w:customStyle="1" w:styleId="21">
    <w:name w:val="样式2"/>
    <w:basedOn w:val="4"/>
    <w:autoRedefine/>
    <w:qFormat/>
    <w:rsid w:val="003D0B7E"/>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table of figures"/>
    <w:basedOn w:val="a"/>
    <w:next w:val="a"/>
    <w:uiPriority w:val="99"/>
    <w:rsid w:val="00304ECD"/>
    <w:pPr>
      <w:ind w:leftChars="200" w:hangingChars="200" w:hanging="200"/>
    </w:pPr>
  </w:style>
  <w:style w:type="paragraph" w:styleId="TOC1">
    <w:name w:val="toc 1"/>
    <w:basedOn w:val="a"/>
    <w:next w:val="a"/>
    <w:autoRedefine/>
    <w:uiPriority w:val="39"/>
    <w:rsid w:val="00304ECD"/>
  </w:style>
  <w:style w:type="paragraph" w:styleId="TOC2">
    <w:name w:val="toc 2"/>
    <w:basedOn w:val="a"/>
    <w:next w:val="a"/>
    <w:autoRedefine/>
    <w:uiPriority w:val="39"/>
    <w:rsid w:val="00304ECD"/>
    <w:pPr>
      <w:ind w:leftChars="200" w:left="420"/>
    </w:pPr>
  </w:style>
  <w:style w:type="paragraph" w:styleId="TOC3">
    <w:name w:val="toc 3"/>
    <w:basedOn w:val="a"/>
    <w:next w:val="a"/>
    <w:autoRedefine/>
    <w:uiPriority w:val="39"/>
    <w:rsid w:val="00304ECD"/>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371/journal.pmed.1002683" TargetMode="External"/><Relationship Id="rId18" Type="http://schemas.openxmlformats.org/officeDocument/2006/relationships/hyperlink" Target="https://arxiv.org/html/2505.16226v1" TargetMode="External"/><Relationship Id="rId26" Type="http://schemas.openxmlformats.org/officeDocument/2006/relationships/hyperlink" Target="https://doi.org/10.48550/arXiv.2209.04594" TargetMode="External"/><Relationship Id="rId3" Type="http://schemas.openxmlformats.org/officeDocument/2006/relationships/settings" Target="settings.xml"/><Relationship Id="rId21" Type="http://schemas.openxmlformats.org/officeDocument/2006/relationships/hyperlink" Target="https://doi.org/10.48550/arXiv.2508.20906" TargetMode="External"/><Relationship Id="rId34" Type="http://schemas.openxmlformats.org/officeDocument/2006/relationships/hyperlink" Target="https://doi.org/10.1007/s00330-015-4138-9" TargetMode="External"/><Relationship Id="rId7" Type="http://schemas.openxmlformats.org/officeDocument/2006/relationships/image" Target="media/image3.emf"/><Relationship Id="rId12" Type="http://schemas.openxmlformats.org/officeDocument/2006/relationships/hyperlink" Target="https://doi.org/10.1007/s11547-023-01730-6" TargetMode="External"/><Relationship Id="rId17" Type="http://schemas.openxmlformats.org/officeDocument/2006/relationships/hyperlink" Target="https://arxiv.org/html/2502.17361v1" TargetMode="External"/><Relationship Id="rId25" Type="http://schemas.openxmlformats.org/officeDocument/2006/relationships/hyperlink" Target="https://github.com/mlfoundations/tableshift" TargetMode="External"/><Relationship Id="rId33" Type="http://schemas.openxmlformats.org/officeDocument/2006/relationships/hyperlink" Target="https://arxiv.org/abs/2502.08547" TargetMode="External"/><Relationship Id="rId2" Type="http://schemas.openxmlformats.org/officeDocument/2006/relationships/styles" Target="styles.xml"/><Relationship Id="rId16" Type="http://schemas.openxmlformats.org/officeDocument/2006/relationships/hyperlink" Target="https://doi.org/10.48550/arXiv.2511.08667" TargetMode="External"/><Relationship Id="rId20" Type="http://schemas.openxmlformats.org/officeDocument/2006/relationships/hyperlink" Target="https://github.com/automl/Drift-Resilient_TabPFN" TargetMode="External"/><Relationship Id="rId29" Type="http://schemas.openxmlformats.org/officeDocument/2006/relationships/hyperlink" Target="https://doi.org/10.48550/arXiv.2509.19220" TargetMode="Externa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hyperlink" Target="https://doi.org/10.2214/AJR.18.20623" TargetMode="External"/><Relationship Id="rId24" Type="http://schemas.openxmlformats.org/officeDocument/2006/relationships/hyperlink" Target="https://doi.org/10.48550/arXiv.2312.07577" TargetMode="External"/><Relationship Id="rId32" Type="http://schemas.openxmlformats.org/officeDocument/2006/relationships/hyperlink" Target="https://doi.org/10.1038/s41598-018-27569-w" TargetMode="External"/><Relationship Id="rId5" Type="http://schemas.openxmlformats.org/officeDocument/2006/relationships/image" Target="media/image1.emf"/><Relationship Id="rId15" Type="http://schemas.openxmlformats.org/officeDocument/2006/relationships/hyperlink" Target="https://doi.org/10.1038/s41586-024-08328-6" TargetMode="External"/><Relationship Id="rId23" Type="http://schemas.openxmlformats.org/officeDocument/2006/relationships/hyperlink" Target="https://arxiv.org/abs/1612.01939" TargetMode="External"/><Relationship Id="rId28" Type="http://schemas.openxmlformats.org/officeDocument/2006/relationships/hyperlink" Target="https://doi.org/10.3390/ani13203276" TargetMode="External"/><Relationship Id="rId36" Type="http://schemas.openxmlformats.org/officeDocument/2006/relationships/theme" Target="theme/theme1.xml"/><Relationship Id="rId10" Type="http://schemas.openxmlformats.org/officeDocument/2006/relationships/hyperlink" Target="https://doi.org/10.21037/tlcr.2019.09.17" TargetMode="External"/><Relationship Id="rId19" Type="http://schemas.openxmlformats.org/officeDocument/2006/relationships/hyperlink" Target="https://doi.org/10.48550/arXiv.2411.10634" TargetMode="External"/><Relationship Id="rId31" Type="http://schemas.openxmlformats.org/officeDocument/2006/relationships/hyperlink" Target="https://doi.org/10.1042/BSR20193875" TargetMode="Externa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hyperlink" Target="https://doi.org/10.1038/s41598-022-06484-1" TargetMode="External"/><Relationship Id="rId22" Type="http://schemas.openxmlformats.org/officeDocument/2006/relationships/hyperlink" Target="https://doi.org/10.1016/j.jbi.2022.104168" TargetMode="External"/><Relationship Id="rId27" Type="http://schemas.openxmlformats.org/officeDocument/2006/relationships/hyperlink" Target="https://doi.org/10.1126/sciadv.adp6040" TargetMode="External"/><Relationship Id="rId30" Type="http://schemas.openxmlformats.org/officeDocument/2006/relationships/hyperlink" Target="https://doi.org/10.1259/bjr.20220890" TargetMode="External"/><Relationship Id="rId35" Type="http://schemas.openxmlformats.org/officeDocument/2006/relationships/fontTable" Target="fontTable.xml"/><Relationship Id="rId8"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9431</Words>
  <Characters>53762</Characters>
  <Application>Microsoft Office Word</Application>
  <DocSecurity>0</DocSecurity>
  <Lines>448</Lines>
  <Paragraphs>126</Paragraphs>
  <ScaleCrop>false</ScaleCrop>
  <Company/>
  <LinksUpToDate>false</LinksUpToDate>
  <CharactersWithSpaces>63067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cp:lastModifiedBy>Qingyuan Liu</cp:lastModifiedBy>
  <cp:revision>3</cp:revision>
  <cp:lastPrinted>2025-11-24T21:04:00Z</cp:lastPrinted>
  <dcterms:created xsi:type="dcterms:W3CDTF">2025-11-24T21:04:00Z</dcterms:created>
  <dcterms:modified xsi:type="dcterms:W3CDTF">2025-11-24T21:04:00Z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Fragmented hospital silos and strict privacy rules often leave medical AI models staring at small, uneven, mismatched tabular cohorts, so models trained directly on those data tend to wobble when moved between sites. Here we sketch PANDA (Pretrained Adaptation Network with Domain Alignment)–a cross-hospital setup that leans on a pre-trained tabular foundation model, keeps the feature budget lean, and folds in unsupervised domain adaptation, even if calling it a framework is arguably generous. PANDA uses a TabPFN-style Transformer encoder meta-trained on millions of synthetic tables; that pretraining appears to capture higher-order interactions that tuned gradient-boosting ensembles often miss when samples are scarce. A cross-cohort RFE step uses the foundation model to identify eight biomarkers that stay predictive across both hospitals, cutting data-collection demands and stabilizing interpretation. To ease distribution gaps, we add TCA to the training loop so source and target cohorts land in a shared latent space. This mix–foundation-model representations, RFE-filtered features, and TCA–seems to reduce covariate shift and keep those eight variables useful even when each site ranks them differently. On two lung-nodule cohorts (295 training, 190 external), PANDA lifts AUC and sensitivity over supervised and non-adaptive baselines, hinting that pairing foundation-model priors with statistical alignment may improve generalization in small, cross-domain medical tasks.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pandoc-crossref.yaml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False</vt:lpwstr>
  </property>
  <property fmtid="{D5CDD505-2E9C-101B-9397-08002B2CF9AE}" pid="37" name="listItemTitleDelim">
    <vt:lpwstr>.</vt:lpwstr>
  </property>
  <property fmtid="{D5CDD505-2E9C-101B-9397-08002B2CF9AE}" pid="38" name="listOfMetadata">
    <vt:lpwstr>False</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Delim">
    <vt:lpwstr>:</vt:lpwstr>
  </property>
</Properties>
</file>