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df" ContentType="application/pdf"/>
  <Override PartName="/word/media/rId68.pdf" ContentType="application/pdf"/>
  <Override PartName="/word/media/rId137.pdf" ContentType="application/pdf"/>
  <Override PartName="/word/media/rId115.pdf" ContentType="application/pdf"/>
  <Override PartName="/word/media/rId133.pdf" ContentType="application/pdf"/>
  <Override PartName="/word/media/rId12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Fragmented hospital silos and strict privacy rules often leave medical AI models staring at small, uneven, mismatched tabular cohorts, so models trained directly on those data tend to wobble when moved between sites. Here we sketch</w:t>
      </w:r>
      <w:r>
        <w:t xml:space="preserve"> </w:t>
      </w:r>
      <w:r>
        <w:rPr>
          <w:i/>
          <w:iCs/>
        </w:rPr>
        <w:t xml:space="preserve">PANDA</w:t>
      </w:r>
      <w:r>
        <w:t xml:space="preserve"> </w:t>
      </w:r>
      <w:r>
        <w:t xml:space="preserve">(Pretrained Adaptation Network with Domain Alignment)–a cross-hospital setup that leans on a pre-trained tabular foundation model, keeps the feature budget lean, and folds in unsupervised domain adaptation, even if calling it a framework is arguably generous.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10" w:name="sec:intro-start"/>
    <w:p>
      <w:pPr>
        <w:pStyle w:val="1"/>
      </w:pPr>
      <w:r>
        <w:t xml:space="preserve">Introduction</w:t>
      </w:r>
    </w:p>
    <w:p>
      <w:pPr>
        <w:pStyle w:val="FirstParagraph"/>
      </w:pPr>
      <w:r>
        <w:t xml:space="preserve">Early and accurate prediction of pulmonary nodule malignancy remains central to lung cancer</w:t>
      </w:r>
      <w:r>
        <w:t xml:space="preserve"> </w:t>
      </w:r>
      <w:r>
        <w:t xml:space="preserve">screening, yet decision support tools routinely fail once they leave the academic centers in which they</w:t>
      </w:r>
      <w:r>
        <w:t xml:space="preserve"> </w:t>
      </w:r>
      <w:r>
        <w:t xml:space="preserve">were developed. Classical risk scores such as the Mayo Clinic, Veterans Affairs, Brock (PanCan), PKUPH,</w:t>
      </w:r>
      <w:r>
        <w:t xml:space="preserve"> </w:t>
      </w:r>
      <w:r>
        <w:t xml:space="preserve">and Li models achieve internal AUCs of 0.80–0.94 by fitting logistic regressions to carefully</w:t>
      </w:r>
      <w:r>
        <w:t xml:space="preserve"> </w:t>
      </w:r>
      <w:r>
        <w:t xml:space="preserve">curated cohorts, but their performance often falls to 0.60–0.75 when applied to community-screening</w:t>
      </w:r>
      <w:r>
        <w:t xml:space="preserve"> </w:t>
      </w:r>
      <w:r>
        <w:t xml:space="preserve">sites, Asian hospitals, or solitary-nodule subgroups </w:t>
      </w:r>
      <w:r>
        <w:t xml:space="preserve">[</w:t>
      </w:r>
      <w:hyperlink w:anchor="ref-swensen1997chest">
        <w:r>
          <w:rPr>
            <w:rStyle w:val="af"/>
          </w:rPr>
          <w:t xml:space="preserve">1</w:t>
        </w:r>
      </w:hyperlink>
      <w:r>
        <w:t xml:space="preserve">–</w:t>
      </w:r>
      <w:hyperlink w:anchor="ref-liu_establishment_2024">
        <w:r>
          <w:rPr>
            <w:rStyle w:val="af"/>
          </w:rPr>
          <w:t xml:space="preserve">7</w:t>
        </w:r>
      </w:hyperlink>
      <w:r>
        <w:t xml:space="preserve">]</w:t>
      </w:r>
      <w:r>
        <w:t xml:space="preserve">.</w:t>
      </w:r>
      <w:r>
        <w:t xml:space="preserve"> </w:t>
      </w:r>
      <w:r>
        <w:t xml:space="preserve">Meta-analyses covering more than 80</w:t>
      </w:r>
      <w:r>
        <w:t xml:space="preserve">,</w:t>
      </w:r>
      <w:r>
        <w:t xml:space="preserve">000 nodules indicate that prevalence shifts, acquisition</w:t>
      </w:r>
      <w:r>
        <w:t xml:space="preserve"> </w:t>
      </w:r>
      <w:r>
        <w:t xml:space="preserve">protocol differences, and distinct background diseases (e.g., tuberculosis versus granulomas) distort</w:t>
      </w:r>
      <w:r>
        <w:t xml:space="preserve"> </w:t>
      </w:r>
      <w:r>
        <w:t xml:space="preserve">learned decision boundaries and render non-adaptive risk calculators unreliable in cross-hospital</w:t>
      </w:r>
      <w:r>
        <w:t xml:space="preserve"> </w:t>
      </w:r>
      <w:r>
        <w:t xml:space="preserve">practice.</w:t>
      </w:r>
    </w:p>
    <w:p>
      <w:pPr>
        <w:pStyle w:val="a0"/>
      </w:pPr>
      <w:r>
        <w:t xml:space="preserve">In response, the medical AI community has assembled an ecosystem of algorithms that mirrors the</w:t>
      </w:r>
      <w:r>
        <w:t xml:space="preserve"> </w:t>
      </w:r>
      <w:r>
        <w:t xml:space="preserve">broader evolution of structured-data learning. Gradient-boosted decision trees, led by</w:t>
      </w:r>
      <w:r>
        <w:t xml:space="preserve"> </w:t>
      </w:r>
      <w:r>
        <w:t xml:space="preserve">XGBoost/LightGBM successors, dominate many tabular benchmarks because they tolerate</w:t>
      </w:r>
      <w:r>
        <w:t xml:space="preserve"> </w:t>
      </w:r>
      <w:r>
        <w:t xml:space="preserve">heterogeneous feature scales and missing values and continue to anchor registries such as</w:t>
      </w:r>
      <w:r>
        <w:t xml:space="preserve"> </w:t>
      </w:r>
      <w:r>
        <w:t xml:space="preserve">NLST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Radiomics pipelines engineer thousands of</w:t>
      </w:r>
      <w:r>
        <w:t xml:space="preserve"> </w:t>
      </w:r>
      <w:r>
        <w:t xml:space="preserve">texture descriptors from CT volumes to capture subtle morphologic cues, but their scanner sensitivity</w:t>
      </w:r>
      <w:r>
        <w:t xml:space="preserve"> </w:t>
      </w:r>
      <w:r>
        <w:t xml:space="preserve">and need for harmonization often negate cross-site gains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w:t>
      </w:r>
      <w:r>
        <w:t xml:space="preserve"> </w:t>
      </w:r>
      <w:r>
        <w:t xml:space="preserve">Neural</w:t>
      </w:r>
      <w:r>
        <w:t xml:space="preserve"> </w:t>
      </w:r>
      <w:r>
        <w:t xml:space="preserve">“deep tabular”</w:t>
      </w:r>
      <w:r>
        <w:t xml:space="preserve"> </w:t>
      </w:r>
      <w:r>
        <w:t xml:space="preserve">architectures—TabNet, TabTransformer, SAINT, FT-Transformer, NODE, and a wave</w:t>
      </w:r>
      <w:r>
        <w:t xml:space="preserve"> </w:t>
      </w:r>
      <w:r>
        <w:t xml:space="preserve">of attention-based variants—extend differentiability to structured data and enable multimodal fusion,</w:t>
      </w:r>
      <w:r>
        <w:t xml:space="preserve"> </w:t>
      </w:r>
      <w:r>
        <w:t xml:space="preserve">yet they require large, well-calibrated cohorts and frequently lag tuned tree ensembles on clinical</w:t>
      </w:r>
      <w:r>
        <w:t xml:space="preserve"> </w:t>
      </w:r>
      <w:r>
        <w:t xml:space="preserve">tabular benchmarks </w:t>
      </w:r>
      <w:r>
        <w:t xml:space="preserve">[</w:t>
      </w:r>
      <w:hyperlink w:anchor="ref-gorishniy2021revisiting">
        <w:r>
          <w:rPr>
            <w:rStyle w:val="af"/>
          </w:rPr>
          <w:t xml:space="preserve">9</w:t>
        </w:r>
      </w:hyperlink>
      <w:r>
        <w:t xml:space="preserve">,</w:t>
      </w:r>
      <w:hyperlink w:anchor="ref-arik2021tabnet">
        <w:r>
          <w:rPr>
            <w:rStyle w:val="af"/>
          </w:rPr>
          <w:t xml:space="preserve">11</w:t>
        </w:r>
      </w:hyperlink>
      <w:r>
        <w:t xml:space="preserve">–</w:t>
      </w:r>
      <w:hyperlink w:anchor="ref-borisov2022deep">
        <w:r>
          <w:rPr>
            <w:rStyle w:val="af"/>
          </w:rPr>
          <w:t xml:space="preserve">14</w:t>
        </w:r>
      </w:hyperlink>
      <w:r>
        <w:t xml:space="preserve">]</w:t>
      </w:r>
      <w:r>
        <w:t xml:space="preserve">.</w:t>
      </w:r>
      <w:r>
        <w:t xml:space="preserve"> </w:t>
      </w:r>
      <w:r>
        <w:t xml:space="preserve">Foundation-style approaches push further: TabPFN employs synthetic structural-causal priors to deliver</w:t>
      </w:r>
      <w:r>
        <w:t xml:space="preserve"> </w:t>
      </w:r>
      <w:r>
        <w:t xml:space="preserve">hyperparameter-free, small-sample inference; TabPFN-2.5 and drift-resilient variants relax attention</w:t>
      </w:r>
      <w:r>
        <w:t xml:space="preserve"> </w:t>
      </w:r>
      <w:r>
        <w:t xml:space="preserve">bottlenecks and introduce explicit temporal priors; tabular LLMs serialize rows into prompts to borrow</w:t>
      </w:r>
      <w:r>
        <w:t xml:space="preserve"> </w:t>
      </w:r>
      <w:r>
        <w:t xml:space="preserve">reasoning skills from generative models; and recent work explores re-purposing tabular foundation</w:t>
      </w:r>
      <w:r>
        <w:t xml:space="preserve"> </w:t>
      </w:r>
      <w:r>
        <w:t xml:space="preserve">models for graph reasoning and multimodal prompts </w:t>
      </w:r>
      <w:r>
        <w:t xml:space="preserve">[</w:t>
      </w:r>
      <w:hyperlink w:anchor="ref-hollmann2025accurate">
        <w:r>
          <w:rPr>
            <w:rStyle w:val="af"/>
          </w:rPr>
          <w:t xml:space="preserve">15</w:t>
        </w:r>
      </w:hyperlink>
      <w:r>
        <w:t xml:space="preserve">–</w:t>
      </w:r>
      <w:hyperlink w:anchor="ref-schneider2024foundation">
        <w:r>
          <w:rPr>
            <w:rStyle w:val="af"/>
          </w:rPr>
          <w:t xml:space="preserve">21</w:t>
        </w:r>
      </w:hyperlink>
      <w:r>
        <w:t xml:space="preserve">]</w:t>
      </w:r>
      <w:r>
        <w:t xml:space="preserve">.</w:t>
      </w:r>
      <w:r>
        <w:t xml:space="preserve"> </w:t>
      </w:r>
      <w:r>
        <w:t xml:space="preserve">Complementary efforts investigate federated optimization and on-device continual learning so that models</w:t>
      </w:r>
      <w:r>
        <w:t xml:space="preserve"> </w:t>
      </w:r>
      <w:r>
        <w:t xml:space="preserve">can absorb new hospital evidence without breaching privacy constraints </w:t>
      </w:r>
      <w:r>
        <w:t xml:space="preserve">[</w:t>
      </w:r>
      <w:hyperlink w:anchor="ref-guan2021domain">
        <w:r>
          <w:rPr>
            <w:rStyle w:val="af"/>
          </w:rPr>
          <w:t xml:space="preserve">22</w:t>
        </w:r>
      </w:hyperlink>
      <w:r>
        <w:t xml:space="preserve">,</w:t>
      </w:r>
      <w:hyperlink w:anchor="ref-musa2025addressing">
        <w:r>
          <w:rPr>
            <w:rStyle w:val="af"/>
          </w:rPr>
          <w:t xml:space="preserve">23</w:t>
        </w:r>
      </w:hyperlink>
      <w:r>
        <w:t xml:space="preserve">]</w:t>
      </w:r>
      <w:r>
        <w:t xml:space="preserve">.</w:t>
      </w:r>
    </w:p>
    <w:p>
      <w:pPr>
        <w:pStyle w:val="a0"/>
      </w:pPr>
      <w:r>
        <w:t xml:space="preserve">Despite this diversity of techniques, cross-hospital transfer remains fragile. Performance degrades</w:t>
      </w:r>
      <w:r>
        <w:t xml:space="preserve"> </w:t>
      </w:r>
      <w:r>
        <w:t xml:space="preserve">because the three dominant pathologies of medical tabular data co-occur: (i) sample scarcity—most</w:t>
      </w:r>
      <w:r>
        <w:t xml:space="preserve"> </w:t>
      </w:r>
      <w:r>
        <w:t xml:space="preserve">nodular cohorts contain only a few hundred labeled patients, limiting the stability of purely supervised</w:t>
      </w:r>
      <w:r>
        <w:t xml:space="preserve"> </w:t>
      </w:r>
      <w:r>
        <w:t xml:space="preserve">training; (ii) distribution shift—label prevalence, scanner kernels, and demographics change the</w:t>
      </w:r>
      <w:r>
        <w:t xml:space="preserve"> </w:t>
      </w:r>
      <w:r>
        <w:t xml:space="preserve">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and (iii) feature</w:t>
      </w:r>
      <w:r>
        <w:t xml:space="preserve"> </w:t>
      </w:r>
      <w:r>
        <w:t xml:space="preserve">heterogeneity—sites log disjoint biomarker panels, measurement units, and coding policies that</w:t>
      </w:r>
      <w:r>
        <w:t xml:space="preserve"> </w:t>
      </w:r>
      <w:r>
        <w:t xml:space="preserve">invalidate naive feature alignment </w:t>
      </w:r>
      <w:r>
        <w:t xml:space="preserve">[</w:t>
      </w:r>
      <w:hyperlink w:anchor="ref-koch2024distribution">
        <w:r>
          <w:rPr>
            <w:rStyle w:val="af"/>
          </w:rPr>
          <w:t xml:space="preserve">24</w:t>
        </w:r>
      </w:hyperlink>
      <w:r>
        <w:t xml:space="preserve">–</w:t>
      </w:r>
      <w:hyperlink w:anchor="ref-orouji_domain_nodate">
        <w:r>
          <w:rPr>
            <w:rStyle w:val="af"/>
          </w:rPr>
          <w:t xml:space="preserve">26</w:t>
        </w:r>
      </w:hyperlink>
      <w:r>
        <w:t xml:space="preserve">]</w:t>
      </w:r>
      <w:r>
        <w:t xml:space="preserve">.</w:t>
      </w:r>
      <w:r>
        <w:t xml:space="preserve"> </w:t>
      </w:r>
      <w:r>
        <w:t xml:space="preserve">Domain adaptation research in imaging and wearables demonstrates that adversarial training, optimal</w:t>
      </w:r>
      <w:r>
        <w:t xml:space="preserve"> </w:t>
      </w:r>
      <w:r>
        <w:t xml:space="preserve">transport, and statistical moment matching can recover some performance, but these methods are rarely</w:t>
      </w:r>
      <w:r>
        <w:t xml:space="preserve"> </w:t>
      </w:r>
      <w:r>
        <w:t xml:space="preserve">specialized for structured clinical data, and benchmarks such as TableShift show that off-the-shelf</w:t>
      </w:r>
      <w:r>
        <w:t xml:space="preserve"> </w:t>
      </w:r>
      <w:r>
        <w:t xml:space="preserve">algorithms still incur large out-of-distribution gaps even when in-distribution accuracy is</w:t>
      </w:r>
      <w:r>
        <w:t xml:space="preserve"> </w:t>
      </w:r>
      <w:r>
        <w:t xml:space="preserve">high </w:t>
      </w:r>
      <w:r>
        <w:t xml:space="preserve">[</w:t>
      </w:r>
      <w:hyperlink w:anchor="ref-guan2021domain">
        <w:r>
          <w:rPr>
            <w:rStyle w:val="af"/>
          </w:rPr>
          <w:t xml:space="preserve">22</w:t>
        </w:r>
      </w:hyperlink>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r>
        <w:t xml:space="preserve">. Large-scale regulators now</w:t>
      </w:r>
      <w:r>
        <w:t xml:space="preserve"> </w:t>
      </w:r>
      <w:r>
        <w:t xml:space="preserve">regard shift detection and recalibration as core elements of post-market surveillance, underscoring that</w:t>
      </w:r>
      <w:r>
        <w:t xml:space="preserve"> </w:t>
      </w:r>
      <w:r>
        <w:t xml:space="preserve">robustness cannot be an afterthought </w:t>
      </w:r>
      <w:r>
        <w:t xml:space="preserve">[</w:t>
      </w:r>
      <w:hyperlink w:anchor="ref-koch2024distribution">
        <w:r>
          <w:rPr>
            <w:rStyle w:val="af"/>
          </w:rPr>
          <w:t xml:space="preserve">24</w:t>
        </w:r>
      </w:hyperlink>
      <w:r>
        <w:t xml:space="preserve">]</w:t>
      </w:r>
      <w:r>
        <w:t xml:space="preserve">.</w:t>
      </w:r>
    </w:p>
    <w:p>
      <w:pPr>
        <w:pStyle w:val="a0"/>
      </w:pPr>
      <w:r>
        <w:t xml:space="preserve">Tabular foundation models partially alleviate the sample-size constraint, yet they inherit a closed-world</w:t>
      </w:r>
      <w:r>
        <w:t xml:space="preserve"> </w:t>
      </w:r>
      <w:r>
        <w:t xml:space="preserve">assumption: the context set used during in-context learning is assumed to reflect the same joint</w:t>
      </w:r>
      <w:r>
        <w:t xml:space="preserve"> </w:t>
      </w:r>
      <w:r>
        <w:t xml:space="preserve">distribution as the query samples. When shifts in biomarkers, acquisition settings, or feature schemata</w:t>
      </w:r>
      <w:r>
        <w:t xml:space="preserve"> </w:t>
      </w:r>
      <w:r>
        <w:t xml:space="preserve">emerge, even TabPFN variants can become overconfident because their attention weights are tied to the</w:t>
      </w:r>
      <w:r>
        <w:t xml:space="preserve"> </w:t>
      </w:r>
      <w:r>
        <w:t xml:space="preserve">geometry of the source cohort </w:t>
      </w:r>
      <w:r>
        <w:t xml:space="preserve">[</w:t>
      </w:r>
      <w:hyperlink w:anchor="ref-noauthor_realistic_nodate">
        <w:r>
          <w:rPr>
            <w:rStyle w:val="af"/>
          </w:rPr>
          <w:t xml:space="preserve">18</w:t>
        </w:r>
      </w:hyperlink>
      <w:r>
        <w:t xml:space="preserve">,</w:t>
      </w:r>
      <w:hyperlink w:anchor="ref-schneider2024foundation">
        <w:r>
          <w:rPr>
            <w:rStyle w:val="af"/>
          </w:rPr>
          <w:t xml:space="preserve">21</w:t>
        </w:r>
      </w:hyperlink>
      <w:r>
        <w:t xml:space="preserve">]</w:t>
      </w:r>
      <w:r>
        <w:t xml:space="preserve">. Emerging</w:t>
      </w:r>
      <w:r>
        <w:t xml:space="preserve"> </w:t>
      </w:r>
      <w:r>
        <w:t xml:space="preserve">iterations such as TabPFN-2.5 and drift-resilient TabPFN extend context length and incorporate simulated</w:t>
      </w:r>
      <w:r>
        <w:t xml:space="preserve"> </w:t>
      </w:r>
      <w:r>
        <w:t xml:space="preserve">Drifts into the prior, but they remain sensitive to mismatched feature spaces or unlabeled target domains</w:t>
      </w:r>
      <w:r>
        <w:t xml:space="preserve"> </w:t>
      </w:r>
      <w:r>
        <w:t xml:space="preserve">without an explicit alignment step </w:t>
      </w:r>
      <w:r>
        <w:t xml:space="preserve">[</w:t>
      </w:r>
      <w:hyperlink w:anchor="ref-noauthor_prior_nodate">
        <w:r>
          <w:rPr>
            <w:rStyle w:val="af"/>
          </w:rPr>
          <w:t xml:space="preserve">16</w:t>
        </w:r>
      </w:hyperlink>
      <w:r>
        <w:t xml:space="preserve">,</w:t>
      </w:r>
      <w:hyperlink w:anchor="X60a9a1bcb93ef50ea8b7bc291808839e814cc23">
        <w:r>
          <w:rPr>
            <w:rStyle w:val="af"/>
          </w:rPr>
          <w:t xml:space="preserve">19</w:t>
        </w:r>
      </w:hyperlink>
      <w:r>
        <w:t xml:space="preserve">]</w:t>
      </w:r>
      <w:r>
        <w:t xml:space="preserve">.</w:t>
      </w:r>
      <w:r>
        <w:t xml:space="preserve"> </w:t>
      </w:r>
      <w:r>
        <w:t xml:space="preserve">Consequently, bridging the gap between high internal accuracy and safe cross-site deployment requires</w:t>
      </w:r>
      <w:r>
        <w:t xml:space="preserve"> </w:t>
      </w:r>
      <w:r>
        <w:t xml:space="preserve">combining foundation models with principled unsupervised domain adaptation and feature selection that</w:t>
      </w:r>
      <w:r>
        <w:t xml:space="preserve"> </w:t>
      </w:r>
      <w:r>
        <w:t xml:space="preserve">respect clinical realities.</w:t>
      </w:r>
    </w:p>
    <w:p>
      <w:pPr>
        <w:pStyle w:val="a0"/>
      </w:pPr>
      <w:r>
        <w:t xml:space="preserve">Pulmonary nodule malignancy prediction is an archetypal stress test for these issues because every stage</w:t>
      </w:r>
      <w:r>
        <w:t xml:space="preserve"> </w:t>
      </w:r>
      <w:r>
        <w:t xml:space="preserve">of the pipeline can drift. Traditional clinical scores (Mayo, VA, Brock, PKUPH, Li) and their LASSO or</w:t>
      </w:r>
      <w:r>
        <w:t xml:space="preserve"> </w:t>
      </w:r>
      <w:r>
        <w:t xml:space="preserve">gradient-boosted successors were derived from carefully curated cohorts with narrow demographic</w:t>
      </w:r>
      <w:r>
        <w:t xml:space="preserve"> </w:t>
      </w:r>
      <w:r>
        <w:t xml:space="preserve">profiles and fixed scanner protocols, so their coefficients silently encode source-specific prevalence,</w:t>
      </w:r>
      <w:r>
        <w:t xml:space="preserve"> </w:t>
      </w:r>
      <w:r>
        <w:t xml:space="preserve">upper-lobe priors, and calcification heuristics </w:t>
      </w:r>
      <w:r>
        <w:t xml:space="preserve">[</w:t>
      </w:r>
      <w:hyperlink w:anchor="ref-swensen1997chest">
        <w:r>
          <w:rPr>
            <w:rStyle w:val="af"/>
          </w:rPr>
          <w:t xml:space="preserve">1</w:t>
        </w:r>
      </w:hyperlink>
      <w:r>
        <w:t xml:space="preserve">–</w:t>
      </w:r>
      <w:hyperlink w:anchor="ref-he2021novel">
        <w:r>
          <w:rPr>
            <w:rStyle w:val="af"/>
          </w:rPr>
          <w:t xml:space="preserve">4</w:t>
        </w:r>
      </w:hyperlink>
      <w:r>
        <w:t xml:space="preserve">,</w:t>
      </w:r>
      <w:hyperlink w:anchor="ref-zhang_comprehensive_2022">
        <w:r>
          <w:rPr>
            <w:rStyle w:val="af"/>
          </w:rPr>
          <w:t xml:space="preserve">6</w:t>
        </w:r>
      </w:hyperlink>
      <w:r>
        <w:t xml:space="preserve">]</w:t>
      </w:r>
      <w:r>
        <w:t xml:space="preserve">.</w:t>
      </w:r>
      <w:r>
        <w:t xml:space="preserve"> </w:t>
      </w:r>
      <w:r>
        <w:t xml:space="preserve">Meta-analyses across Asian screening programs and European cancer centers show that the same score</w:t>
      </w:r>
      <w:r>
        <w:t xml:space="preserve"> </w:t>
      </w:r>
      <w:r>
        <w:t xml:space="preserve">threshold yields widely varying sensitivities (50–90%) once smoking histories, granulomatous disease</w:t>
      </w:r>
      <w:r>
        <w:t xml:space="preserve"> </w:t>
      </w:r>
      <w:r>
        <w:t xml:space="preserve">burdens, or acquisition kernels change, even before accounting for the fact that benign nodules dominate</w:t>
      </w:r>
      <w:r>
        <w:t xml:space="preserve"> </w:t>
      </w:r>
      <w:r>
        <w:t xml:space="preserve">community-screening cohorts </w:t>
      </w:r>
      <w:r>
        <w:t xml:space="preserve">[</w:t>
      </w:r>
      <w:hyperlink w:anchor="ref-garau_external_2020">
        <w:r>
          <w:rPr>
            <w:rStyle w:val="af"/>
          </w:rPr>
          <w:t xml:space="preserve">5</w:t>
        </w:r>
      </w:hyperlink>
      <w:r>
        <w:t xml:space="preserve">,</w:t>
      </w:r>
      <w:hyperlink w:anchor="ref-liu_establishment_2024">
        <w:r>
          <w:rPr>
            <w:rStyle w:val="af"/>
          </w:rPr>
          <w:t xml:space="preserve">7</w:t>
        </w:r>
      </w:hyperlink>
      <w:r>
        <w:t xml:space="preserve">]</w:t>
      </w:r>
      <w:r>
        <w:t xml:space="preserve">. Radiomics pipelines and</w:t>
      </w:r>
      <w:r>
        <w:t xml:space="preserve"> </w:t>
      </w:r>
      <w:r>
        <w:t xml:space="preserve">3D CNNs attain strong internal AUCs on NLST and LIDC, yet external validations reveal double-digit</w:t>
      </w:r>
      <w:r>
        <w:t xml:space="preserve"> </w:t>
      </w:r>
      <w:r>
        <w:t xml:space="preserve">declines when voxel spacing, reconstruction kernels, or ethnic mix shift, and shortcut learning can prompt</w:t>
      </w:r>
      <w:r>
        <w:t xml:space="preserve"> </w:t>
      </w:r>
      <w:r>
        <w:t xml:space="preserve">models to rely on hospital-specific artifacts rather than biology </w:t>
      </w:r>
      <w:r>
        <w:t xml:space="preserve">[</w:t>
      </w:r>
      <w:hyperlink w:anchor="ref-hellin2024unraveling">
        <w:r>
          <w:rPr>
            <w:rStyle w:val="af"/>
          </w:rPr>
          <w:t xml:space="preserve">10</w:t>
        </w:r>
      </w:hyperlink>
      <w:r>
        <w:t xml:space="preserve">,</w:t>
      </w:r>
      <w:hyperlink w:anchor="ref-ardila_end--end_2019">
        <w:r>
          <w:rPr>
            <w:rStyle w:val="af"/>
          </w:rPr>
          <w:t xml:space="preserve">29</w:t>
        </w:r>
      </w:hyperlink>
      <w:r>
        <w:t xml:space="preserve">,</w:t>
      </w:r>
      <w:hyperlink w:anchor="ref-zech_variable_2018">
        <w:r>
          <w:rPr>
            <w:rStyle w:val="af"/>
          </w:rPr>
          <w:t xml:space="preserve">30</w:t>
        </w:r>
      </w:hyperlink>
      <w:r>
        <w:t xml:space="preserve">]</w:t>
      </w:r>
      <w:r>
        <w:t xml:space="preserve">.</w:t>
      </w:r>
      <w:r>
        <w:t xml:space="preserve"> </w:t>
      </w:r>
      <w:r>
        <w:t xml:space="preserve">Domain adaptation techniques drawn from imaging—adversarial discriminators, cycle-consistent</w:t>
      </w:r>
      <w:r>
        <w:t xml:space="preserve"> </w:t>
      </w:r>
      <w:r>
        <w:t xml:space="preserve">transfers, and optimal transport—help when both domains share feature schemas, but they rarely address</w:t>
      </w:r>
      <w:r>
        <w:t xml:space="preserve"> </w:t>
      </w:r>
      <w:r>
        <w:t xml:space="preserve">the missing-variable problem or the strict small-</w:t>
      </w:r>
      <m:oMath>
        <m:r>
          <m:t>N</m:t>
        </m:r>
      </m:oMath>
      <w:r>
        <w:t xml:space="preserve"> </w:t>
      </w:r>
      <w:r>
        <w:t xml:space="preserve">regime of tabular nodular</w:t>
      </w:r>
      <w:r>
        <w:t xml:space="preserve"> </w:t>
      </w:r>
      <w:r>
        <w:t xml:space="preserve">cohorts </w:t>
      </w:r>
      <w:r>
        <w:t xml:space="preserve">[</w:t>
      </w:r>
      <w:hyperlink w:anchor="ref-guan2021domain">
        <w:r>
          <w:rPr>
            <w:rStyle w:val="af"/>
          </w:rPr>
          <w:t xml:space="preserve">22</w:t>
        </w:r>
      </w:hyperlink>
      <w:r>
        <w:t xml:space="preserve">,</w:t>
      </w:r>
      <w:hyperlink w:anchor="ref-ahn_unsupervised_2023">
        <w:r>
          <w:rPr>
            <w:rStyle w:val="af"/>
          </w:rPr>
          <w:t xml:space="preserve">28</w:t>
        </w:r>
      </w:hyperlink>
      <w:r>
        <w:t xml:space="preserve">]</w:t>
      </w:r>
      <w:r>
        <w:t xml:space="preserve">. Even TableShift, Wild-Time, and BRFSS benchmarks</w:t>
      </w:r>
      <w:r>
        <w:t xml:space="preserve"> </w:t>
      </w:r>
      <w:r>
        <w:t xml:space="preserve">illustrate that strong in-distribution accuracy does not guarantee out-of-distribution reliability and that</w:t>
      </w:r>
      <w:r>
        <w:t xml:space="preserve"> </w:t>
      </w:r>
      <w:r>
        <w:t xml:space="preserve">label shift dominates error budgets unless prevalence-aware sampling or calibration is</w:t>
      </w:r>
      <w:r>
        <w:t xml:space="preserve"> </w:t>
      </w:r>
      <w:r>
        <w:t xml:space="preserve">performed </w:t>
      </w:r>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r>
        <w:t xml:space="preserve">.</w:t>
      </w:r>
    </w:p>
    <w:p>
      <w:pPr>
        <w:pStyle w:val="a0"/>
      </w:pPr>
      <w:r>
        <w:t xml:space="preserve">Three recurring fault lines run through cross-hospital deployments. First, protocol heterogeneity induces</w:t>
      </w:r>
      <w:r>
        <w:t xml:space="preserve"> </w:t>
      </w:r>
      <w:r>
        <w:t xml:space="preserve">covariate shift: radiology departments change reconstruction kernels, slice thicknesses, and iterative</w:t>
      </w:r>
      <w:r>
        <w:t xml:space="preserve"> </w:t>
      </w:r>
      <w:r>
        <w:t xml:space="preserve">denoisers across scanner upgrades, while laboratory information systems switch assay vendors and</w:t>
      </w:r>
      <w:r>
        <w:t xml:space="preserve"> </w:t>
      </w:r>
      <w:r>
        <w:t xml:space="preserve">reference ranges; even BRFSS survey wording drifts across years, warping marginal feature distributions.</w:t>
      </w:r>
      <w:r>
        <w:t xml:space="preserve"> </w:t>
      </w:r>
      <w:r>
        <w:t xml:space="preserve">Second, label prevalence shifts with setting: tertiary oncology centers see far more malignant nodules</w:t>
      </w:r>
      <w:r>
        <w:t xml:space="preserve"> </w:t>
      </w:r>
      <w:r>
        <w:t xml:space="preserve">than community-screening sites, and diabetes rates differ sharply across racial cohorts. Thresholds tuned</w:t>
      </w:r>
      <w:r>
        <w:t xml:space="preserve"> </w:t>
      </w:r>
      <w:r>
        <w:t xml:space="preserve">to one prevalence produce over-biopsy or missed cancers elsewhere, creating safety and regulatory risk.</w:t>
      </w:r>
      <w:r>
        <w:t xml:space="preserve"> </w:t>
      </w:r>
      <w:r>
        <w:t xml:space="preserve">Third, feature mismatches and missingness invalidate naive alignment: hospitals log different biomarker</w:t>
      </w:r>
      <w:r>
        <w:t xml:space="preserve"> </w:t>
      </w:r>
      <w:r>
        <w:t xml:space="preserve">panels, use distinct encodings for smoking status, or drop variables entirely when tests are not ordered.</w:t>
      </w:r>
      <w:r>
        <w:t xml:space="preserve"> </w:t>
      </w:r>
      <w:r>
        <w:t xml:space="preserve">Without schema-aware pruning, models overfit site-specific artifacts or fail on missing columns. These</w:t>
      </w:r>
      <w:r>
        <w:t xml:space="preserve"> </w:t>
      </w:r>
      <w:r>
        <w:t xml:space="preserve">shifts accumulate over time (concept drift), so one-off calibration cannot guarantee safe operation.</w:t>
      </w:r>
    </w:p>
    <w:p>
      <w:pPr>
        <w:pStyle w:val="a0"/>
      </w:pPr>
      <w:r>
        <w:t xml:space="preserve">The algorithmic landscape mirrors these stresses. Gradient-boosted trees cope with messy scales and</w:t>
      </w:r>
      <w:r>
        <w:t xml:space="preserve"> </w:t>
      </w:r>
      <w:r>
        <w:t xml:space="preserve">missingness but require abundant data to control variance and cannot be fine-tuned across domains</w:t>
      </w:r>
      <w:r>
        <w:t xml:space="preserve"> </w:t>
      </w:r>
      <w:r>
        <w:t xml:space="preserve">without rebuilding from scratch. Deep tabular models offer differentiable representations and multimodal</w:t>
      </w:r>
      <w:r>
        <w:t xml:space="preserve"> </w:t>
      </w:r>
      <w:r>
        <w:t xml:space="preserve">fusion, yet they are data hungry, sensitive to hyperparameters, and often fail when the effective sample</w:t>
      </w:r>
      <w:r>
        <w:t xml:space="preserve"> </w:t>
      </w:r>
      <w:r>
        <w:t xml:space="preserve">size falls below a few thousand </w:t>
      </w:r>
      <w:r>
        <w:t xml:space="preserve">[</w:t>
      </w:r>
      <w:hyperlink w:anchor="ref-gorishniy2021revisiting">
        <w:r>
          <w:rPr>
            <w:rStyle w:val="af"/>
          </w:rPr>
          <w:t xml:space="preserve">9</w:t>
        </w:r>
      </w:hyperlink>
      <w:r>
        <w:t xml:space="preserve">,</w:t>
      </w:r>
      <w:hyperlink w:anchor="ref-borisov2022deep">
        <w:r>
          <w:rPr>
            <w:rStyle w:val="af"/>
          </w:rPr>
          <w:t xml:space="preserve">14</w:t>
        </w:r>
      </w:hyperlink>
      <w:r>
        <w:t xml:space="preserve">]</w:t>
      </w:r>
      <w:r>
        <w:t xml:space="preserve">. Tabular foundation models</w:t>
      </w:r>
      <w:r>
        <w:t xml:space="preserve"> </w:t>
      </w:r>
      <w:r>
        <w:t xml:space="preserve">such as TabPFN relax the data requirement through extensive pre-training and in-context learning, but they</w:t>
      </w:r>
      <w:r>
        <w:t xml:space="preserve"> </w:t>
      </w:r>
      <w:r>
        <w:t xml:space="preserve">inherit closed-world assumptions: the context window expects a stable joint distribution and a consistent</w:t>
      </w:r>
      <w:r>
        <w:t xml:space="preserve"> </w:t>
      </w:r>
      <w:r>
        <w:t xml:space="preserve">feature schema. When any of the three fault lines above appear, attention weights focus on</w:t>
      </w:r>
      <w:r>
        <w:t xml:space="preserve"> </w:t>
      </w:r>
      <w:r>
        <w:t xml:space="preserve">non-comparable neighbors, inflating confidence while accuracy</w:t>
      </w:r>
      <w:r>
        <w:t xml:space="preserve"> </w:t>
      </w:r>
      <w:r>
        <w:t xml:space="preserve">erodes </w:t>
      </w:r>
      <w:r>
        <w:t xml:space="preserve">[</w:t>
      </w:r>
      <w:hyperlink w:anchor="ref-noauthor_realistic_nodate">
        <w:r>
          <w:rPr>
            <w:rStyle w:val="af"/>
          </w:rPr>
          <w:t xml:space="preserve">18</w:t>
        </w:r>
      </w:hyperlink>
      <w:r>
        <w:t xml:space="preserve">,</w:t>
      </w:r>
      <w:hyperlink w:anchor="X60a9a1bcb93ef50ea8b7bc291808839e814cc23">
        <w:r>
          <w:rPr>
            <w:rStyle w:val="af"/>
          </w:rPr>
          <w:t xml:space="preserve">19</w:t>
        </w:r>
      </w:hyperlink>
      <w:r>
        <w:t xml:space="preserve">,</w:t>
      </w:r>
      <w:hyperlink w:anchor="ref-schneider2024foundation">
        <w:r>
          <w:rPr>
            <w:rStyle w:val="af"/>
          </w:rPr>
          <w:t xml:space="preserve">21</w:t>
        </w:r>
      </w:hyperlink>
      <w:r>
        <w:t xml:space="preserve">]</w:t>
      </w:r>
      <w:r>
        <w:t xml:space="preserve">.</w:t>
      </w:r>
    </w:p>
    <w:p>
      <w:pPr>
        <w:pStyle w:val="a0"/>
      </w:pPr>
      <w:r>
        <w:t xml:space="preserve">Safety guidance now emphasizes designing for shift rather than reacting to it. Agencies and hospital</w:t>
      </w:r>
      <w:r>
        <w:t xml:space="preserve"> </w:t>
      </w:r>
      <w:r>
        <w:t xml:space="preserve">governance boards increasingly demand evidence that models remain calibrated when equipment,</w:t>
      </w:r>
      <w:r>
        <w:t xml:space="preserve"> </w:t>
      </w:r>
      <w:r>
        <w:t xml:space="preserve">demographics, or policies change </w:t>
      </w:r>
      <w:r>
        <w:t xml:space="preserve">[</w:t>
      </w:r>
      <w:hyperlink w:anchor="ref-koch2024distribution">
        <w:r>
          <w:rPr>
            <w:rStyle w:val="af"/>
          </w:rPr>
          <w:t xml:space="preserve">24</w:t>
        </w:r>
      </w:hyperlink>
      <w:r>
        <w:t xml:space="preserve">]</w:t>
      </w:r>
      <w:r>
        <w:t xml:space="preserve">. In practice, relying on AUC alone hides</w:t>
      </w:r>
      <w:r>
        <w:t xml:space="preserve"> </w:t>
      </w:r>
      <w:r>
        <w:t xml:space="preserve">threshold failures: a model can preserve rank ordering of patients yet still trigger excessive false</w:t>
      </w:r>
      <w:r>
        <w:t xml:space="preserve"> </w:t>
      </w:r>
      <w:r>
        <w:t xml:space="preserve">positives after prevalence drifts. Cross-hospital nodule tools must therefore expose calibration behavior</w:t>
      </w:r>
      <w:r>
        <w:t xml:space="preserve"> </w:t>
      </w:r>
      <w:r>
        <w:t xml:space="preserve">and maintain sensitivity where early intervention matters most, especially under privacy rules that</w:t>
      </w:r>
      <w:r>
        <w:t xml:space="preserve"> </w:t>
      </w:r>
      <w:r>
        <w:t xml:space="preserve">preclude sharing target labels. These requirements push method design toward unsupervised alignment,</w:t>
      </w:r>
      <w:r>
        <w:t xml:space="preserve"> </w:t>
      </w:r>
      <w:r>
        <w:t xml:space="preserve">feature budget discipline, and explicit handling of prevalence drift.</w:t>
      </w:r>
    </w:p>
    <w:p>
      <w:pPr>
        <w:pStyle w:val="a0"/>
      </w:pPr>
      <w:r>
        <w:t xml:space="preserve">Taken together, the research gap is stark: tree ensembles and deep tabular networks struggle with small,</w:t>
      </w:r>
      <w:r>
        <w:t xml:space="preserve"> </w:t>
      </w:r>
      <w:r>
        <w:t xml:space="preserve">heterogeneous cohorts; foundation models improve small-sample performance but assume matched domains;</w:t>
      </w:r>
      <w:r>
        <w:t xml:space="preserve"> </w:t>
      </w:r>
      <w:r>
        <w:t xml:space="preserve">and generic domain adaptation rarely accounts for missing features or label drift in clinical tables. A</w:t>
      </w:r>
      <w:r>
        <w:t xml:space="preserve"> </w:t>
      </w:r>
      <w:r>
        <w:t xml:space="preserve">credible solution must (i) retain sample efficiency via strong priors, (ii) discard site-specific signals that</w:t>
      </w:r>
      <w:r>
        <w:t xml:space="preserve"> </w:t>
      </w:r>
      <w:r>
        <w:t xml:space="preserve">cannot transfer, and (iii) align source and target representations without target labels or schema</w:t>
      </w:r>
      <w:r>
        <w:t xml:space="preserve"> </w:t>
      </w:r>
      <w:r>
        <w:t xml:space="preserve">changes.</w:t>
      </w:r>
    </w:p>
    <w:p>
      <w:pPr>
        <w:pStyle w:val="a0"/>
      </w:pPr>
      <w:r>
        <w:t xml:space="preserve">Pulmonary nodule screening crystallizes these issues. Tuberculosis and pneumoconiosis inflate upper-lobe</w:t>
      </w:r>
      <w:r>
        <w:t xml:space="preserve"> </w:t>
      </w:r>
      <w:r>
        <w:t xml:space="preserve">benign nodules in many Asian cohorts, confounding upper-lobe priors embedded in Western-derived scores;</w:t>
      </w:r>
      <w:r>
        <w:t xml:space="preserve"> </w:t>
      </w:r>
      <w:r>
        <w:t xml:space="preserve">smoking histories differ by region and era; and scanner upgrades alter texture features that radiomics</w:t>
      </w:r>
      <w:r>
        <w:t xml:space="preserve"> </w:t>
      </w:r>
      <w:r>
        <w:t xml:space="preserve">and 3D CNNs depend upon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hyperlink w:anchor="ref-zech_variable_2018">
        <w:r>
          <w:rPr>
            <w:rStyle w:val="af"/>
          </w:rPr>
          <w:t xml:space="preserve">30</w:t>
        </w:r>
      </w:hyperlink>
      <w:r>
        <w:t xml:space="preserve">]</w:t>
      </w:r>
      <w:r>
        <w:t xml:space="preserve">. Thresholds</w:t>
      </w:r>
      <w:r>
        <w:t xml:space="preserve"> </w:t>
      </w:r>
      <w:r>
        <w:t xml:space="preserve">optimized on tertiary centers with high malignancy prevalence overcall cancer in community settings,</w:t>
      </w:r>
      <w:r>
        <w:t xml:space="preserve"> </w:t>
      </w:r>
      <w:r>
        <w:t xml:space="preserve">triggering unnecessary biopsies. Conversely, down-tuned thresholds can miss aggressive lesions in</w:t>
      </w:r>
      <w:r>
        <w:t xml:space="preserve"> </w:t>
      </w:r>
      <w:r>
        <w:t xml:space="preserve">high-risk clinics. Similar tensions arise in the BRFSS race-shift task: demographic composition,</w:t>
      </w:r>
      <w:r>
        <w:t xml:space="preserve"> </w:t>
      </w:r>
      <w:r>
        <w:t xml:space="preserve">socioeconomic exposures, and survey-year wording alter the marginal distribution of risk factors, while</w:t>
      </w:r>
      <w:r>
        <w:t xml:space="preserve"> </w:t>
      </w:r>
      <w:r>
        <w:t xml:space="preserve">diabetes prevalence rises from 12.5% (White) to 17.4% (non-White), so fixed operating points misfire.</w:t>
      </w:r>
      <w:r>
        <w:t xml:space="preserve"> </w:t>
      </w:r>
      <w:r>
        <w:t xml:space="preserve">Any method that ignores these shifts risks brittle, non-actionable predictions.</w:t>
      </w:r>
    </w:p>
    <w:p>
      <w:pPr>
        <w:pStyle w:val="a0"/>
      </w:pPr>
      <w:r>
        <w:t xml:space="preserve">Design constraints follow from these observations. Models must be frugal with labels, avoid dependence</w:t>
      </w:r>
      <w:r>
        <w:t xml:space="preserve"> </w:t>
      </w:r>
      <w:r>
        <w:t xml:space="preserve">on site-specific variables, expose calibration behavior across prevalences, and handle unlabeled target</w:t>
      </w:r>
      <w:r>
        <w:t xml:space="preserve"> </w:t>
      </w:r>
      <w:r>
        <w:t xml:space="preserve">domains where privacy bars cross-site annotations. They must also degrade gracefully when partial</w:t>
      </w:r>
      <w:r>
        <w:t xml:space="preserve"> </w:t>
      </w:r>
      <w:r>
        <w:t xml:space="preserve">feature overlap forces a reduced schema. These constraints shape our approach to pairing pre-trained</w:t>
      </w:r>
      <w:r>
        <w:t xml:space="preserve"> </w:t>
      </w:r>
      <w:r>
        <w:t xml:space="preserve">priors with statistical alignment and minimal, stable feature sets instead of relying on brute-force</w:t>
      </w:r>
      <w:r>
        <w:t xml:space="preserve"> </w:t>
      </w:r>
      <w:r>
        <w:t xml:space="preserve">training.</w:t>
      </w:r>
    </w:p>
    <w:p>
      <w:pPr>
        <w:pStyle w:val="a0"/>
      </w:pPr>
      <w:r>
        <w:t xml:space="preserve">The broader AI trajectory for tabular healthcare data provides both ingredients and warnings. Tree</w:t>
      </w:r>
      <w:r>
        <w:t xml:space="preserve"> </w:t>
      </w:r>
      <w:r>
        <w:t xml:space="preserve">ensembles remain strong baselines because they tolerate mixed scales and missingness, yet their</w:t>
      </w:r>
      <w:r>
        <w:t xml:space="preserve"> </w:t>
      </w:r>
      <w:r>
        <w:t xml:space="preserve">non-differentiable nature makes them hard to adapt across sites or fuse with other</w:t>
      </w:r>
      <w:r>
        <w:t xml:space="preserve"> </w:t>
      </w:r>
      <w:r>
        <w:t xml:space="preserve">modalities </w:t>
      </w:r>
      <w:r>
        <w:t xml:space="preserve">[</w:t>
      </w:r>
      <w:hyperlink w:anchor="ref-chen2016xgboost">
        <w:r>
          <w:rPr>
            <w:rStyle w:val="af"/>
          </w:rPr>
          <w:t xml:space="preserve">8</w:t>
        </w:r>
      </w:hyperlink>
      <w:r>
        <w:t xml:space="preserve">,</w:t>
      </w:r>
      <w:hyperlink w:anchor="ref-borisov2022deep">
        <w:r>
          <w:rPr>
            <w:rStyle w:val="af"/>
          </w:rPr>
          <w:t xml:space="preserve">14</w:t>
        </w:r>
      </w:hyperlink>
      <w:r>
        <w:t xml:space="preserve">]</w:t>
      </w:r>
      <w:r>
        <w:t xml:space="preserve">. Deep tabular models (TabNet, TabTransformer, SAINT,</w:t>
      </w:r>
      <w:r>
        <w:t xml:space="preserve"> </w:t>
      </w:r>
      <w:r>
        <w:t xml:space="preserve">FT-Transformer) introduce attention and gating to structured data, but they are data hungry,</w:t>
      </w:r>
      <w:r>
        <w:t xml:space="preserve"> </w:t>
      </w:r>
      <w:r>
        <w:t xml:space="preserve">hyperparameter-sensitive, and vulnerable to batch-statistic or encoding drift when hospitals differ in</w:t>
      </w:r>
      <w:r>
        <w:t xml:space="preserve"> </w:t>
      </w:r>
      <w:r>
        <w:t xml:space="preserve">coding or preprocessing </w:t>
      </w:r>
      <w:r>
        <w:t xml:space="preserve">[</w:t>
      </w:r>
      <w:hyperlink w:anchor="ref-gorishniy2021revisiting">
        <w:r>
          <w:rPr>
            <w:rStyle w:val="af"/>
          </w:rPr>
          <w:t xml:space="preserve">9</w:t>
        </w:r>
      </w:hyperlink>
      <w:r>
        <w:t xml:space="preserve">,</w:t>
      </w:r>
      <w:hyperlink w:anchor="ref-arik2021tabnet">
        <w:r>
          <w:rPr>
            <w:rStyle w:val="af"/>
          </w:rPr>
          <w:t xml:space="preserve">11</w:t>
        </w:r>
      </w:hyperlink>
      <w:r>
        <w:t xml:space="preserve">–</w:t>
      </w:r>
      <w:hyperlink w:anchor="ref-somepalli2021saint">
        <w:r>
          <w:rPr>
            <w:rStyle w:val="af"/>
          </w:rPr>
          <w:t xml:space="preserve">13</w:t>
        </w:r>
      </w:hyperlink>
      <w:r>
        <w:t xml:space="preserve">]</w:t>
      </w:r>
      <w:r>
        <w:t xml:space="preserve">.</w:t>
      </w:r>
      <w:r>
        <w:t xml:space="preserve"> </w:t>
      </w:r>
      <w:r>
        <w:t xml:space="preserve">Tabular foundation models promise sample efficiency via massive synthetic pre-training and in-context</w:t>
      </w:r>
      <w:r>
        <w:t xml:space="preserve"> </w:t>
      </w:r>
      <w:r>
        <w:t xml:space="preserve">learning, yet they still assume aligned schemas and stable covariates; when scanners, assay panels, or</w:t>
      </w:r>
      <w:r>
        <w:t xml:space="preserve"> </w:t>
      </w:r>
      <w:r>
        <w:t xml:space="preserve">demographics shift, attention can anchor on non-comparable</w:t>
      </w:r>
      <w:r>
        <w:t xml:space="preserve"> </w:t>
      </w:r>
      <w:r>
        <w:t xml:space="preserve">neighbors </w:t>
      </w:r>
      <w:r>
        <w:t xml:space="preserve">[</w:t>
      </w:r>
      <w:hyperlink w:anchor="ref-noauthor_realistic_nodate">
        <w:r>
          <w:rPr>
            <w:rStyle w:val="af"/>
          </w:rPr>
          <w:t xml:space="preserve">18</w:t>
        </w:r>
      </w:hyperlink>
      <w:r>
        <w:t xml:space="preserve">,</w:t>
      </w:r>
      <w:hyperlink w:anchor="X60a9a1bcb93ef50ea8b7bc291808839e814cc23">
        <w:r>
          <w:rPr>
            <w:rStyle w:val="af"/>
          </w:rPr>
          <w:t xml:space="preserve">19</w:t>
        </w:r>
      </w:hyperlink>
      <w:r>
        <w:t xml:space="preserve">,</w:t>
      </w:r>
      <w:hyperlink w:anchor="ref-schneider2024foundation">
        <w:r>
          <w:rPr>
            <w:rStyle w:val="af"/>
          </w:rPr>
          <w:t xml:space="preserve">21</w:t>
        </w:r>
      </w:hyperlink>
      <w:r>
        <w:t xml:space="preserve">]</w:t>
      </w:r>
      <w:r>
        <w:t xml:space="preserve">.</w:t>
      </w:r>
      <w:r>
        <w:t xml:space="preserve"> </w:t>
      </w:r>
      <w:r>
        <w:t xml:space="preserve">Tabular large language models serialize rows into prompts and leverage general-purpose reasoning but</w:t>
      </w:r>
      <w:r>
        <w:t xml:space="preserve"> </w:t>
      </w:r>
      <w:r>
        <w:t xml:space="preserve">incur heavy latency and often struggle with the precise numerical reasoning demanded by</w:t>
      </w:r>
      <w:r>
        <w:t xml:space="preserve"> </w:t>
      </w:r>
      <w:r>
        <w:t xml:space="preserve">biomarkers </w:t>
      </w:r>
      <w:r>
        <w:t xml:space="preserve">[</w:t>
      </w:r>
      <w:hyperlink w:anchor="ref-eremeev_turning_2025">
        <w:r>
          <w:rPr>
            <w:rStyle w:val="af"/>
          </w:rPr>
          <w:t xml:space="preserve">20</w:t>
        </w:r>
      </w:hyperlink>
      <w:r>
        <w:t xml:space="preserve">]</w:t>
      </w:r>
      <w:r>
        <w:t xml:space="preserve">. Across these families, robustness depends less on raw capacity</w:t>
      </w:r>
      <w:r>
        <w:t xml:space="preserve"> </w:t>
      </w:r>
      <w:r>
        <w:t xml:space="preserve">than on respecting feature overlap and shift.</w:t>
      </w:r>
    </w:p>
    <w:p>
      <w:pPr>
        <w:pStyle w:val="a0"/>
      </w:pPr>
      <w:r>
        <w:t xml:space="preserve">Small-sample, high-dimensional, and imbalanced regimes further amplify brittleness. Pulmonary nodule</w:t>
      </w:r>
      <w:r>
        <w:t xml:space="preserve"> </w:t>
      </w:r>
      <w:r>
        <w:t xml:space="preserve">cohorts rarely exceed a few hundred labeled patients, while radiomics or biomarker panels can contain</w:t>
      </w:r>
      <w:r>
        <w:t xml:space="preserve"> </w:t>
      </w:r>
      <w:r>
        <w:t xml:space="preserve">over a hundred variables; naive inclusion of all features raises variance and encodes site-specific</w:t>
      </w:r>
      <w:r>
        <w:t xml:space="preserve"> </w:t>
      </w:r>
      <w:r>
        <w:t xml:space="preserve">artifacts. Stability-driven feature selection (e.g., RFE on shared features) mitigates this variance and</w:t>
      </w:r>
      <w:r>
        <w:t xml:space="preserve"> </w:t>
      </w:r>
      <w:r>
        <w:t xml:space="preserve">reduces schema mismatch, especially when positive classes are</w:t>
      </w:r>
      <w:r>
        <w:t xml:space="preserve"> </w:t>
      </w:r>
      <w:r>
        <w:t xml:space="preserve">scarce </w:t>
      </w:r>
      <w:r>
        <w:t xml:space="preserve">[</w:t>
      </w:r>
      <w:hyperlink w:anchor="ref-sun2019informative">
        <w:r>
          <w:rPr>
            <w:rStyle w:val="af"/>
          </w:rPr>
          <w:t xml:space="preserve">31</w:t>
        </w:r>
      </w:hyperlink>
      <w:r>
        <w:t xml:space="preserve">]</w:t>
      </w:r>
      <w:r>
        <w:t xml:space="preserve">. Class imbalance and prevalence drift also distort thresholds: an</w:t>
      </w:r>
      <w:r>
        <w:t xml:space="preserve"> </w:t>
      </w:r>
      <w:r>
        <w:t xml:space="preserve">operating point tuned on a tertiary center with 60–70% malignancy prevalence over-calls in community</w:t>
      </w:r>
      <w:r>
        <w:t xml:space="preserve"> </w:t>
      </w:r>
      <w:r>
        <w:t xml:space="preserve">screening, while diabetes prevalence jumps between White and non-White cohorts in BRFSS, eroding</w:t>
      </w:r>
      <w:r>
        <w:t xml:space="preserve"> </w:t>
      </w:r>
      <w:r>
        <w:t xml:space="preserve">precision and calibration.</w:t>
      </w:r>
    </w:p>
    <w:p>
      <w:pPr>
        <w:pStyle w:val="a0"/>
      </w:pPr>
      <w:r>
        <w:t xml:space="preserve">Concrete cross-hospital failures underscore these themes. Meta-analyses of Mayo/VA/Brock successors</w:t>
      </w:r>
      <w:r>
        <w:t xml:space="preserve"> </w:t>
      </w:r>
      <w:r>
        <w:t xml:space="preserve">show AUC reductions of 0.1–0.3 when models are transferred from U.S. academic centers to Asian</w:t>
      </w:r>
      <w:r>
        <w:t xml:space="preserve"> </w:t>
      </w:r>
      <w:r>
        <w:t xml:space="preserve">screening programs, driven by different granuloma burdens, smoking histories, and scanner</w:t>
      </w:r>
      <w:r>
        <w:t xml:space="preserve"> </w:t>
      </w:r>
      <w:r>
        <w:t xml:space="preserve">kernels </w:t>
      </w:r>
      <w:r>
        <w:t xml:space="preserve">[</w:t>
      </w:r>
      <w:hyperlink w:anchor="ref-garau_external_2020">
        <w:r>
          <w:rPr>
            <w:rStyle w:val="af"/>
          </w:rPr>
          <w:t xml:space="preserve">5</w:t>
        </w:r>
      </w:hyperlink>
      <w:r>
        <w:t xml:space="preserve">–</w:t>
      </w:r>
      <w:hyperlink w:anchor="ref-liu_establishment_2024">
        <w:r>
          <w:rPr>
            <w:rStyle w:val="af"/>
          </w:rPr>
          <w:t xml:space="preserve">7</w:t>
        </w:r>
      </w:hyperlink>
      <w:r>
        <w:t xml:space="preserve">]</w:t>
      </w:r>
      <w:r>
        <w:t xml:space="preserve">. Radiomics signatures</w:t>
      </w:r>
      <w:r>
        <w:t xml:space="preserve"> </w:t>
      </w:r>
      <w:r>
        <w:t xml:space="preserve">tuned on sharp-kernel CTs lose discriminatory power on smooth-kernel images unless aggressively</w:t>
      </w:r>
      <w:r>
        <w:t xml:space="preserve"> </w:t>
      </w:r>
      <w:r>
        <w:t xml:space="preserve">harmonized, and even then residual scanner bias can dominate texture</w:t>
      </w:r>
      <w:r>
        <w:t xml:space="preserve"> </w:t>
      </w:r>
      <w:r>
        <w:t xml:space="preserve">features </w:t>
      </w:r>
      <w:r>
        <w:t xml:space="preserve">[</w:t>
      </w:r>
      <w:hyperlink w:anchor="ref-hellin2024unraveling">
        <w:r>
          <w:rPr>
            <w:rStyle w:val="af"/>
          </w:rPr>
          <w:t xml:space="preserve">10</w:t>
        </w:r>
      </w:hyperlink>
      <w:r>
        <w:t xml:space="preserve">]</w:t>
      </w:r>
      <w:r>
        <w:t xml:space="preserve">. Cross-year BRFSS surveys alter wording and missingness patterns;</w:t>
      </w:r>
      <w:r>
        <w:t xml:space="preserve"> </w:t>
      </w:r>
      <w:r>
        <w:t xml:space="preserve">features such as self-reported health or smoking show discrete shifts that break models calibrated on</w:t>
      </w:r>
      <w:r>
        <w:t xml:space="preserve"> </w:t>
      </w:r>
      <w:r>
        <w:t xml:space="preserve">earlier years. These cases illustrate that without explicit feature pruning and alignment, both classic</w:t>
      </w:r>
      <w:r>
        <w:t xml:space="preserve"> </w:t>
      </w:r>
      <w:r>
        <w:t xml:space="preserve">and modern models can become confidently wrong.</w:t>
      </w:r>
    </w:p>
    <w:p>
      <w:pPr>
        <w:pStyle w:val="a0"/>
      </w:pPr>
      <w:r>
        <w:t xml:space="preserve">To demonstrate robustness beyond our private hospital cohorts, we additionally validate on a public</w:t>
      </w:r>
      <w:r>
        <w:t xml:space="preserve"> </w:t>
      </w:r>
      <w:r>
        <w:t xml:space="preserve">cross-domain benchmark (TableShift BRFSS Diabetes) that introduces a race-driven shift (White</w:t>
      </w:r>
      <w:r>
        <w:t xml:space="preserve"> </w:t>
      </w:r>
      <m:oMath>
        <m:r>
          <m:rPr>
            <m:sty m:val="p"/>
          </m:rPr>
          <m:t>→</m:t>
        </m:r>
      </m:oMath>
      <w:r>
        <w:t xml:space="preserve"> </w:t>
      </w:r>
      <w:r>
        <w:t xml:space="preserve">non-White) and survey-year drift. This setting mirrors the same combination of covariate,</w:t>
      </w:r>
      <w:r>
        <w:t xml:space="preserve"> </w:t>
      </w:r>
      <w:r>
        <w:t xml:space="preserve">label, and concept shift while operating at national scale, ensuring that the proposed approach</w:t>
      </w:r>
      <w:r>
        <w:t xml:space="preserve"> </w:t>
      </w:r>
      <w:r>
        <w:t xml:space="preserve">addresses both clinical and population-level distribution shifts without changing the chapter structure</w:t>
      </w:r>
      <w:r>
        <w:t xml:space="preserve"> </w:t>
      </w:r>
      <w:r>
        <w:t xml:space="preserve">or adding new modeling components.</w:t>
      </w:r>
    </w:p>
    <w:p>
      <w:pPr>
        <w:pStyle w:val="a0"/>
      </w:pPr>
      <w:r>
        <w:t xml:space="preserve">Safety and regulation make these failures more than academic. Post-market surveillance guidelines now</w:t>
      </w:r>
      <w:r>
        <w:t xml:space="preserve"> </w:t>
      </w:r>
      <w:r>
        <w:t xml:space="preserve">expect evidence of calibration and drift monitoring when models are deployed across equipment upgrades,</w:t>
      </w:r>
      <w:r>
        <w:t xml:space="preserve"> </w:t>
      </w:r>
      <w:r>
        <w:t xml:space="preserve">demographic mixes, or policy changes </w:t>
      </w:r>
      <w:r>
        <w:t xml:space="preserve">[</w:t>
      </w:r>
      <w:hyperlink w:anchor="ref-koch2024distribution">
        <w:r>
          <w:rPr>
            <w:rStyle w:val="af"/>
          </w:rPr>
          <w:t xml:space="preserve">24</w:t>
        </w:r>
      </w:hyperlink>
      <w:r>
        <w:t xml:space="preserve">]</w:t>
      </w:r>
      <w:r>
        <w:t xml:space="preserve">. AUC alone cannot certify safe decision</w:t>
      </w:r>
      <w:r>
        <w:t xml:space="preserve"> </w:t>
      </w:r>
      <w:r>
        <w:t xml:space="preserve">support: over-diagnosis from optimistic thresholds causes unnecessary biopsies, while under-diagnosis</w:t>
      </w:r>
      <w:r>
        <w:t xml:space="preserve"> </w:t>
      </w:r>
      <w:r>
        <w:t xml:space="preserve">from prevalence shifts can miss aggressive lesions. Privacy constraints often forbid labeled target data,</w:t>
      </w:r>
      <w:r>
        <w:t xml:space="preserve"> </w:t>
      </w:r>
      <w:r>
        <w:t xml:space="preserve">ruling out supervised recalibration. Any deployable system must therefore assume unlabeled targets,</w:t>
      </w:r>
      <w:r>
        <w:t xml:space="preserve"> </w:t>
      </w:r>
      <w:r>
        <w:t xml:space="preserve">partial feature overlap, and shifting priors, while still exposing confidence and calibration behavior to</w:t>
      </w:r>
      <w:r>
        <w:t xml:space="preserve"> </w:t>
      </w:r>
      <w:r>
        <w:t xml:space="preserve">human overseers.</w:t>
      </w:r>
    </w:p>
    <w:p>
      <w:pPr>
        <w:pStyle w:val="a0"/>
      </w:pPr>
      <w:r>
        <w:t xml:space="preserve">The shift landscape is multifaceted and worth making explicit.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emerges when scanner kernels, survey wording, or coding changes alter feature distributions; label shift</w:t>
      </w:r>
      <w:r>
        <w:t xml:space="preserve"> </w:t>
      </w:r>
      <w:r>
        <w:t xml:space="preserve">(</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follows from different prevalences across centers, races, or years; 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 appears when new clinical guidelines, demographics, or comorbidities</w:t>
      </w:r>
      <w:r>
        <w:t xml:space="preserve"> </w:t>
      </w:r>
      <w:r>
        <w:t xml:space="preserve">change the meaning of a feature vector </w:t>
      </w:r>
      <w:r>
        <w:t xml:space="preserve">[</w:t>
      </w:r>
      <w:hyperlink w:anchor="ref-koch2024distribution">
        <w:r>
          <w:rPr>
            <w:rStyle w:val="af"/>
          </w:rPr>
          <w:t xml:space="preserve">24</w:t>
        </w:r>
      </w:hyperlink>
      <w:r>
        <w:t xml:space="preserve">]</w:t>
      </w:r>
      <w:r>
        <w:t xml:space="preserve">. Classical ERM optimizes source risk</w:t>
      </w:r>
      <w:r>
        <w:t xml:space="preserve"> </w:t>
      </w:r>
      <w:r>
        <w:t xml:space="preserve">and leaves the divergence term uncontrolled, so even strong in-distribution accuracy fails to upper-bound</w:t>
      </w:r>
      <w:r>
        <w:t xml:space="preserve"> </w:t>
      </w:r>
      <w:r>
        <w:t xml:space="preserve">target error. In practice, the three shifts co-occur: BRFSS race splits bundle covariate drift (lifestyle</w:t>
      </w:r>
      <w:r>
        <w:t xml:space="preserve"> </w:t>
      </w:r>
      <w:r>
        <w:t xml:space="preserve">and socioeconomic factors), label shift (diabetes prevalence), and concept changes (different risk weight</w:t>
      </w:r>
      <w:r>
        <w:t xml:space="preserve"> </w:t>
      </w:r>
      <w:r>
        <w:t xml:space="preserve">for identical behaviors). Pulmonary nodules exhibit the same mix: granulomatous disease confounds</w:t>
      </w:r>
      <w:r>
        <w:t xml:space="preserve"> </w:t>
      </w:r>
      <w:r>
        <w:t xml:space="preserve">location priors, and protocol upgrades change radiomic textures. These conditions invalidate the implicit</w:t>
      </w:r>
      <w:r>
        <w:t xml:space="preserve"> </w:t>
      </w:r>
      <w:r>
        <w:t xml:space="preserve">closed-world assumptions behind most off-the-shelf models.</w:t>
      </w:r>
    </w:p>
    <w:p>
      <w:pPr>
        <w:pStyle w:val="a0"/>
      </w:pPr>
      <w:r>
        <w:t xml:space="preserve">Prior attempts to bridge domains reveal recurring limitations. Adversarial discriminators and</w:t>
      </w:r>
      <w:r>
        <w:t xml:space="preserve"> </w:t>
      </w:r>
      <w:r>
        <w:t xml:space="preserve">style-transfer methods from imaging presume shared feature grids and plentiful target data; in tabular</w:t>
      </w:r>
      <w:r>
        <w:t xml:space="preserve"> </w:t>
      </w:r>
      <w:r>
        <w:t xml:space="preserve">medicine, missing columns, mixed data types, and unlabeled targets induce instability or mode</w:t>
      </w:r>
      <w:r>
        <w:t xml:space="preserve"> </w:t>
      </w:r>
      <w:r>
        <w:t xml:space="preserve">collapse </w:t>
      </w:r>
      <w:r>
        <w:t xml:space="preserve">[</w:t>
      </w:r>
      <w:hyperlink w:anchor="ref-guan2021domain">
        <w:r>
          <w:rPr>
            <w:rStyle w:val="af"/>
          </w:rPr>
          <w:t xml:space="preserve">22</w:t>
        </w:r>
      </w:hyperlink>
      <w:r>
        <w:t xml:space="preserve">,</w:t>
      </w:r>
      <w:hyperlink w:anchor="ref-ahn_unsupervised_2023">
        <w:r>
          <w:rPr>
            <w:rStyle w:val="af"/>
          </w:rPr>
          <w:t xml:space="preserve">28</w:t>
        </w:r>
      </w:hyperlink>
      <w:r>
        <w:t xml:space="preserve">]</w:t>
      </w:r>
      <w:r>
        <w:t xml:space="preserve">. Statistical alignment methods such as MMD and</w:t>
      </w:r>
      <w:r>
        <w:t xml:space="preserve"> </w:t>
      </w:r>
      <w:r>
        <w:t xml:space="preserve">CORAL are more stable but still assume overlapping schemas and can degrade discriminative variance when</w:t>
      </w:r>
      <w:r>
        <w:t xml:space="preserve"> </w:t>
      </w:r>
      <w:r>
        <w:t xml:space="preserve">applied naively. Invariant risk minimization and GroupDRO show promise in vision but routinely</w:t>
      </w:r>
      <w:r>
        <w:t xml:space="preserve"> </w:t>
      </w:r>
      <w:r>
        <w:t xml:space="preserve">underperform tuned GBDTs on tabular benchmarks such as TableShift and</w:t>
      </w:r>
      <w:r>
        <w:t xml:space="preserve"> </w:t>
      </w:r>
      <w:r>
        <w:t xml:space="preserve">Wild-Time </w:t>
      </w:r>
      <w:r>
        <w:t xml:space="preserve">[</w:t>
      </w:r>
      <w:hyperlink w:anchor="ref-gardner_benchmarking_2024">
        <w:r>
          <w:rPr>
            <w:rStyle w:val="af"/>
          </w:rPr>
          <w:t xml:space="preserve">27</w:t>
        </w:r>
      </w:hyperlink>
      <w:r>
        <w:t xml:space="preserve">]</w:t>
      </w:r>
      <w:r>
        <w:t xml:space="preserve">. These results motivate combining alignment with strong</w:t>
      </w:r>
      <w:r>
        <w:t xml:space="preserve"> </w:t>
      </w:r>
      <w:r>
        <w:t xml:space="preserve">priors rather than expecting any single robustness mechanism to suffice.</w:t>
      </w:r>
    </w:p>
    <w:p>
      <w:pPr>
        <w:pStyle w:val="a0"/>
      </w:pPr>
      <w:r>
        <w:t xml:space="preserve">Feature engineering choices matter as much as model class. Clinical tables mix continuous laboratory</w:t>
      </w:r>
      <w:r>
        <w:t xml:space="preserve"> </w:t>
      </w:r>
      <w:r>
        <w:t xml:space="preserve">values, ordinal scores, sparse categorical codes, and structured missingness; simple one-hot encoding</w:t>
      </w:r>
      <w:r>
        <w:t xml:space="preserve"> </w:t>
      </w:r>
      <w:r>
        <w:t xml:space="preserve">expands dimensionality and sparsity, harming small-</w:t>
      </w:r>
      <m:oMath>
        <m:r>
          <m:t>N</m:t>
        </m:r>
      </m:oMath>
      <w:r>
        <w:t xml:space="preserve"> </w:t>
      </w:r>
      <w:r>
        <w:t xml:space="preserve">generalization. Stability-driven feature pruning,</w:t>
      </w:r>
      <w:r>
        <w:t xml:space="preserve"> </w:t>
      </w:r>
      <w:r>
        <w:t xml:space="preserve">hierarchical encoding of categorical variables, and unit-aware normalization reduce spurious site</w:t>
      </w:r>
      <w:r>
        <w:t xml:space="preserve"> </w:t>
      </w:r>
      <w:r>
        <w:t xml:space="preserve">signatures and focus attention on shared, clinically interpretable</w:t>
      </w:r>
      <w:r>
        <w:t xml:space="preserve"> </w:t>
      </w:r>
      <w:r>
        <w:t xml:space="preserve">signals </w:t>
      </w:r>
      <w:r>
        <w:t xml:space="preserve">[</w:t>
      </w:r>
      <w:hyperlink w:anchor="ref-sun2019informative">
        <w:r>
          <w:rPr>
            <w:rStyle w:val="af"/>
          </w:rPr>
          <w:t xml:space="preserve">31</w:t>
        </w:r>
      </w:hyperlink>
      <w:r>
        <w:t xml:space="preserve">]</w:t>
      </w:r>
      <w:r>
        <w:t xml:space="preserve">. Recursive feature elimination across domains further enforces schema</w:t>
      </w:r>
      <w:r>
        <w:t xml:space="preserve"> </w:t>
      </w:r>
      <w:r>
        <w:t xml:space="preserve">overlap, trading a slight drop in ceiling accuracy for substantial gains in portability when hospitals</w:t>
      </w:r>
      <w:r>
        <w:t xml:space="preserve"> </w:t>
      </w:r>
      <w:r>
        <w:t xml:space="preserve">differ.</w:t>
      </w:r>
    </w:p>
    <w:p>
      <w:pPr>
        <w:pStyle w:val="a0"/>
      </w:pPr>
      <w:r>
        <w:t xml:space="preserve">The same caution extends to emerging tabular large-language-model approaches. Serializing rows into text</w:t>
      </w:r>
      <w:r>
        <w:t xml:space="preserve"> </w:t>
      </w:r>
      <w:r>
        <w:t xml:space="preserve">prompts allows reuse of general reasoning, but tokenizing high-cardinality numerical columns inflates</w:t>
      </w:r>
      <w:r>
        <w:t xml:space="preserve"> </w:t>
      </w:r>
      <w:r>
        <w:t xml:space="preserve">context windows, introduces quantization error, and increases latency; moreover, LLM priors trained on</w:t>
      </w:r>
      <w:r>
        <w:t xml:space="preserve"> </w:t>
      </w:r>
      <w:r>
        <w:t xml:space="preserve">web text do not encode clinical calibration by default </w:t>
      </w:r>
      <w:r>
        <w:t xml:space="preserve">[</w:t>
      </w:r>
      <w:hyperlink w:anchor="ref-eremeev_turning_2025">
        <w:r>
          <w:rPr>
            <w:rStyle w:val="af"/>
          </w:rPr>
          <w:t xml:space="preserve">20</w:t>
        </w:r>
      </w:hyperlink>
      <w:r>
        <w:t xml:space="preserve">]</w:t>
      </w:r>
      <w:r>
        <w:t xml:space="preserve">. Without explicit</w:t>
      </w:r>
      <w:r>
        <w:t xml:space="preserve"> </w:t>
      </w:r>
      <w:r>
        <w:t xml:space="preserve">calibration or domain alignment, TabLLM-style systems risk confident misclassification when faced with</w:t>
      </w:r>
      <w:r>
        <w:t xml:space="preserve"> </w:t>
      </w:r>
      <w:r>
        <w:t xml:space="preserve">out-of-template lab panels or race-specific prevalence changes.</w:t>
      </w:r>
    </w:p>
    <w:p>
      <w:pPr>
        <w:pStyle w:val="a0"/>
      </w:pPr>
      <w:r>
        <w:t xml:space="preserve">Regulatory and clinical workflows impose further constraints on deployment. Hospitals require traceable</w:t>
      </w:r>
      <w:r>
        <w:t xml:space="preserve"> </w:t>
      </w:r>
      <w:r>
        <w:t xml:space="preserve">decision rationales, audit logs of model updates, and clear operating thresholds tied to disease</w:t>
      </w:r>
      <w:r>
        <w:t xml:space="preserve"> </w:t>
      </w:r>
      <w:r>
        <w:t xml:space="preserve">prevalence. When labels cannot be shared across sites, calibration transfer must rely on unsupervised</w:t>
      </w:r>
      <w:r>
        <w:t xml:space="preserve"> </w:t>
      </w:r>
      <w:r>
        <w:t xml:space="preserve">statistics or prior knowledge; model updates must avoid catastrophic forgetting of earlier domains while</w:t>
      </w:r>
      <w:r>
        <w:t xml:space="preserve"> </w:t>
      </w:r>
      <w:r>
        <w:t xml:space="preserve">accommodating drift. These practical requirements narrow the design space toward approaches that</w:t>
      </w:r>
      <w:r>
        <w:t xml:space="preserve"> </w:t>
      </w:r>
      <w:r>
        <w:t xml:space="preserve">separate representation learning from alignment and that make minimal assumptions about target</w:t>
      </w:r>
      <w:r>
        <w:t xml:space="preserve"> </w:t>
      </w:r>
      <w:r>
        <w:t xml:space="preserve">supervision or schema completeness.</w:t>
      </w:r>
    </w:p>
    <w:p>
      <w:pPr>
        <w:pStyle w:val="a0"/>
      </w:pPr>
      <w:r>
        <w:t xml:space="preserve">This study therefore proceeds from a pragmatic stance: it embraces tabular foundation models for their</w:t>
      </w:r>
      <w:r>
        <w:t xml:space="preserve"> </w:t>
      </w:r>
      <w:r>
        <w:t xml:space="preserve">sample efficiency, but surrounds them with schema-aware feature pruning and unlabeled alignment so that</w:t>
      </w:r>
      <w:r>
        <w:t xml:space="preserve"> </w:t>
      </w:r>
      <w:r>
        <w:t xml:space="preserve">attention operates on comparable examples even when hospitals, years, or races differ. The remainder of</w:t>
      </w:r>
      <w:r>
        <w:t xml:space="preserve"> </w:t>
      </w:r>
      <w:r>
        <w:t xml:space="preserve">this manuscript formalizes the cross-domain problem, surveys prior art, and presents PANDA—a pipeline</w:t>
      </w:r>
      <w:r>
        <w:t xml:space="preserve"> </w:t>
      </w:r>
      <w:r>
        <w:t xml:space="preserve">that chains cross-domain RFE, Transfer Component Analysis, and TabPFN inference—to restore</w:t>
      </w:r>
      <w:r>
        <w:t xml:space="preserve"> </w:t>
      </w:r>
      <w:r>
        <w:t xml:space="preserve">calibration and discrimination under realistic deployment constraints.</w:t>
      </w:r>
    </w:p>
    <w:p>
      <w:pPr>
        <w:pStyle w:val="a0"/>
      </w:pPr>
      <w:r>
        <w:t xml:space="preserve">Across these categories, shortcomings accumulate rather than cancel. Tree ensembles are</w:t>
      </w:r>
      <w:r>
        <w:t xml:space="preserve"> </w:t>
      </w:r>
      <w:r>
        <w:t xml:space="preserve">non-differentiable and brittle in the small-sample regime; modest covariate shifts or low positive</w:t>
      </w:r>
      <w:r>
        <w:t xml:space="preserve"> </w:t>
      </w:r>
      <w:r>
        <w:t xml:space="preserve">fractions push them toward overfitting and preclude gradient-based adaptation or calibration transfer</w:t>
      </w:r>
      <w:r>
        <w:t xml:space="preserve"> </w:t>
      </w:r>
      <w:r>
        <w:t xml:space="preserve">across sites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Deep tabular models introduce differentiable</w:t>
      </w:r>
      <w:r>
        <w:t xml:space="preserve"> </w:t>
      </w:r>
      <w:r>
        <w:t xml:space="preserve">representations but remain data hungry and tuning sensitive, and batch-statistic drift or coding changes</w:t>
      </w:r>
      <w:r>
        <w:t xml:space="preserve"> </w:t>
      </w:r>
      <w:r>
        <w:t xml:space="preserve">can collapse learned embeddings when cohorts span hospitals or survey</w:t>
      </w:r>
      <w:r>
        <w:t xml:space="preserve"> </w:t>
      </w:r>
      <w:r>
        <w:t xml:space="preserve">years </w:t>
      </w:r>
      <w:r>
        <w:t xml:space="preserve">[</w:t>
      </w:r>
      <w:hyperlink w:anchor="ref-borisov2022deep">
        <w:r>
          <w:rPr>
            <w:rStyle w:val="af"/>
          </w:rPr>
          <w:t xml:space="preserve">14</w:t>
        </w:r>
      </w:hyperlink>
      <w:r>
        <w:t xml:space="preserve">]</w:t>
      </w:r>
      <w:r>
        <w:t xml:space="preserve">. Tabular foundation models improve sample efficiency but retain a</w:t>
      </w:r>
      <w:r>
        <w:t xml:space="preserve"> </w:t>
      </w:r>
      <w:r>
        <w:t xml:space="preserve">closed-world view of the feature schema and marginal distributions: attention seeks nearest neighbors</w:t>
      </w:r>
      <w:r>
        <w:t xml:space="preserve"> </w:t>
      </w:r>
      <w:r>
        <w:t xml:space="preserve">that may be non-comparable once scanners, biomarker panels, or demographic mixes shift, leading to</w:t>
      </w:r>
      <w:r>
        <w:t xml:space="preserve"> </w:t>
      </w:r>
      <w:r>
        <w:t xml:space="preserve">confident but incorrect matches </w:t>
      </w:r>
      <w:r>
        <w:t xml:space="preserve">[</w:t>
      </w:r>
      <w:hyperlink w:anchor="ref-noauthor_realistic_nodate">
        <w:r>
          <w:rPr>
            <w:rStyle w:val="af"/>
          </w:rPr>
          <w:t xml:space="preserve">18</w:t>
        </w:r>
      </w:hyperlink>
      <w:r>
        <w:t xml:space="preserve">,</w:t>
      </w:r>
      <w:hyperlink w:anchor="ref-schneider2024foundation">
        <w:r>
          <w:rPr>
            <w:rStyle w:val="af"/>
          </w:rPr>
          <w:t xml:space="preserve">21</w:t>
        </w:r>
      </w:hyperlink>
      <w:r>
        <w:t xml:space="preserve">]</w:t>
      </w:r>
      <w:r>
        <w:t xml:space="preserve">.</w:t>
      </w:r>
      <w:r>
        <w:t xml:space="preserve"> </w:t>
      </w:r>
      <w:r>
        <w:t xml:space="preserve">Adaptation techniques borrowed from imaging—adversarial discriminators, cycle/style transfer, and</w:t>
      </w:r>
      <w:r>
        <w:t xml:space="preserve"> </w:t>
      </w:r>
      <w:r>
        <w:t xml:space="preserve">optimal-transport aligners—assume shared feature grids and label access; they falter when target</w:t>
      </w:r>
      <w:r>
        <w:t xml:space="preserve"> </w:t>
      </w:r>
      <w:r>
        <w:t xml:space="preserve">domains are unlabeled, omit variables entirely, or experience label drift, as documented on TableShift</w:t>
      </w:r>
      <w:r>
        <w:t xml:space="preserve"> </w:t>
      </w:r>
      <w:r>
        <w:t xml:space="preserve">and in medical domain-adaptation surveys </w:t>
      </w:r>
      <w:r>
        <w:t xml:space="preserve">[</w:t>
      </w:r>
      <w:hyperlink w:anchor="ref-koch2024distribution">
        <w:r>
          <w:rPr>
            <w:rStyle w:val="af"/>
          </w:rPr>
          <w:t xml:space="preserve">24</w:t>
        </w:r>
      </w:hyperlink>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r>
        <w:t xml:space="preserve">.</w:t>
      </w:r>
    </w:p>
    <w:p>
      <w:pPr>
        <w:pStyle w:val="a0"/>
      </w:pPr>
      <w:r>
        <w:t xml:space="preserve">Despite rapid progress in deep tabular modeling, the combination of small-sample regimes, covariate</w:t>
      </w:r>
      <w:r>
        <w:t xml:space="preserve"> </w:t>
      </w:r>
      <w:r>
        <w:t xml:space="preserve">drift, and feature-space mismatch remains largely unsolved in cross-hospital pulmonary nodule</w:t>
      </w:r>
      <w:r>
        <w:t xml:space="preserve"> </w:t>
      </w:r>
      <w:r>
        <w:t xml:space="preserve">prediction. Existing AI methods—tree ensembles, deep tabular networks, and foundation-model</w:t>
      </w:r>
      <w:r>
        <w:t xml:space="preserve"> </w:t>
      </w:r>
      <w:r>
        <w:t xml:space="preserve">variants—usually presume stable schemas or labeled targets, assumptions that rarely hold in real</w:t>
      </w:r>
      <w:r>
        <w:t xml:space="preserve"> </w:t>
      </w:r>
      <w:r>
        <w:t xml:space="preserve">deployments. These gaps motivate a hybrid framework that integrates pre-trained tabular priors,</w:t>
      </w:r>
      <w:r>
        <w:t xml:space="preserve"> </w:t>
      </w:r>
      <w:r>
        <w:t xml:space="preserve">schema-aware feature selection, and unsupervised domain alignment, which we develop in this study.</w:t>
      </w:r>
    </w:p>
    <w:p>
      <w:pPr>
        <w:pStyle w:val="a0"/>
      </w:pPr>
      <w:r>
        <w:t xml:space="preserve">In cross-hospital pulmonary nodule prediction and BRFSS race-shift diabetes prediction, these gaps</w:t>
      </w:r>
      <w:r>
        <w:t xml:space="preserve"> </w:t>
      </w:r>
      <w:r>
        <w:t xml:space="preserve">become acute: feature sets differ, prevalence drifts, and privacy blocks target labels, so neither trees,</w:t>
      </w:r>
      <w:r>
        <w:t xml:space="preserve"> </w:t>
      </w:r>
      <w:r>
        <w:t xml:space="preserve">deep tabular models, foundation models alone, nor imaging-style domain adaptation offers a complete</w:t>
      </w:r>
      <w:r>
        <w:t xml:space="preserve"> </w:t>
      </w:r>
      <w:r>
        <w:t xml:space="preserve">remedy. Any viable approach must combine strong priors, schema-aware feature pruning, and unlabeled</w:t>
      </w:r>
      <w:r>
        <w:t xml:space="preserve"> </w:t>
      </w:r>
      <w:r>
        <w:t xml:space="preserve">distribution alignment to regain calibration and sensitivity under shift.</w:t>
      </w:r>
    </w:p>
    <w:p>
      <w:pPr>
        <w:pStyle w:val="a0"/>
      </w:pPr>
      <w:r>
        <w:t xml:space="preserve">Our study therefore targets two representative settings: (i) cross-hospital pulmonary nodule prediction</w:t>
      </w:r>
      <w:r>
        <w:t xml:space="preserve"> </w:t>
      </w:r>
      <w:r>
        <w:t xml:space="preserve">where Cohort A provides labels but Cohort B remains unlabeled, and (ii) the TableShift BRFSS diabetes</w:t>
      </w:r>
      <w:r>
        <w:t xml:space="preserve"> </w:t>
      </w:r>
      <w:r>
        <w:t xml:space="preserve">race-split benchmark where White respondents form the source domain and non-White respondents form</w:t>
      </w:r>
      <w:r>
        <w:t xml:space="preserve"> </w:t>
      </w:r>
      <w:r>
        <w:t xml:space="preserve">the target. Both settings reflect the same deployment realities: privacy constraints, schema mismatch,</w:t>
      </w:r>
      <w:r>
        <w:t xml:space="preserve"> </w:t>
      </w:r>
      <w:r>
        <w:t xml:space="preserve">prevalence drift, and the need for sensitivity at clinically actionable thresholds. They also expose</w:t>
      </w:r>
      <w:r>
        <w:t xml:space="preserve"> </w:t>
      </w:r>
      <w:r>
        <w:t xml:space="preserve">failure modes of purely supervised training and of foundation models without adaptation, offering a</w:t>
      </w:r>
      <w:r>
        <w:t xml:space="preserve"> </w:t>
      </w:r>
      <w:r>
        <w:t xml:space="preserve">stress test for any proposed remedy.</w:t>
      </w:r>
    </w:p>
    <w:p>
      <w:pPr>
        <w:pStyle w:val="a0"/>
      </w:pPr>
      <w:r>
        <w:t xml:space="preserve">Because HIPAA/GDPR rules forbid sharing labeled target data, supervised domain adaptation and</w:t>
      </w:r>
      <w:r>
        <w:t xml:space="preserve"> </w:t>
      </w:r>
      <w:r>
        <w:t xml:space="preserve">threshold tuning on the target side are infeasible. Methods that assume label access or perfect feature</w:t>
      </w:r>
      <w:r>
        <w:t xml:space="preserve"> </w:t>
      </w:r>
      <w:r>
        <w:t xml:space="preserve">overlap therefore cannot be deployed in these scenarios. Any practical solution must work with source</w:t>
      </w:r>
      <w:r>
        <w:t xml:space="preserve"> </w:t>
      </w:r>
      <w:r>
        <w:t xml:space="preserve">labels only, respect schema intersections, and deliver calibrated probabilities despite prevalence</w:t>
      </w:r>
      <w:r>
        <w:t xml:space="preserve"> </w:t>
      </w:r>
      <w:r>
        <w:t xml:space="preserve">changes. This motivation drives the alignment-heavy, feature-prudent strategy developed here.</w:t>
      </w:r>
    </w:p>
    <w:p>
      <w:pPr>
        <w:pStyle w:val="a0"/>
      </w:pPr>
      <w:r>
        <w:t xml:space="preserve">Existing AI toolkits each leave gaps relative to these constraints. Tree ensembles cope with mixed</w:t>
      </w:r>
      <w:r>
        <w:t xml:space="preserve"> </w:t>
      </w:r>
      <w:r>
        <w:t xml:space="preserve">scales and missingness but cannot be fine-tuned across domains and quickly overfit when positive cases</w:t>
      </w:r>
      <w:r>
        <w:t xml:space="preserve"> </w:t>
      </w:r>
      <w:r>
        <w:t xml:space="preserve">are rare. Deep tabular models promise differentiable representations and multimodal fusion, yet they</w:t>
      </w:r>
      <w:r>
        <w:t xml:space="preserve"> </w:t>
      </w:r>
      <w:r>
        <w:t xml:space="preserve">require large, clean cohorts and collapse when categorical codes or batch statistics shift. Tabular</w:t>
      </w:r>
      <w:r>
        <w:t xml:space="preserve"> </w:t>
      </w:r>
      <w:r>
        <w:t xml:space="preserve">foundation models address the small-</w:t>
      </w:r>
      <m:oMath>
        <m:r>
          <m:t>N</m:t>
        </m:r>
      </m:oMath>
      <w:r>
        <w:t xml:space="preserve"> </w:t>
      </w:r>
      <w:r>
        <w:t xml:space="preserve">barrier but assume matched schemas and stable covariates, so</w:t>
      </w:r>
      <w:r>
        <w:t xml:space="preserve"> </w:t>
      </w:r>
      <w:r>
        <w:t xml:space="preserve">attention retrieves misleading neighbors when acquisition protocols change or when hospitals omit</w:t>
      </w:r>
      <w:r>
        <w:t xml:space="preserve"> </w:t>
      </w:r>
      <w:r>
        <w:t xml:space="preserve">variables. Generic domain-adaptation techniques from imaging—adversarial discriminators, style</w:t>
      </w:r>
      <w:r>
        <w:t xml:space="preserve"> </w:t>
      </w:r>
      <w:r>
        <w:t xml:space="preserve">transfer, and optimal transport—presume either shared feature grids or labeled targets; they seldom</w:t>
      </w:r>
      <w:r>
        <w:t xml:space="preserve"> </w:t>
      </w:r>
      <w:r>
        <w:t xml:space="preserve">consider missingness shift, prevalence drift, or unlabeled target domains that dominate clinical</w:t>
      </w:r>
      <w:r>
        <w:t xml:space="preserve"> </w:t>
      </w:r>
      <w:r>
        <w:t xml:space="preserve">deployments. Without explicit feature pruning and alignment, these methods can become overconfident</w:t>
      </w:r>
      <w:r>
        <w:t xml:space="preserve"> </w:t>
      </w:r>
      <w:r>
        <w:t xml:space="preserve">while making non-comparable comparisons across sites.</w:t>
      </w:r>
    </w:p>
    <w:p>
      <w:pPr>
        <w:pStyle w:val="a0"/>
      </w:pPr>
      <w:r>
        <w:t xml:space="preserve">We therefore introduce</w:t>
      </w:r>
      <w:r>
        <w:t xml:space="preserve"> </w:t>
      </w:r>
      <w:r>
        <w:rPr>
          <w:i/>
          <w:iCs/>
        </w:rPr>
        <w:t xml:space="preserve">PANDA</w:t>
      </w:r>
      <w:r>
        <w:t xml:space="preserve"> </w:t>
      </w:r>
      <w:r>
        <w:t xml:space="preserve">(Pretrained Adaptation Network with Domain Alignment), a</w:t>
      </w:r>
      <w:r>
        <w:t xml:space="preserve"> </w:t>
      </w:r>
      <w:r>
        <w:t xml:space="preserve">pragmatic framework that chains three proven ideas. First, TabPFN supplies a strong inductive prior for</w:t>
      </w:r>
      <w:r>
        <w:t xml:space="preserve"> </w:t>
      </w:r>
      <w:r>
        <w:t xml:space="preserve">small cohorts by meta-learning across millions of synthetic tabular tasks </w:t>
      </w:r>
      <w:r>
        <w:t xml:space="preserve">[</w:t>
      </w:r>
      <w:hyperlink w:anchor="ref-hollmann2025accurate">
        <w:r>
          <w:rPr>
            <w:rStyle w:val="af"/>
          </w:rPr>
          <w:t xml:space="preserve">15</w:t>
        </w:r>
      </w:hyperlink>
      <w:r>
        <w:t xml:space="preserve">]</w:t>
      </w:r>
      <w:r>
        <w:t xml:space="preserve">.</w:t>
      </w:r>
      <w:r>
        <w:t xml:space="preserve"> </w:t>
      </w:r>
      <w:r>
        <w:t xml:space="preserve">Second, Transfer Component Analysis (TCA) aligns source and target distributions in a shared</w:t>
      </w:r>
      <w:r>
        <w:t xml:space="preserve"> </w:t>
      </w:r>
      <w:r>
        <w:t xml:space="preserve">reproducing-kernel subspace without labeled target data, minimizing distributional divergence while</w:t>
      </w:r>
      <w:r>
        <w:t xml:space="preserve"> </w:t>
      </w:r>
      <w:r>
        <w:t xml:space="preserve">preserving clinical variance </w:t>
      </w:r>
      <w:r>
        <w:t xml:space="preserve">[</w:t>
      </w:r>
      <w:hyperlink w:anchor="ref-pan2010domain">
        <w:r>
          <w:rPr>
            <w:rStyle w:val="af"/>
          </w:rPr>
          <w:t xml:space="preserve">32</w:t>
        </w:r>
      </w:hyperlink>
      <w:r>
        <w:t xml:space="preserve">]</w:t>
      </w:r>
      <w:r>
        <w:t xml:space="preserve">. Third, cross-domain Recursive Feature Elimination</w:t>
      </w:r>
      <w:r>
        <w:t xml:space="preserve"> </w:t>
      </w:r>
      <w:r>
        <w:t xml:space="preserve">prunes to biomarkers that are consistently available and stable, mitigating schema mismatch and noisy</w:t>
      </w:r>
      <w:r>
        <w:t xml:space="preserve"> </w:t>
      </w:r>
      <w:r>
        <w:t xml:space="preserve">hospital artifacts </w:t>
      </w:r>
      <w:r>
        <w:t xml:space="preserve">[</w:t>
      </w:r>
      <w:hyperlink w:anchor="ref-sun2019informative">
        <w:r>
          <w:rPr>
            <w:rStyle w:val="af"/>
          </w:rPr>
          <w:t xml:space="preserve">31</w:t>
        </w:r>
      </w:hyperlink>
      <w:r>
        <w:t xml:space="preserve">]</w:t>
      </w:r>
      <w:r>
        <w:t xml:space="preserve">. PANDA targets the explicit goal of cross-hospital</w:t>
      </w:r>
      <w:r>
        <w:t xml:space="preserve"> </w:t>
      </w:r>
      <w:r>
        <w:t xml:space="preserve">pulmonary nodule prediction with screening-level sensitivity by combining these components rather</w:t>
      </w:r>
      <w:r>
        <w:t xml:space="preserve"> </w:t>
      </w:r>
      <w:r>
        <w:t xml:space="preserve">than relying on any single modeling breakthrough.</w:t>
      </w:r>
      <w:r>
        <w:t xml:space="preserve"> </w:t>
      </w:r>
      <w:bookmarkStart w:id="9" w:name="sec:intro-end"/>
      <w:bookmarkEnd w:id="9"/>
    </w:p>
    <w:bookmarkEnd w:id="10"/>
    <w:bookmarkStart w:id="38" w:name="sec:rw-start"/>
    <w:p>
      <w:pPr>
        <w:pStyle w:val="1"/>
      </w:pPr>
      <w:r>
        <w:t xml:space="preserve">Related Work</w:t>
      </w:r>
    </w:p>
    <w:p>
      <w:pPr>
        <w:pStyle w:val="FirstParagraph"/>
      </w:pPr>
      <w:bookmarkStart w:id="11" w:name="sec:related-work"/>
      <w:bookmarkEnd w:id="11"/>
    </w:p>
    <w:bookmarkStart w:id="16" w:name="X94d90ebdbcb13758fda152fd1a32ad65a44b118"/>
    <w:p>
      <w:pPr>
        <w:pStyle w:val="2"/>
      </w:pP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21</w:t>
        </w:r>
      </w:hyperlink>
      <w:r>
        <w:t xml:space="preserve">,</w:t>
      </w:r>
      <w:hyperlink w:anchor="ref-bommasani2021opportunities">
        <w:r>
          <w:rPr>
            <w:rStyle w:val="af"/>
          </w:rPr>
          <w:t xml:space="preserve">33</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2" w:name="tree-ensembles-for-clinical-tabular-data"/>
    <w:p>
      <w:pPr>
        <w:pStyle w:val="3"/>
      </w:pP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14</w:t>
        </w:r>
      </w:hyperlink>
      <w:r>
        <w:t xml:space="preserve">,</w:t>
      </w:r>
      <w:hyperlink w:anchor="ref-grinsztajn_why_2022">
        <w:r>
          <w:rPr>
            <w:rStyle w:val="af"/>
          </w:rPr>
          <w:t xml:space="preserve">34</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37</w:t>
        </w:r>
      </w:hyperlink>
      <w:r>
        <w:t xml:space="preserve">,</w:t>
      </w:r>
      <w:hyperlink w:anchor="ref-liu_tabpfn_2025">
        <w:r>
          <w:rPr>
            <w:rStyle w:val="af"/>
          </w:rPr>
          <w:t xml:space="preserve">38</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27</w:t>
        </w:r>
      </w:hyperlink>
      <w:r>
        <w:t xml:space="preserve">,</w:t>
      </w:r>
      <w:hyperlink w:anchor="ref-fan_tabular_2024">
        <w:r>
          <w:rPr>
            <w:rStyle w:val="af"/>
          </w:rPr>
          <w:t xml:space="preserve">36</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27</w:t>
        </w:r>
      </w:hyperlink>
      <w:r>
        <w:t xml:space="preserve">,</w:t>
      </w:r>
      <w:hyperlink w:anchor="ref-fan_tabular_2024">
        <w:r>
          <w:rPr>
            <w:rStyle w:val="af"/>
          </w:rPr>
          <w:t xml:space="preserve">36</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24</w:t>
        </w:r>
      </w:hyperlink>
      <w:r>
        <w:t xml:space="preserve">,</w:t>
      </w:r>
      <w:hyperlink w:anchor="ref-guo_evaluation_2022">
        <w:r>
          <w:rPr>
            <w:rStyle w:val="af"/>
          </w:rPr>
          <w:t xml:space="preserve">25</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2"/>
    <w:bookmarkStart w:id="13" w:name="deep-tabular-networks"/>
    <w:p>
      <w:pPr>
        <w:pStyle w:val="3"/>
      </w:pP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11</w:t>
        </w:r>
      </w:hyperlink>
      <w:r>
        <w:t xml:space="preserve">,</w:t>
      </w:r>
      <w:hyperlink w:anchor="ref-somepalli2021saint">
        <w:r>
          <w:rPr>
            <w:rStyle w:val="af"/>
          </w:rPr>
          <w:t xml:space="preserve">13</w:t>
        </w:r>
      </w:hyperlink>
      <w:r>
        <w:t xml:space="preserve">,</w:t>
      </w:r>
      <w:hyperlink w:anchor="ref-huang_tabtransformer_2020">
        <w:r>
          <w:rPr>
            <w:rStyle w:val="af"/>
          </w:rPr>
          <w:t xml:space="preserve">39</w:t>
        </w:r>
      </w:hyperlink>
      <w:r>
        <w:t xml:space="preserve">,</w:t>
      </w:r>
      <w:hyperlink w:anchor="ref-gorishniy_revisiting_2021">
        <w:r>
          <w:rPr>
            <w:rStyle w:val="af"/>
          </w:rPr>
          <w:t xml:space="preserve">40</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41</w:t>
        </w:r>
      </w:hyperlink>
      <w:r>
        <w:t xml:space="preserve">–</w:t>
      </w:r>
      <w:hyperlink w:anchor="ref-somvanshi2024survey">
        <w:r>
          <w:rPr>
            <w:rStyle w:val="af"/>
          </w:rPr>
          <w:t xml:space="preserve">45</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35</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36</w:t>
        </w:r>
      </w:hyperlink>
      <w:r>
        <w:t xml:space="preserve">,</w:t>
      </w:r>
      <w:hyperlink w:anchor="ref-ren_deep_2025">
        <w:r>
          <w:rPr>
            <w:rStyle w:val="af"/>
          </w:rPr>
          <w:t xml:space="preserve">46</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36</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25</w:t>
        </w:r>
      </w:hyperlink>
      <w:r>
        <w:t xml:space="preserve">,</w:t>
      </w:r>
      <w:hyperlink w:anchor="ref-ren_deep_2025">
        <w:r>
          <w:rPr>
            <w:rStyle w:val="af"/>
          </w:rPr>
          <w:t xml:space="preserve">46</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25</w:t>
        </w:r>
      </w:hyperlink>
      <w:r>
        <w:t xml:space="preserve">,</w:t>
      </w:r>
      <w:hyperlink w:anchor="ref-ren_deep_2025">
        <w:r>
          <w:rPr>
            <w:rStyle w:val="af"/>
          </w:rPr>
          <w:t xml:space="preserve">46</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3"/>
    <w:bookmarkStart w:id="15" w:name="tabular-foundation-models"/>
    <w:p>
      <w:pPr>
        <w:pStyle w:val="3"/>
      </w:pP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15</w:t>
        </w:r>
      </w:hyperlink>
      <w:r>
        <w:t xml:space="preserve">,</w:t>
      </w:r>
      <w:hyperlink w:anchor="ref-hollmann_accurate_2025">
        <w:r>
          <w:rPr>
            <w:rStyle w:val="af"/>
          </w:rPr>
          <w:t xml:space="preserve">47</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16</w:t>
        </w:r>
      </w:hyperlink>
      <w:r>
        <w:t xml:space="preserve">–</w:t>
      </w:r>
      <w:hyperlink w:anchor="ref-noauthor_realistic_nodate">
        <w:r>
          <w:rPr>
            <w:rStyle w:val="af"/>
          </w:rPr>
          <w:t xml:space="preserve">18</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19</w:t>
        </w:r>
      </w:hyperlink>
      <w:r>
        <w:t xml:space="preserve">,</w:t>
      </w:r>
      <w:hyperlink w:anchor="ref-helli_drift-resilient_2024">
        <w:r>
          <w:rPr>
            <w:rStyle w:val="af"/>
          </w:rPr>
          <w:t xml:space="preserve">48</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20</w:t>
        </w:r>
      </w:hyperlink>
      <w:r>
        <w:t xml:space="preserve">,</w:t>
      </w:r>
      <w:hyperlink w:anchor="ref-chen_tabpfn_2025">
        <w:r>
          <w:rPr>
            <w:rStyle w:val="af"/>
          </w:rPr>
          <w:t xml:space="preserve">49</w:t>
        </w:r>
      </w:hyperlink>
      <w:r>
        <w:t xml:space="preserve">,</w:t>
      </w:r>
      <w:hyperlink w:anchor="ref-liu_tabular_2025">
        <w:r>
          <w:rPr>
            <w:rStyle w:val="af"/>
          </w:rPr>
          <w:t xml:space="preserve">50</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eremeev_turning_2025">
        <w:r>
          <w:rPr>
            <w:rStyle w:val="af"/>
          </w:rPr>
          <w:t xml:space="preserve">20</w:t>
        </w:r>
      </w:hyperlink>
      <w:r>
        <w:t xml:space="preserve">,</w:t>
      </w:r>
      <w:hyperlink w:anchor="ref-brown2020language">
        <w:r>
          <w:rPr>
            <w:rStyle w:val="af"/>
          </w:rPr>
          <w:t xml:space="preserve">51</w:t>
        </w:r>
      </w:hyperlink>
      <w:r>
        <w:t xml:space="preserve">,</w:t>
      </w:r>
      <w:hyperlink w:anchor="ref-jayawardhana_transformers_2025">
        <w:r>
          <w:rPr>
            <w:rStyle w:val="af"/>
          </w:rPr>
          <w:t xml:space="preserve">52</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53</w:t>
        </w:r>
      </w:hyperlink>
      <w:r>
        <w:t xml:space="preserve">,</w:t>
      </w:r>
      <w:hyperlink w:anchor="ref-noauthor_pdf_nodate">
        <w:r>
          <w:rPr>
            <w:rStyle w:val="af"/>
          </w:rPr>
          <w:t xml:space="preserve">54</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38</w:t>
        </w:r>
      </w:hyperlink>
      <w:r>
        <w:t xml:space="preserve">,</w:t>
      </w:r>
      <w:hyperlink w:anchor="ref-loh_basis_2025">
        <w:r>
          <w:rPr>
            <w:rStyle w:val="af"/>
          </w:rPr>
          <w:t xml:space="preserve">42</w:t>
        </w:r>
      </w:hyperlink>
      <w:r>
        <w:t xml:space="preserve">,</w:t>
      </w:r>
      <w:hyperlink w:anchor="ref-kolesnikov_wild-tab_2023">
        <w:r>
          <w:rPr>
            <w:rStyle w:val="af"/>
          </w:rPr>
          <w:t xml:space="preserve">55</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4"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4"/>
    <w:bookmarkEnd w:id="15"/>
    <w:bookmarkEnd w:id="16"/>
    <w:bookmarkStart w:id="22" w:name="X3242a1b0fc77ff4d092d2aaa0c177c4bed40b23"/>
    <w:p>
      <w:pPr>
        <w:pStyle w:val="2"/>
      </w:pP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24</w:t>
        </w:r>
      </w:hyperlink>
      <w:r>
        <w:t xml:space="preserve">,</w:t>
      </w:r>
      <w:hyperlink w:anchor="ref-guo_evaluation_2022">
        <w:r>
          <w:rPr>
            <w:rStyle w:val="af"/>
          </w:rPr>
          <w:t xml:space="preserve">25</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7" w:name="X40df40c4323b87611e258bdecd41109c65f401e"/>
    <w:p>
      <w:pPr>
        <w:pStyle w:val="3"/>
      </w:pP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li_transport-based_2024">
        <w:r>
          <w:rPr>
            <w:rStyle w:val="af"/>
          </w:rPr>
          <w:t xml:space="preserve">59</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22</w:t>
        </w:r>
      </w:hyperlink>
      <w:r>
        <w:t xml:space="preserve">,</w:t>
      </w:r>
      <w:hyperlink w:anchor="ref-guo_evaluation_2022">
        <w:r>
          <w:rPr>
            <w:rStyle w:val="af"/>
          </w:rPr>
          <w:t xml:space="preserve">25</w:t>
        </w:r>
      </w:hyperlink>
      <w:r>
        <w:t xml:space="preserve">,</w:t>
      </w:r>
      <w:hyperlink w:anchor="ref-zhang_adadiag_2022">
        <w:r>
          <w:rPr>
            <w:rStyle w:val="af"/>
          </w:rPr>
          <w:t xml:space="preserve">58</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24</w:t>
        </w:r>
      </w:hyperlink>
      <w:r>
        <w:t xml:space="preserve">,</w:t>
      </w:r>
      <w:hyperlink w:anchor="ref-gardner_benchmarking_2024">
        <w:r>
          <w:rPr>
            <w:rStyle w:val="af"/>
          </w:rPr>
          <w:t xml:space="preserve">27</w:t>
        </w:r>
      </w:hyperlink>
      <w:r>
        <w:t xml:space="preserve">,</w:t>
      </w:r>
      <w:hyperlink w:anchor="ref-pan2010domain">
        <w:r>
          <w:rPr>
            <w:rStyle w:val="af"/>
          </w:rPr>
          <w:t xml:space="preserve">32</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7"/>
    <w:bookmarkStart w:id="18" w:name="Xfc0f840fa44167f8c48ab8d812f64b7cdd077ac"/>
    <w:p>
      <w:pPr>
        <w:pStyle w:val="3"/>
      </w:pP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hyperlink w:anchor="ref-pham_open-set_2025">
        <w:r>
          <w:rPr>
            <w:rStyle w:val="af"/>
          </w:rPr>
          <w:t xml:space="preserve">61</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22</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64</w:t>
        </w:r>
      </w:hyperlink>
      <w:r>
        <w:t xml:space="preserve">,</w:t>
      </w:r>
      <w:hyperlink w:anchor="ref-stokes_domain_2025">
        <w:r>
          <w:rPr>
            <w:rStyle w:val="af"/>
          </w:rPr>
          <w:t xml:space="preserve">65</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28</w:t>
        </w:r>
      </w:hyperlink>
      <w:r>
        <w:t xml:space="preserve">,</w:t>
      </w:r>
      <w:hyperlink w:anchor="ref-he_multi-attention_2022">
        <w:r>
          <w:rPr>
            <w:rStyle w:val="af"/>
          </w:rPr>
          <w:t xml:space="preserve">66</w:t>
        </w:r>
      </w:hyperlink>
      <w:r>
        <w:t xml:space="preserve">]</w:t>
      </w:r>
      <w:r>
        <w:t xml:space="preserve">.</w:t>
      </w:r>
    </w:p>
    <w:bookmarkEnd w:id="18"/>
    <w:bookmarkStart w:id="19" w:name="domain-generalization-and-open-set-gaps"/>
    <w:p>
      <w:pPr>
        <w:pStyle w:val="3"/>
      </w:pP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hyperlink w:anchor="ref-kolesnikov_wild-tab_2023">
        <w:r>
          <w:rPr>
            <w:rStyle w:val="af"/>
          </w:rPr>
          <w:t xml:space="preserve">55</w:t>
        </w:r>
      </w:hyperlink>
      <w:r>
        <w:t xml:space="preserve">,</w:t>
      </w:r>
      <w:hyperlink w:anchor="X4f9f0e8a6fc6d4d5516fc073f21d764bfed9221">
        <w:r>
          <w:rPr>
            <w:rStyle w:val="af"/>
          </w:rPr>
          <w:t xml:space="preserve">67</w:t>
        </w:r>
      </w:hyperlink>
      <w:r>
        <w:t xml:space="preserve">,</w:t>
      </w:r>
      <w:hyperlink w:anchor="ref-gardner_tableshift_nodate">
        <w:r>
          <w:rPr>
            <w:rStyle w:val="af"/>
          </w:rPr>
          <w:t xml:space="preserve">68</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24</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35</w:t>
        </w:r>
      </w:hyperlink>
      <w:r>
        <w:t xml:space="preserve">,</w:t>
      </w:r>
      <w:hyperlink w:anchor="ref-fan_tabular_2024">
        <w:r>
          <w:rPr>
            <w:rStyle w:val="af"/>
          </w:rPr>
          <w:t xml:space="preserve">36</w:t>
        </w:r>
      </w:hyperlink>
      <w:r>
        <w:t xml:space="preserve">,</w:t>
      </w:r>
      <w:hyperlink w:anchor="ref-somvanshi2024survey">
        <w:r>
          <w:rPr>
            <w:rStyle w:val="af"/>
          </w:rPr>
          <w:t xml:space="preserve">45</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9"/>
    <w:bookmarkStart w:id="21" w:name="Xac8cf3bf5ba1c9da677839d2feb6a6372fc7f68"/>
    <w:p>
      <w:pPr>
        <w:pStyle w:val="3"/>
      </w:pP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22</w:t>
        </w:r>
      </w:hyperlink>
      <w:r>
        <w:t xml:space="preserve">,</w:t>
      </w:r>
      <w:hyperlink w:anchor="ref-zhang_adadiag_2022">
        <w:r>
          <w:rPr>
            <w:rStyle w:val="af"/>
          </w:rPr>
          <w:t xml:space="preserve">58</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69</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25</w:t>
        </w:r>
      </w:hyperlink>
      <w:r>
        <w:t xml:space="preserve">,</w:t>
      </w:r>
      <w:hyperlink w:anchor="ref-pan2010domain">
        <w:r>
          <w:rPr>
            <w:rStyle w:val="af"/>
          </w:rPr>
          <w:t xml:space="preserve">32</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20"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32</w:t>
              </w:r>
            </w:hyperlink>
            <w:r>
              <w:t xml:space="preserve">,</w:t>
            </w:r>
            <w:hyperlink w:anchor="Xd20ec9efaf7cad77fe2665a3b298a644c8be26c">
              <w:r>
                <w:rPr>
                  <w:rStyle w:val="af"/>
                </w:rPr>
                <w:t xml:space="preserve">56</w:t>
              </w:r>
            </w:hyperlink>
            <w:r>
              <w:t xml:space="preserve">,</w:t>
            </w:r>
            <w:hyperlink w:anchor="ref-grubinger2015domain">
              <w:r>
                <w:rPr>
                  <w:rStyle w:val="af"/>
                </w:rPr>
                <w:t xml:space="preserve">57</w:t>
              </w:r>
            </w:hyperlink>
            <w:r>
              <w:t xml:space="preserve">,</w:t>
            </w:r>
            <w:hyperlink w:anchor="ref-li_transport-based_2024">
              <w:r>
                <w:rPr>
                  <w:rStyle w:val="af"/>
                </w:rPr>
                <w:t xml:space="preserve">59</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24</w:t>
              </w:r>
            </w:hyperlink>
            <w:r>
              <w:t xml:space="preserve">,</w:t>
            </w:r>
            <w:hyperlink w:anchor="ref-guo_evaluation_2022">
              <w:r>
                <w:rPr>
                  <w:rStyle w:val="af"/>
                </w:rPr>
                <w:t xml:space="preserve">25</w:t>
              </w:r>
            </w:hyperlink>
            <w:r>
              <w:t xml:space="preserve">,</w:t>
            </w:r>
            <w:hyperlink w:anchor="ref-gardner_benchmarking_2024">
              <w:r>
                <w:rPr>
                  <w:rStyle w:val="af"/>
                </w:rPr>
                <w:t xml:space="preserve">27</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25</w:t>
              </w:r>
            </w:hyperlink>
            <w:r>
              <w:t xml:space="preserve">,</w:t>
            </w:r>
            <w:hyperlink w:anchor="ref-zhang_adadiag_2022">
              <w:r>
                <w:rPr>
                  <w:rStyle w:val="af"/>
                </w:rPr>
                <w:t xml:space="preserve">58</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22</w:t>
              </w:r>
            </w:hyperlink>
            <w:r>
              <w:t xml:space="preserve">,</w:t>
            </w:r>
            <w:hyperlink w:anchor="ref-zhang_adadiag_2022">
              <w:r>
                <w:rPr>
                  <w:rStyle w:val="af"/>
                </w:rPr>
                <w:t xml:space="preserve">58</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22</w:t>
              </w:r>
            </w:hyperlink>
            <w:r>
              <w:t xml:space="preserve">,</w:t>
            </w:r>
            <w:hyperlink w:anchor="ref-luo2021fsda">
              <w:r>
                <w:rPr>
                  <w:rStyle w:val="af"/>
                </w:rPr>
                <w:t xml:space="preserve">60</w:t>
              </w:r>
            </w:hyperlink>
            <w:r>
              <w:t xml:space="preserve">,</w:t>
            </w:r>
            <w:hyperlink w:anchor="ref-guan_domainatm_2023">
              <w:r>
                <w:rPr>
                  <w:rStyle w:val="af"/>
                </w:rPr>
                <w:t xml:space="preserve">62</w:t>
              </w:r>
            </w:hyperlink>
            <w:r>
              <w:t xml:space="preserve">,</w:t>
            </w:r>
            <w:hyperlink w:anchor="ref-guan_domain_2022">
              <w:r>
                <w:rPr>
                  <w:rStyle w:val="af"/>
                </w:rPr>
                <w:t xml:space="preserve">63</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hyperlink w:anchor="ref-kolesnikov_wild-tab_2023">
              <w:r>
                <w:rPr>
                  <w:rStyle w:val="af"/>
                </w:rPr>
                <w:t xml:space="preserve">55</w:t>
              </w:r>
            </w:hyperlink>
            <w:r>
              <w:t xml:space="preserve">,</w:t>
            </w:r>
            <w:hyperlink w:anchor="ref-gardner_tableshift_nodate">
              <w:r>
                <w:rPr>
                  <w:rStyle w:val="af"/>
                </w:rPr>
                <w:t xml:space="preserve">68</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27</w:t>
              </w:r>
            </w:hyperlink>
            <w:r>
              <w:t xml:space="preserve">,</w:t>
            </w:r>
            <w:hyperlink w:anchor="X4f9f0e8a6fc6d4d5516fc073f21d764bfed9221">
              <w:r>
                <w:rPr>
                  <w:rStyle w:val="af"/>
                </w:rPr>
                <w:t xml:space="preserve">67</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70</w:t>
              </w:r>
            </w:hyperlink>
            <w:r>
              <w:t xml:space="preserve">–</w:t>
            </w:r>
            <w:hyperlink w:anchor="ref-kahenga_fedfusion_2025">
              <w:r>
                <w:rPr>
                  <w:rStyle w:val="af"/>
                </w:rPr>
                <w:t xml:space="preserve">72</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20"/>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21"/>
    <w:bookmarkEnd w:id="22"/>
    <w:bookmarkStart w:id="27" w:name="Xe32056160dae8ca948415d0bcac467e7dc0a8c1"/>
    <w:p>
      <w:pPr>
        <w:pStyle w:val="2"/>
      </w:pP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3" w:name="X122f316413d4080cf4376b4f072f75552ca0c67"/>
    <w:p>
      <w:pPr>
        <w:pStyle w:val="3"/>
      </w:pP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73</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74</w:t>
        </w:r>
      </w:hyperlink>
      <w:r>
        <w:t xml:space="preserve">–</w:t>
      </w:r>
      <w:hyperlink w:anchor="ref-li2023deep">
        <w:r>
          <w:rPr>
            <w:rStyle w:val="af"/>
          </w:rPr>
          <w:t xml:space="preserve">76</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3"/>
    <w:bookmarkStart w:id="24" w:name="X9a3f330298be89dfaef5700f7cf1e72f5479700"/>
    <w:p>
      <w:pPr>
        <w:pStyle w:val="3"/>
      </w:pP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11</w:t>
        </w:r>
      </w:hyperlink>
      <w:r>
        <w:t xml:space="preserve">–</w:t>
      </w:r>
      <w:hyperlink w:anchor="ref-somepalli2021saint">
        <w:r>
          <w:rPr>
            <w:rStyle w:val="af"/>
          </w:rPr>
          <w:t xml:space="preserve">13</w:t>
        </w:r>
      </w:hyperlink>
      <w:r>
        <w:t xml:space="preserve">,</w:t>
      </w:r>
      <w:hyperlink w:anchor="ref-somvanshi2024survey">
        <w:r>
          <w:rPr>
            <w:rStyle w:val="af"/>
          </w:rPr>
          <w:t xml:space="preserve">45</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4"/>
    <w:bookmarkStart w:id="26" w:name="X379d715db7ab7121e77a70a1f09573b2eec24ff"/>
    <w:p>
      <w:pPr>
        <w:pStyle w:val="3"/>
      </w:pP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31</w:t>
        </w:r>
      </w:hyperlink>
      <w:r>
        <w:t xml:space="preserve">,</w:t>
      </w:r>
      <w:hyperlink w:anchor="ref-luo2021fsda">
        <w:r>
          <w:rPr>
            <w:rStyle w:val="af"/>
          </w:rPr>
          <w:t xml:space="preserve">60</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5"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73</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guyon2002gene">
              <w:r>
                <w:rPr>
                  <w:rStyle w:val="af"/>
                </w:rPr>
                <w:t xml:space="preserve">73</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74</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75</w:t>
              </w:r>
            </w:hyperlink>
            <w:r>
              <w:t xml:space="preserve">,</w:t>
            </w:r>
            <w:hyperlink w:anchor="ref-li2023deep">
              <w:r>
                <w:rPr>
                  <w:rStyle w:val="af"/>
                </w:rPr>
                <w:t xml:space="preserve">76</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60</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11</w:t>
              </w:r>
            </w:hyperlink>
            <w:r>
              <w:t xml:space="preserve">,</w:t>
            </w:r>
            <w:hyperlink w:anchor="ref-huang2020tabtransformer">
              <w:r>
                <w:rPr>
                  <w:rStyle w:val="af"/>
                </w:rPr>
                <w:t xml:space="preserve">12</w:t>
              </w:r>
            </w:hyperlink>
            <w:r>
              <w:t xml:space="preserve">,</w:t>
            </w:r>
            <w:hyperlink w:anchor="ref-somvanshi2024survey">
              <w:r>
                <w:rPr>
                  <w:rStyle w:val="af"/>
                </w:rPr>
                <w:t xml:space="preserve">45</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5"/>
    <w:bookmarkEnd w:id="26"/>
    <w:bookmarkEnd w:id="27"/>
    <w:bookmarkStart w:id="34" w:name="X1a07d5bc92b2689a8992d9cd2950aebfc19f35b"/>
    <w:p>
      <w:pPr>
        <w:pStyle w:val="2"/>
      </w:pPr>
      <w:r>
        <w:t xml:space="preserve">Pulmonary nodule malignancy prediction: from clinical scores to multi-modal AI</w:t>
      </w:r>
    </w:p>
    <w:bookmarkStart w:id="29" w:name="clinical-risk-scores-and-logistic-models"/>
    <w:p>
      <w:pPr>
        <w:pStyle w:val="3"/>
      </w:pP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prevalence and granulomatous disease burdens</w:t>
      </w:r>
      <w:r>
        <w:t xml:space="preserve"> </w:t>
      </w:r>
      <w:r>
        <w:t xml:space="preserve">diverge </w:t>
      </w:r>
      <w:r>
        <w:t xml:space="preserve">[</w:t>
      </w:r>
      <w:hyperlink w:anchor="ref-swensen1997chest">
        <w:r>
          <w:rPr>
            <w:rStyle w:val="af"/>
          </w:rPr>
          <w:t xml:space="preserve">1</w:t>
        </w:r>
      </w:hyperlink>
      <w:r>
        <w:t xml:space="preserve">–</w:t>
      </w:r>
      <w:hyperlink w:anchor="ref-liu_establishment_2024">
        <w:r>
          <w:rPr>
            <w:rStyle w:val="af"/>
          </w:rPr>
          <w:t xml:space="preserve">7</w:t>
        </w:r>
      </w:hyperlink>
      <w:r>
        <w:t xml:space="preserve">,</w:t>
      </w:r>
      <w:hyperlink w:anchor="ref-swensen1997archives">
        <w:r>
          <w:rPr>
            <w:rStyle w:val="af"/>
          </w:rPr>
          <w:t xml:space="preserve">77</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garau_external_2020">
        <w:r>
          <w:rPr>
            <w:rStyle w:val="af"/>
          </w:rPr>
          <w:t xml:space="preserve">5</w:t>
        </w:r>
      </w:hyperlink>
      <w:r>
        <w:t xml:space="preserve">–</w:t>
      </w:r>
      <w:hyperlink w:anchor="ref-liu_establishment_2024">
        <w:r>
          <w:rPr>
            <w:rStyle w:val="af"/>
          </w:rPr>
          <w:t xml:space="preserve">7</w:t>
        </w:r>
      </w:hyperlink>
      <w:r>
        <w:t xml:space="preserve">,</w:t>
      </w:r>
      <w:hyperlink w:anchor="ref-chen_pulmonary_2025">
        <w:r>
          <w:rPr>
            <w:rStyle w:val="af"/>
          </w:rPr>
          <w:t xml:space="preserve">78</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79</w:t>
        </w:r>
      </w:hyperlink>
      <w:r>
        <w:t xml:space="preserve">–</w:t>
      </w:r>
      <w:hyperlink w:anchor="ref-li_evaluation_2020">
        <w:r>
          <w:rPr>
            <w:rStyle w:val="af"/>
          </w:rPr>
          <w:t xml:space="preserve">81</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79</w:t>
        </w:r>
      </w:hyperlink>
      <w:r>
        <w:t xml:space="preserve">,</w:t>
      </w:r>
      <w:hyperlink w:anchor="ref-herder_clinical_2005">
        <w:r>
          <w:rPr>
            <w:rStyle w:val="af"/>
          </w:rPr>
          <w:t xml:space="preserve">82</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77</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7</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78</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garau_external_2020">
        <w:r>
          <w:rPr>
            <w:rStyle w:val="af"/>
          </w:rPr>
          <w:t xml:space="preserve">5</w:t>
        </w:r>
      </w:hyperlink>
      <w:r>
        <w:t xml:space="preserve">–</w:t>
      </w:r>
      <w:hyperlink w:anchor="ref-liu_establishment_2024">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8"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78</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7</w:t>
              </w:r>
            </w:hyperlink>
            <w:r>
              <w:t xml:space="preserve">]</w:t>
            </w:r>
          </w:p>
        </w:tc>
      </w:tr>
    </w:tbl>
    <w:bookmarkEnd w:id="28"/>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9"/>
    <w:bookmarkStart w:id="31" w:name="X63398fade823538a894520f71f3a97fb0da0703"/>
    <w:p>
      <w:pPr>
        <w:pStyle w:val="3"/>
      </w:pP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koch2024distribution">
        <w:r>
          <w:rPr>
            <w:rStyle w:val="af"/>
          </w:rPr>
          <w:t xml:space="preserve">24</w:t>
        </w:r>
      </w:hyperlink>
      <w:r>
        <w:t xml:space="preserve">,</w:t>
      </w:r>
      <w:hyperlink w:anchor="ref-ardila_end--end_2019">
        <w:r>
          <w:rPr>
            <w:rStyle w:val="af"/>
          </w:rPr>
          <w:t xml:space="preserve">29</w:t>
        </w:r>
      </w:hyperlink>
      <w:r>
        <w:t xml:space="preserve">,</w:t>
      </w:r>
      <w:hyperlink w:anchor="ref-zech_variable_2018">
        <w:r>
          <w:rPr>
            <w:rStyle w:val="af"/>
          </w:rPr>
          <w:t xml:space="preserve">30</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83</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30"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10</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5</w:t>
              </w:r>
            </w:hyperlink>
            <w:r>
              <w:t xml:space="preserve">]</w:t>
            </w:r>
          </w:p>
        </w:tc>
      </w:tr>
    </w:tbl>
    <w:bookmarkEnd w:id="30"/>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10</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31"/>
    <w:bookmarkStart w:id="32" w:name="deep-learning-cad-systems"/>
    <w:p>
      <w:pPr>
        <w:pStyle w:val="3"/>
      </w:pP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29</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29</w:t>
        </w:r>
      </w:hyperlink>
      <w:r>
        <w:t xml:space="preserve">,</w:t>
      </w:r>
      <w:hyperlink w:anchor="ref-causey_highly_2018">
        <w:r>
          <w:rPr>
            <w:rStyle w:val="af"/>
          </w:rPr>
          <w:t xml:space="preserve">86</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hellin2024unraveling">
        <w:r>
          <w:rPr>
            <w:rStyle w:val="af"/>
          </w:rPr>
          <w:t xml:space="preserve">10</w:t>
        </w:r>
      </w:hyperlink>
      <w:r>
        <w:t xml:space="preserve">,</w:t>
      </w:r>
      <w:hyperlink w:anchor="ref-koch2024distribution">
        <w:r>
          <w:rPr>
            <w:rStyle w:val="af"/>
          </w:rPr>
          <w:t xml:space="preserve">24</w:t>
        </w:r>
      </w:hyperlink>
      <w:r>
        <w:t xml:space="preserve">,</w:t>
      </w:r>
      <w:hyperlink w:anchor="ref-zech_variable_2018">
        <w:r>
          <w:rPr>
            <w:rStyle w:val="af"/>
          </w:rPr>
          <w:t xml:space="preserve">30</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2"/>
    <w:bookmarkStart w:id="33" w:name="tabular-and-multi-modal-nodule-models"/>
    <w:p>
      <w:pPr>
        <w:pStyle w:val="3"/>
      </w:pP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5</w:t>
        </w:r>
      </w:hyperlink>
      <w:r>
        <w:t xml:space="preserve">,</w:t>
      </w:r>
      <w:hyperlink w:anchor="ref-li_predicting_2019">
        <w:r>
          <w:rPr>
            <w:rStyle w:val="af"/>
          </w:rPr>
          <w:t xml:space="preserve">84</w:t>
        </w:r>
      </w:hyperlink>
      <w:r>
        <w:t xml:space="preserve">,</w:t>
      </w:r>
      <w:hyperlink w:anchor="ref-lin_combined_2024">
        <w:r>
          <w:rPr>
            <w:rStyle w:val="af"/>
          </w:rPr>
          <w:t xml:space="preserve">85</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5</w:t>
        </w:r>
      </w:hyperlink>
      <w:r>
        <w:t xml:space="preserve">,</w:t>
      </w:r>
      <w:hyperlink w:anchor="ref-hellin2024unraveling">
        <w:r>
          <w:rPr>
            <w:rStyle w:val="af"/>
          </w:rPr>
          <w:t xml:space="preserve">10</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3"/>
    <w:bookmarkEnd w:id="34"/>
    <w:bookmarkStart w:id="37" w:name="Xeb95f6f69efcdb5317948ca264fe3bd10c7d606"/>
    <w:p>
      <w:pPr>
        <w:pStyle w:val="2"/>
      </w:pP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27</w:t>
        </w:r>
      </w:hyperlink>
      <w:r>
        <w:t xml:space="preserve">,</w:t>
      </w:r>
      <w:hyperlink w:anchor="ref-gardner_tableshift_nodate">
        <w:r>
          <w:rPr>
            <w:rStyle w:val="af"/>
          </w:rPr>
          <w:t xml:space="preserve">68</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55</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28</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27</w:t>
        </w:r>
      </w:hyperlink>
      <w:r>
        <w:t xml:space="preserve">,</w:t>
      </w:r>
      <w:hyperlink w:anchor="X4f9f0e8a6fc6d4d5516fc073f21d764bfed9221">
        <w:r>
          <w:rPr>
            <w:rStyle w:val="af"/>
          </w:rPr>
          <w:t xml:space="preserve">67</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28</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6" w:name="gap-analysis-and-positioning-of-panda"/>
    <w:p>
      <w:pPr>
        <w:pStyle w:val="3"/>
      </w:pP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24</w:t>
        </w:r>
      </w:hyperlink>
      <w:r>
        <w:t xml:space="preserve">,</w:t>
      </w:r>
      <w:hyperlink w:anchor="ref-guo_evaluation_2022">
        <w:r>
          <w:rPr>
            <w:rStyle w:val="af"/>
          </w:rPr>
          <w:t xml:space="preserve">25</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gardner_benchmarking_2024">
        <w:r>
          <w:rPr>
            <w:rStyle w:val="af"/>
          </w:rPr>
          <w:t xml:space="preserve">27</w:t>
        </w:r>
      </w:hyperlink>
      <w:r>
        <w:t xml:space="preserve">,</w:t>
      </w:r>
      <w:hyperlink w:anchor="ref-ahn_unsupervised_2023">
        <w:r>
          <w:rPr>
            <w:rStyle w:val="af"/>
          </w:rPr>
          <w:t xml:space="preserve">28</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10</w:t>
        </w:r>
      </w:hyperlink>
      <w:r>
        <w:t xml:space="preserve">,</w:t>
      </w:r>
      <w:hyperlink w:anchor="ref-koch2024distribution">
        <w:r>
          <w:rPr>
            <w:rStyle w:val="af"/>
          </w:rPr>
          <w:t xml:space="preserve">24</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27</w:t>
        </w:r>
      </w:hyperlink>
      <w:r>
        <w:t xml:space="preserve">,</w:t>
      </w:r>
      <w:hyperlink w:anchor="X4f9f0e8a6fc6d4d5516fc073f21d764bfed9221">
        <w:r>
          <w:rPr>
            <w:rStyle w:val="af"/>
          </w:rPr>
          <w:t xml:space="preserve">67</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bookmarkStart w:id="35" w:name="sec:rw-end"/>
      <w:bookmarkEnd w:id="35"/>
    </w:p>
    <w:bookmarkEnd w:id="36"/>
    <w:bookmarkEnd w:id="37"/>
    <w:bookmarkEnd w:id="38"/>
    <w:bookmarkStart w:id="60" w:name="sec:problem-formulation"/>
    <w:p>
      <w:pPr>
        <w:pStyle w:val="1"/>
      </w:pPr>
      <w:r>
        <w:t xml:space="preserve">Problem Formulation</w:t>
      </w:r>
    </w:p>
    <w:p>
      <w:pPr>
        <w:pStyle w:val="FirstParagraph"/>
      </w:pPr>
      <w:bookmarkStart w:id="39" w:name="sec:pf-start"/>
      <w:bookmarkEnd w:id="39"/>
    </w:p>
    <w:p>
      <w:pPr>
        <w:pStyle w:val="a0"/>
      </w:pPr>
      <w:r>
        <w:t xml:space="preserve">Cross-hospital medical diagnosis represents a complex intersection of small-sample learning, high-dimensional tabular data, and significant distribution shifts. In this chapter, we formalize the problem of predicting pulmonary nodule malignancy across different hospitals as an Unsupervised Domain Adaptation (UDA) task. We establish the mathematical foundations for our proposed PANDA framework, grounding it in the theory of Prior-Data Fitted Networks (PFNs), domain adaptation bounds, and kernel-based distribution alignment.</w:t>
      </w:r>
    </w:p>
    <w:bookmarkStart w:id="41" w:name="subsec:notation"/>
    <w:p>
      <w:pPr>
        <w:pStyle w:val="2"/>
      </w:pPr>
      <w:r>
        <w:t xml:space="preserve">Mathematical Notation and Preliminaries</w:t>
      </w:r>
    </w:p>
    <w:p>
      <w:pPr>
        <w:pStyle w:val="FirstParagraph"/>
      </w:pPr>
      <w:r>
        <w:t xml:space="preserve">We consider a supervised classification task where the input space is a</w:t>
      </w:r>
      <w:r>
        <w:t xml:space="preserve"> </w:t>
      </w:r>
      <m:oMath>
        <m:r>
          <m:t>d</m:t>
        </m:r>
      </m:oMath>
      <w:r>
        <w:t xml:space="preserve">-dimensional feature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 (e.g., patient age, tumor diameter, smoking status), and the output space is a binary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(e.g., benign vs. malignant).</w:t>
      </w:r>
    </w:p>
    <w:p>
      <w:pPr>
        <w:pStyle w:val="a0"/>
      </w:pPr>
      <w:r>
        <w:t xml:space="preserve">A</w:t>
      </w:r>
      <w:r>
        <w:t xml:space="preserve"> </w:t>
      </w:r>
      <w:r>
        <w:rPr>
          <w:b/>
          <w:bCs/>
        </w:rPr>
        <w:t xml:space="preserve">domain</w:t>
      </w:r>
      <w:r>
        <w:t xml:space="preserve"> </w:t>
      </w:r>
      <w:r>
        <w:t xml:space="preserve">is defined as a joint probability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 We are given data from two distinct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rPr>
                <m:sty m:val="b"/>
              </m:rP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the source distribution</w:t>
      </w:r>
      <w:r>
        <w:t xml:space="preserve"> </w:t>
      </w:r>
      <m:oMath>
        <m:sSub>
          <m:e>
            <m:r>
              <m:rPr>
                <m:scr m:val="script"/>
                <m:sty m:val="p"/>
              </m:rPr>
              <m:t>D</m:t>
            </m:r>
          </m:e>
          <m:sub>
            <m:r>
              <m:t>S</m:t>
            </m:r>
          </m:sub>
        </m:sSub>
      </m:oMath>
      <w:r>
        <w:t xml:space="preserve">. Here,</w:t>
      </w:r>
      <w:r>
        <w:t xml:space="preserve"> </w:t>
      </w:r>
      <m:oMath>
        <m:sSub>
          <m:e>
            <m:r>
              <m:t>n</m:t>
            </m:r>
          </m:e>
          <m:sub>
            <m:r>
              <m:t>s</m:t>
            </m:r>
          </m:sub>
        </m:sSub>
      </m:oMath>
      <w:r>
        <w:t xml:space="preserve"> </w:t>
      </w:r>
      <w:r>
        <w:t xml:space="preserve">is the number of labeled samples in the source hospital.</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rPr>
                <m:sty m:val="b"/>
              </m:rP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 distribution</w:t>
      </w:r>
      <w:r>
        <w:t xml:space="preserve"> </w:t>
      </w:r>
      <m:oMath>
        <m:sSub>
          <m:e>
            <m:r>
              <m:t>P</m:t>
            </m:r>
          </m:e>
          <m:sub>
            <m:r>
              <m:t>T</m:t>
            </m:r>
          </m:sub>
        </m:sSub>
        <m:r>
          <m:rPr>
            <m:sty m:val="p"/>
          </m:rPr>
          <m:t>(</m:t>
        </m:r>
        <m:r>
          <m:t>X</m:t>
        </m:r>
        <m:r>
          <m:rPr>
            <m:sty m:val="p"/>
          </m:rPr>
          <m:t>)</m:t>
        </m:r>
      </m:oMath>
      <w:r>
        <w:t xml:space="preserve"> </w:t>
      </w:r>
      <w:r>
        <w:t xml:space="preserve">of the target domain</w:t>
      </w:r>
      <w:r>
        <w:t xml:space="preserve"> </w:t>
      </w:r>
      <m:oMath>
        <m:sSub>
          <m:e>
            <m:r>
              <m:rPr>
                <m:scr m:val="script"/>
                <m:sty m:val="p"/>
              </m:rPr>
              <m:t>D</m:t>
            </m:r>
          </m:e>
          <m:sub>
            <m:r>
              <m:t>T</m:t>
            </m:r>
          </m:sub>
        </m:sSub>
      </m:oMath>
      <w:r>
        <w:t xml:space="preserve">. The target labels</w:t>
      </w:r>
      <w:r>
        <w:t xml:space="preserve"> </w:t>
      </w:r>
      <m:oMath>
        <m:sSub>
          <m:e>
            <m:r>
              <m:t>Y</m:t>
            </m:r>
          </m:e>
          <m:sub>
            <m:r>
              <m:t>T</m:t>
            </m:r>
          </m:sub>
        </m:sSub>
      </m:oMath>
      <w:r>
        <w:t xml:space="preserve"> </w:t>
      </w:r>
      <w:r>
        <w:t xml:space="preserve">are unobserved during training, reflecting the real-world constraint of deploying models to new hospitals without local ground truth.</w:t>
      </w:r>
    </w:p>
    <w:p>
      <w:pPr>
        <w:pStyle w:val="FirstParagraph"/>
      </w:pPr>
      <w:r>
        <w:rPr>
          <w:b/>
          <w:bCs/>
        </w:rPr>
        <w:t xml:space="preserve">Feature Heterogeneity:</w:t>
      </w:r>
      <w:r>
        <w:t xml:space="preserve"> </w:t>
      </w:r>
      <w:r>
        <w:t xml:space="preserve">In multi-center studies, hospitals often record different sets of variables. Let</w:t>
      </w:r>
      <w:r>
        <w:t xml:space="preserve"> </w:t>
      </w:r>
      <m:oMath>
        <m:sSub>
          <m:e>
            <m:r>
              <m:rPr>
                <m:scr m:val="script"/>
                <m:sty m:val="p"/>
              </m:rPr>
              <m:t>F</m:t>
            </m:r>
          </m:e>
          <m:sub>
            <m:r>
              <m:t>S</m:t>
            </m:r>
          </m:sub>
        </m:sSub>
      </m:oMath>
      <w:r>
        <w:t xml:space="preserve"> </w:t>
      </w:r>
      <w:r>
        <w:t xml:space="preserve">and</w:t>
      </w:r>
      <w:r>
        <w:t xml:space="preserve"> </w:t>
      </w:r>
      <m:oMath>
        <m:sSub>
          <m:e>
            <m:r>
              <m:rPr>
                <m:scr m:val="script"/>
                <m:sty m:val="p"/>
              </m:rPr>
              <m:t>F</m:t>
            </m:r>
          </m:e>
          <m:sub>
            <m:r>
              <m:t>T</m:t>
            </m:r>
          </m:sub>
        </m:sSub>
      </m:oMath>
      <w:r>
        <w:t xml:space="preserve"> </w:t>
      </w:r>
      <w:r>
        <w:t xml:space="preserve">be the sets of feature indices available in the source and target domains, respectively. We define the</w:t>
      </w:r>
      <w:r>
        <w:t xml:space="preserve"> </w:t>
      </w:r>
      <w:r>
        <w:rPr>
          <w:b/>
          <w:bCs/>
        </w:rPr>
        <w:t xml:space="preserve">shared feature subspace</w:t>
      </w:r>
      <w:r>
        <w:t xml:space="preserve"> </w:t>
      </w:r>
      <w:r>
        <w:t xml:space="preserve">as the intersection</w:t>
      </w:r>
      <w:r>
        <w:t xml:space="preserve"> </w:t>
      </w:r>
      <m:oMath>
        <m:sSub>
          <m:e>
            <m:r>
              <m:rPr>
                <m:scr m:val="script"/>
                <m:sty m:val="p"/>
              </m:rPr>
              <m:t>F</m:t>
            </m:r>
          </m:e>
          <m:sub>
            <m:r>
              <m:rPr>
                <m:sty m:val="p"/>
              </m:rPr>
              <m:t>∩</m:t>
            </m:r>
          </m:sub>
        </m:sSub>
        <m:r>
          <m:rPr>
            <m:sty m:val="p"/>
          </m:rPr>
          <m:t>=</m:t>
        </m:r>
        <m:sSub>
          <m:e>
            <m:r>
              <m:rPr>
                <m:scr m:val="script"/>
                <m:sty m:val="p"/>
              </m:rPr>
              <m:t>F</m:t>
            </m:r>
          </m:e>
          <m:sub>
            <m:r>
              <m:t>S</m:t>
            </m:r>
          </m:sub>
        </m:sSub>
        <m:r>
          <m:rPr>
            <m:sty m:val="p"/>
          </m:rPr>
          <m:t>∩</m:t>
        </m:r>
        <m:sSub>
          <m:e>
            <m:r>
              <m:rPr>
                <m:scr m:val="script"/>
                <m:sty m:val="p"/>
              </m:rPr>
              <m:t>F</m:t>
            </m:r>
          </m:e>
          <m:sub>
            <m:r>
              <m:t>T</m:t>
            </m:r>
          </m:sub>
        </m:sSub>
      </m:oMath>
      <w:r>
        <w:t xml:space="preserve">. The effective input dimensionality for the cross-domain model is</w:t>
      </w:r>
      <w:r>
        <w:t xml:space="preserve"> </w:t>
      </w:r>
      <m:oMath>
        <m:sSub>
          <m:e>
            <m:r>
              <m:t>d</m:t>
            </m:r>
          </m:e>
          <m:sub>
            <m:r>
              <m:rPr>
                <m:sty m:val="p"/>
              </m:rPr>
              <m:t>∩</m:t>
            </m:r>
          </m:sub>
        </m:sSub>
        <m:r>
          <m:rPr>
            <m:sty m:val="p"/>
          </m:rPr>
          <m:t>=</m:t>
        </m:r>
        <m:r>
          <m:rPr>
            <m:sty m:val="p"/>
          </m:rPr>
          <m:t>|</m:t>
        </m:r>
        <m:sSub>
          <m:e>
            <m:r>
              <m:rPr>
                <m:scr m:val="script"/>
                <m:sty m:val="p"/>
              </m:rPr>
              <m:t>F</m:t>
            </m:r>
          </m:e>
          <m:sub>
            <m:r>
              <m:rPr>
                <m:sty m:val="p"/>
              </m:rPr>
              <m:t>∩</m:t>
            </m:r>
          </m:sub>
        </m:sSub>
        <m:r>
          <m:rPr>
            <m:sty m:val="p"/>
          </m:rPr>
          <m:t>|</m:t>
        </m:r>
      </m:oMath>
      <w:r>
        <w:t xml:space="preserve">. Features in the set difference</w:t>
      </w:r>
      <w:r>
        <w:t xml:space="preserve"> </w:t>
      </w:r>
      <m:oMath>
        <m:sSub>
          <m:e>
            <m:r>
              <m:rPr>
                <m:scr m:val="script"/>
                <m:sty m:val="p"/>
              </m:rPr>
              <m:t>F</m:t>
            </m:r>
          </m:e>
          <m:sub>
            <m:r>
              <m:rPr>
                <m:sty m:val="p"/>
              </m:rPr>
              <m:t>\</m:t>
            </m:r>
          </m:sub>
        </m:sSub>
        <m:r>
          <m:rPr>
            <m:sty m:val="p"/>
          </m:rPr>
          <m:t>=</m:t>
        </m:r>
        <m:r>
          <m:rPr>
            <m:sty m:val="p"/>
          </m:rPr>
          <m:t>(</m:t>
        </m:r>
        <m:sSub>
          <m:e>
            <m:r>
              <m:rPr>
                <m:scr m:val="script"/>
                <m:sty m:val="p"/>
              </m:rPr>
              <m:t>F</m:t>
            </m:r>
          </m:e>
          <m:sub>
            <m:r>
              <m:t>S</m:t>
            </m:r>
          </m:sub>
        </m:sSub>
        <m:r>
          <m:rPr>
            <m:sty m:val="p"/>
          </m:rPr>
          <m:t>∪</m:t>
        </m:r>
        <m:sSub>
          <m:e>
            <m:r>
              <m:rPr>
                <m:scr m:val="script"/>
                <m:sty m:val="p"/>
              </m:rPr>
              <m:t>F</m:t>
            </m:r>
          </m:e>
          <m:sub>
            <m:r>
              <m:t>T</m:t>
            </m:r>
          </m:sub>
        </m:sSub>
        <m:r>
          <m:rPr>
            <m:sty m:val="p"/>
          </m:rPr>
          <m:t>)</m:t>
        </m:r>
        <m:r>
          <m:rPr>
            <m:sty m:val="p"/>
          </m:rPr>
          <m:t>\</m:t>
        </m:r>
        <m:sSub>
          <m:e>
            <m:r>
              <m:rPr>
                <m:scr m:val="script"/>
                <m:sty m:val="p"/>
              </m:rPr>
              <m:t>F</m:t>
            </m:r>
          </m:e>
          <m:sub>
            <m:r>
              <m:rPr>
                <m:sty m:val="p"/>
              </m:rPr>
              <m:t>∩</m:t>
            </m:r>
          </m:sub>
        </m:sSub>
      </m:oMath>
      <w:r>
        <w:t xml:space="preserve"> </w:t>
      </w:r>
      <w:r>
        <w:t xml:space="preserve">are considered site-specific and are typically discarded for alignment, though they may contain domain-specific predictive signals.</w:t>
      </w:r>
    </w:p>
    <w:p>
      <w:pPr>
        <w:pStyle w:val="a0"/>
      </w:pPr>
      <w:r>
        <w:t xml:space="preserve">Table</w:t>
      </w:r>
      <w:r>
        <w:t xml:space="preserve"> </w:t>
      </w:r>
      <w:hyperlink w:anchor="tbl:notation">
        <w:r>
          <w:rPr>
            <w:rStyle w:val="af"/>
          </w:rPr>
          <w:t xml:space="preserve">6</w:t>
        </w:r>
      </w:hyperlink>
      <w:r>
        <w:t xml:space="preserve"> </w:t>
      </w:r>
      <w:r>
        <w:t xml:space="preserve">summarizes the key mathematical notations used throughout this thesis.</w:t>
      </w:r>
    </w:p>
    <w:bookmarkStart w:id="40"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gridSpan w:val="3"/>
          </w:tcPr>
          <w:p>
            <w:pPr>
              <w:pStyle w:val="Compact"/>
              <w:jc w:val="left"/>
            </w:pPr>
            <w:r>
              <w:rPr>
                <w:i/>
                <w:iCs/>
              </w:rPr>
              <w:t xml:space="preserve">Domains and Data</w:t>
            </w: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Sets of size</w:t>
            </w:r>
            <w:r>
              <w:t xml:space="preserve"> </w:t>
            </w:r>
            <m:oMath>
              <m:sSub>
                <m:e>
                  <m:r>
                    <m:t>n</m:t>
                  </m:r>
                </m:e>
                <m:sub>
                  <m:r>
                    <m:t>s</m:t>
                  </m:r>
                </m:sub>
              </m:sSub>
              <m:r>
                <m:rPr>
                  <m:sty m:val="p"/>
                </m:rPr>
                <m:t>,</m:t>
              </m:r>
              <m:sSub>
                <m:e>
                  <m:r>
                    <m:t>n</m:t>
                  </m:r>
                </m:e>
                <m:sub>
                  <m:r>
                    <m:t>t</m:t>
                  </m:r>
                </m:sub>
              </m:sSub>
            </m:oMath>
          </w:p>
        </w:tc>
      </w:tr>
      <w:tr>
        <w:tc>
          <w:tcPr/>
          <w:p>
            <w:pPr>
              <w:pStyle w:val="Compact"/>
              <w:jc w:val="left"/>
            </w:pPr>
            <m:oMath>
              <m:r>
                <m:rPr>
                  <m:sty m:val="b"/>
                </m:rPr>
                <m:t>x</m:t>
              </m:r>
              <m:r>
                <m:rPr>
                  <m:sty m:val="p"/>
                </m:rPr>
                <m:t>,</m:t>
              </m:r>
              <m:r>
                <m:t>y</m:t>
              </m:r>
            </m:oMath>
          </w:p>
        </w:tc>
        <w:tc>
          <w:tcPr/>
          <w:p>
            <w:pPr>
              <w:pStyle w:val="Compact"/>
              <w:jc w:val="left"/>
            </w:pPr>
            <w:r>
              <w:t xml:space="preserve">Feature vector and corresponding label</w:t>
            </w:r>
          </w:p>
        </w:tc>
        <w:tc>
          <w:tcPr/>
          <w:p>
            <w:pPr>
              <w:pStyle w:val="Compact"/>
              <w:jc w:val="left"/>
            </w:pPr>
            <m:oMath>
              <m:r>
                <m:rPr>
                  <m:sty m:val="b"/>
                </m:rP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rPr>
                      <m:scr m:val="script"/>
                      <m:sty m:val="p"/>
                    </m:rPr>
                    <m:t>F</m:t>
                  </m:r>
                </m:e>
                <m:sub>
                  <m:r>
                    <m:rPr>
                      <m:sty m:val="p"/>
                    </m:rPr>
                    <m:t>∩</m:t>
                  </m:r>
                </m:sub>
              </m:sSub>
              <m:r>
                <m:rPr>
                  <m:sty m:val="p"/>
                </m:rPr>
                <m:t>,</m:t>
              </m:r>
              <m:sSup>
                <m:e>
                  <m:r>
                    <m:rPr>
                      <m:scr m:val="script"/>
                      <m:sty m:val="p"/>
                    </m:rP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r>
                <m:t>h</m:t>
              </m:r>
              <m:r>
                <m:rPr>
                  <m:sty m:val="p"/>
                </m:rPr>
                <m:t>)</m:t>
              </m:r>
              <m:r>
                <m:rPr>
                  <m:sty m:val="p"/>
                </m:rPr>
                <m:t>,</m:t>
              </m:r>
              <m:sSub>
                <m:e>
                  <m:acc>
                    <m:accPr>
                      <m:chr m:val="̂"/>
                    </m:accPr>
                    <m:e>
                      <m:r>
                        <m:t>ϵ</m:t>
                      </m:r>
                    </m:e>
                  </m:acc>
                </m:e>
                <m:sub>
                  <m:r>
                    <m:t>T</m:t>
                  </m:r>
                </m:sub>
              </m:sSub>
              <m:r>
                <m:rPr>
                  <m:sty m:val="p"/>
                </m:rPr>
                <m:t>(</m:t>
              </m:r>
              <m:r>
                <m:t>h</m:t>
              </m:r>
              <m:r>
                <m:rPr>
                  <m:sty m:val="p"/>
                </m:rPr>
                <m:t>)</m:t>
              </m:r>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rPr>
                  <m:scr m:val="script"/>
                  <m:sty m:val="p"/>
                </m:rPr>
                <m:t>L</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rPr>
                  <m:sty m:val="b"/>
                </m:rP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gridSpan w:val="3"/>
          </w:tcPr>
          <w:p>
            <w:pPr>
              <w:pStyle w:val="Compact"/>
              <w:jc w:val="left"/>
            </w:pPr>
            <w:r>
              <w:rPr>
                <w:i/>
                <w:iCs/>
              </w:rPr>
              <w:t xml:space="preserve">PANDA Architecture</w:t>
            </w:r>
          </w:p>
        </w:tc>
      </w:tr>
      <w:tr>
        <w:tc>
          <w:tcPr/>
          <w:p>
            <w:pPr>
              <w:pStyle w:val="Compact"/>
              <w:jc w:val="left"/>
            </w:pPr>
            <m:oMath>
              <m:r>
                <m:t>ψ</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r>
                    <m:t>k</m:t>
                  </m:r>
                </m:sup>
              </m:sSup>
              <m:r>
                <m:rPr>
                  <m:sty m:val="p"/>
                </m:rPr>
                <m:t>→</m:t>
              </m:r>
              <m:sSup>
                <m:e>
                  <m:r>
                    <m:rPr>
                      <m:scr m:val="double-struck"/>
                      <m:sty m:val="p"/>
                    </m:rPr>
                    <m:t>R</m:t>
                  </m:r>
                </m:e>
                <m:sup>
                  <m:r>
                    <m:t>m</m:t>
                  </m:r>
                </m:sup>
              </m:sSup>
            </m:oMath>
          </w:p>
        </w:tc>
      </w:tr>
      <w:tr>
        <w:tc>
          <w:tcPr/>
          <w:p>
            <w:pPr>
              <w:pStyle w:val="Compact"/>
              <w:jc w:val="left"/>
            </w:pPr>
            <m:oMath>
              <m:r>
                <m:rPr>
                  <m:sty m:val="b"/>
                </m:rPr>
                <m:t>W</m:t>
              </m:r>
            </m:oMath>
          </w:p>
        </w:tc>
        <w:tc>
          <w:tcPr/>
          <w:p>
            <w:pPr>
              <w:pStyle w:val="Compact"/>
              <w:jc w:val="left"/>
            </w:pPr>
            <w:r>
              <w:t xml:space="preserve">TCA Projection Matrix</w:t>
            </w:r>
          </w:p>
        </w:tc>
        <w:tc>
          <w:tcPr/>
          <w:p>
            <w:pPr>
              <w:pStyle w:val="Compact"/>
              <w:jc w:val="left"/>
            </w:pPr>
            <m:oMath>
              <m:sSup>
                <m:e>
                  <m:r>
                    <m:rPr>
                      <m:scr m:val="double-struck"/>
                      <m:sty m:val="p"/>
                    </m:rPr>
                    <m:t>R</m:t>
                  </m:r>
                </m:e>
                <m:sup>
                  <m:r>
                    <m:t>k</m:t>
                  </m:r>
                  <m:r>
                    <m:rPr>
                      <m:sty m:val="p"/>
                    </m:rPr>
                    <m:t>×</m:t>
                  </m:r>
                  <m:r>
                    <m:t>m</m:t>
                  </m:r>
                </m:sup>
              </m:sSup>
            </m:oMath>
          </w:p>
        </w:tc>
      </w:tr>
      <w:tr>
        <w:tc>
          <w:tcPr/>
          <w:p>
            <w:pPr>
              <w:pStyle w:val="Compact"/>
              <w:jc w:val="left"/>
            </w:pPr>
            <m:oMath>
              <m:r>
                <m:rPr>
                  <m:sty m:val="b"/>
                </m:rP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L</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φ</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sSub>
                <m:e>
                  <m:r>
                    <m:rPr>
                      <m:scr m:val="script"/>
                      <m:sty m:val="p"/>
                    </m:rPr>
                    <m:t>H</m:t>
                  </m:r>
                </m:e>
                <m:sub>
                  <m:r>
                    <m:t>R</m:t>
                  </m:r>
                  <m:r>
                    <m:t>K</m:t>
                  </m:r>
                  <m:r>
                    <m:t>H</m:t>
                  </m:r>
                  <m:r>
                    <m:t>S</m:t>
                  </m:r>
                </m:sub>
              </m:sSub>
            </m:oMath>
          </w:p>
        </w:tc>
      </w:tr>
      <w:tr>
        <w:tc>
          <w:tcPr/>
          <w:p>
            <w:pPr>
              <w:pStyle w:val="Compact"/>
              <w:jc w:val="left"/>
            </w:pPr>
            <m:oMath>
              <m:r>
                <m:t>P</m:t>
              </m:r>
              <m:r>
                <m:t>P</m:t>
              </m:r>
              <m:r>
                <m:t>D</m:t>
              </m:r>
            </m:oMath>
          </w:p>
        </w:tc>
        <w:tc>
          <w:tcPr/>
          <w:p>
            <w:pPr>
              <w:pStyle w:val="Compact"/>
              <w:jc w:val="left"/>
            </w:pPr>
            <w:r>
              <w:t xml:space="preserve">Posterior Predictive Distribution</w:t>
            </w:r>
            <w:r>
              <w:t xml:space="preserve"> </w:t>
            </w:r>
            <m:oMath>
              <m:r>
                <m:t>P</m:t>
              </m:r>
              <m:r>
                <m:rPr>
                  <m:sty m:val="p"/>
                </m:rPr>
                <m:t>(</m:t>
              </m:r>
              <m:r>
                <m:t>y</m:t>
              </m:r>
              <m:r>
                <m:rPr>
                  <m:sty m:val="p"/>
                </m:rPr>
                <m:t>|</m:t>
              </m:r>
              <m:r>
                <m:rPr>
                  <m:sty m:val="b"/>
                </m:rPr>
                <m:t>x</m:t>
              </m:r>
              <m:r>
                <m:rPr>
                  <m:sty m:val="p"/>
                </m:rPr>
                <m:t>,</m:t>
              </m:r>
              <m:r>
                <m:t>S</m:t>
              </m:r>
              <m:r>
                <m:rPr>
                  <m:sty m:val="p"/>
                </m:rPr>
                <m:t>)</m:t>
              </m:r>
            </m:oMath>
          </w:p>
        </w:tc>
        <w:tc>
          <w:tcPr/>
          <w:p>
            <w:pPr>
              <w:pStyle w:val="Compact"/>
              <w:jc w:val="left"/>
            </w:pPr>
            <w:r>
              <w:t xml:space="preserve">Probability</w:t>
            </w:r>
          </w:p>
        </w:tc>
      </w:tr>
    </w:tbl>
    <w:bookmarkEnd w:id="40"/>
    <w:bookmarkEnd w:id="41"/>
    <w:bookmarkStart w:id="42" w:name="subsec:pfn-generation"/>
    <w:p>
      <w:pPr>
        <w:pStyle w:val="2"/>
      </w:pPr>
      <w:r>
        <w:t xml:space="preserve">The Tabular Data Generation Process: A PFN Perspective</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2"/>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2"/>
        </w:numPr>
      </w:pPr>
      <w:r>
        <w:t xml:space="preserve">Data points are sampled conditioned on this function:</w:t>
      </w:r>
      <w:r>
        <w:t xml:space="preserve"> </w:t>
      </w:r>
      <m:oMath>
        <m:sSub>
          <m:e>
            <m:r>
              <m:t>y</m:t>
            </m:r>
          </m:e>
          <m:sub>
            <m:r>
              <m:t>i</m:t>
            </m:r>
          </m:sub>
        </m:sSub>
        <m:r>
          <m:rPr>
            <m:sty m:val="p"/>
          </m:rPr>
          <m:t>=</m:t>
        </m:r>
        <m:r>
          <m:t>f</m:t>
        </m:r>
        <m:r>
          <m:rPr>
            <m:sty m:val="p"/>
          </m:rPr>
          <m:t>(</m:t>
        </m:r>
        <m:sSub>
          <m:e>
            <m:r>
              <m:rPr>
                <m:sty m:val="b"/>
              </m:rPr>
              <m:t>x</m:t>
            </m:r>
          </m:e>
          <m:sub>
            <m:r>
              <m:t>i</m:t>
            </m:r>
          </m:sub>
        </m:sSub>
        <m:r>
          <m:rPr>
            <m:sty m:val="p"/>
          </m:rPr>
          <m:t>)</m:t>
        </m:r>
        <m:r>
          <m:rPr>
            <m:sty m:val="p"/>
          </m:rPr>
          <m:t>+</m:t>
        </m:r>
        <m:r>
          <m:t>ϵ</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rPr>
                <m:sty m:val="b"/>
              </m:rP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m:oMath>
        <m:sSub>
          <m:e>
            <m:r>
              <m:rPr>
                <m:sty m:val="b"/>
              </m:rPr>
              <m:t>x</m:t>
            </m:r>
          </m:e>
          <m:sub>
            <m:r>
              <m:rPr>
                <m:nor/>
                <m:sty m:val="p"/>
              </m:rPr>
              <m:t>query</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t>P</m:t>
          </m:r>
          <m:r>
            <m:t>D</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3"/>
        </w:numPr>
      </w:pPr>
      <w:r>
        <w:t xml:space="preserve">It avoids iterative gradient descent on the small dataset, mitigating the risk of overfitting to noise.</w:t>
      </w:r>
    </w:p>
    <w:p>
      <w:pPr>
        <w:numPr>
          <w:ilvl w:val="0"/>
          <w:numId w:val="1003"/>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rPr>
                <m:sty m:val="b"/>
              </m:rPr>
              <m:t>x</m:t>
            </m:r>
          </m:e>
          <m:sub>
            <m:r>
              <m:rPr>
                <m:nor/>
                <m:sty m:val="p"/>
              </m:rPr>
              <m:t>query</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p>
          <m:e>
            <m:r>
              <m:rPr>
                <m:sty m:val="b"/>
              </m:rPr>
              <m:t>x</m:t>
            </m:r>
          </m:e>
          <m:sup>
            <m:r>
              <m:t>t</m:t>
            </m:r>
          </m:sup>
        </m:sSup>
      </m:oMath>
      <w:r>
        <w:t xml:space="preserve"> </w:t>
      </w:r>
      <w:r>
        <w:t xml:space="preserve">comes from a shifted distribution</w:t>
      </w:r>
      <w:r>
        <w:t xml:space="preserve"> </w:t>
      </w:r>
      <m:oMath>
        <m:sSub>
          <m:e>
            <m:r>
              <m:rPr>
                <m:scr m:val="script"/>
                <m:sty m:val="p"/>
              </m:rPr>
              <m:t>D</m:t>
            </m:r>
          </m:e>
          <m:sub>
            <m:r>
              <m:t>T</m:t>
            </m:r>
          </m:sub>
        </m:sSub>
      </m:oMath>
      <w:r>
        <w:t xml:space="preserve">, violating the exchangeability assumption of the posterior approximation.</w:t>
      </w:r>
    </w:p>
    <w:bookmarkEnd w:id="42"/>
    <w:bookmarkStart w:id="47" w:name="subsec:domain-shift"/>
    <w:p>
      <w:pPr>
        <w:pStyle w:val="2"/>
      </w:pPr>
      <w:r>
        <w:t xml:space="preserve">Formalizing Domain Shift</w:t>
      </w:r>
    </w:p>
    <w:p>
      <w:pPr>
        <w:pStyle w:val="FirstParagraph"/>
      </w:pPr>
      <w:r>
        <w:t xml:space="preserve">The core challenge in our research is that</w:t>
      </w:r>
      <w:r>
        <w:t xml:space="preserve"> </w:t>
      </w:r>
      <m:oMath>
        <m:sSub>
          <m:e>
            <m:r>
              <m:rPr>
                <m:scr m:val="script"/>
                <m:sty m:val="p"/>
              </m:rPr>
              <m:t>D</m:t>
            </m:r>
          </m:e>
          <m:sub>
            <m:r>
              <m:t>S</m:t>
            </m:r>
          </m:sub>
        </m:sSub>
        <m:r>
          <m:rPr>
            <m:sty m:val="p"/>
          </m:rPr>
          <m:t>≠</m:t>
        </m:r>
        <m:sSub>
          <m:e>
            <m:r>
              <m:rPr>
                <m:scr m:val="script"/>
                <m:sty m:val="p"/>
              </m:rPr>
              <m:t>D</m:t>
            </m:r>
          </m:e>
          <m:sub>
            <m:r>
              <m:t>T</m:t>
            </m:r>
          </m:sub>
        </m:sSub>
      </m:oMath>
      <w:r>
        <w:t xml:space="preserve">. This joint distribution shift can be decomposed into three primary components relevant to medical AI:</w:t>
      </w:r>
    </w:p>
    <w:bookmarkStart w:id="43" w:name="covariate-shift-the-acquisition-gap"/>
    <w:p>
      <w:pPr>
        <w:pStyle w:val="3"/>
      </w:pP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while the conditional probability of the label remains constant,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p>
    <w:p>
      <w:pPr>
        <w:pStyle w:val="a0"/>
      </w:pPr>
      <m:oMathPara>
        <m:oMathParaPr>
          <m:jc m:val="center"/>
        </m:oMathParaP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r>
            <m:t> </m:t>
          </m:r>
          <m:r>
            <m:rPr>
              <m:nor/>
              <m:sty m:val="p"/>
            </m:rPr>
            <m:t>and</m:t>
          </m:r>
          <m:r>
            <m:t> </m:t>
          </m:r>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rPr>
                <m:sty m:val="b"/>
              </m:rP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p>
          <m:e>
            <m:r>
              <m:rPr>
                <m:sty m:val="b"/>
              </m:rPr>
              <m:t>x</m:t>
            </m:r>
          </m:e>
          <m:sup>
            <m:r>
              <m:t>t</m:t>
            </m:r>
          </m:sup>
        </m:sSup>
      </m:oMath>
      <w:r>
        <w:t xml:space="preserve"> </w:t>
      </w:r>
      <w:r>
        <w:t xml:space="preserve">lies in a region unsupported by</w:t>
      </w:r>
      <w:r>
        <w:t xml:space="preserve"> </w:t>
      </w:r>
      <m:oMath>
        <m:sSub>
          <m:e>
            <m:r>
              <m:t>P</m:t>
            </m:r>
          </m:e>
          <m:sub>
            <m:r>
              <m:t>S</m:t>
            </m:r>
          </m:sub>
        </m:sSub>
        <m:r>
          <m:rPr>
            <m:sty m:val="p"/>
          </m:rPr>
          <m:t>(</m:t>
        </m:r>
        <m:r>
          <m:t>X</m:t>
        </m:r>
        <m:r>
          <m:rPr>
            <m:sty m:val="p"/>
          </m:rPr>
          <m:t>)</m:t>
        </m:r>
      </m:oMath>
      <w:r>
        <w:t xml:space="preserve">, the attention weights become diffuse.</w:t>
      </w:r>
    </w:p>
    <w:bookmarkEnd w:id="43"/>
    <w:bookmarkStart w:id="44" w:name="label-shift-the-prevalence-gap"/>
    <w:p>
      <w:pPr>
        <w:pStyle w:val="3"/>
      </w:pP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5" w:name="concept-shift-the-definition-gap"/>
    <w:p>
      <w:pPr>
        <w:pStyle w:val="3"/>
      </w:pP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m:oMathPara>
    </w:p>
    <w:p>
      <w:pPr>
        <w:pStyle w:val="FirstParagraph"/>
      </w:pPr>
      <w:r>
        <w:t xml:space="preserve">In pulmonary medicine, this arises from latent confounders such as geographic pathology. In regions like the Ohio River Valley (USA) or parts of East Asia, granulomatous diseases (e.g., Histoplasmosis, Tuberculosis) are endemic. These benign lesions often mimic the radiographic appearance of malignancy (e.g., spiculation, upper-lobe location). Consequently, a feature vector</w:t>
      </w:r>
      <w:r>
        <w:t xml:space="preserve"> </w:t>
      </w:r>
      <m:oMath>
        <m:r>
          <m:rPr>
            <m:sty m:val="b"/>
          </m:rPr>
          <m:t>x</m:t>
        </m:r>
      </m:oMath>
      <w:r>
        <w:t xml:space="preserve"> </w:t>
      </w:r>
      <w:r>
        <w:t xml:space="preserve">that indicates a 90% probability of cancer in a non-endemic source hospital might only indicate a 40% probability in a TB-endemic target hospital.</w:t>
      </w:r>
    </w:p>
    <w:bookmarkEnd w:id="45"/>
    <w:bookmarkStart w:id="46" w:name="X0980a6f305e99c5002fab5808b498094a9318fc"/>
    <w:p>
      <w:pPr>
        <w:pStyle w:val="3"/>
      </w:pPr>
      <w:r>
        <w:t xml:space="preserve">Theoretical Bound on Generalization Error</w:t>
      </w:r>
    </w:p>
    <w:p>
      <w:pPr>
        <w:pStyle w:val="FirstParagraph"/>
      </w:pPr>
      <w:r>
        <w:t xml:space="preserve">Following the seminal theory by Ben-David et al., the expected error of a hypothesis</w:t>
      </w:r>
      <w:r>
        <w:t xml:space="preserve"> </w:t>
      </w:r>
      <m:oMath>
        <m:r>
          <m:t>h</m:t>
        </m:r>
      </m:oMath>
      <w:r>
        <w:t xml:space="preserve"> </w:t>
      </w:r>
      <w:r>
        <w:t xml:space="preserve">on the target domain,</w:t>
      </w:r>
      <w:r>
        <w:t xml:space="preserve"> </w:t>
      </w:r>
      <m:oMath>
        <m:sSub>
          <m:e>
            <m:r>
              <m:t>ϵ</m:t>
            </m:r>
          </m:e>
          <m:sub>
            <m:r>
              <m:t>T</m:t>
            </m:r>
          </m:sub>
        </m:sSub>
        <m:r>
          <m:rPr>
            <m:sty m:val="p"/>
          </m:rPr>
          <m:t>(</m:t>
        </m:r>
        <m:r>
          <m:t>h</m:t>
        </m:r>
        <m:r>
          <m:rPr>
            <m:sty m:val="p"/>
          </m:rPr>
          <m:t>)</m:t>
        </m:r>
      </m:oMath>
      <w:r>
        <w:t xml:space="preserve">, is bounded by:</w:t>
      </w:r>
    </w:p>
    <w:p>
      <w:pPr>
        <w:pStyle w:val="a0"/>
      </w:pP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oMath>
      </m:oMathPara>
    </w:p>
    <w:p>
      <w:pPr>
        <w:pStyle w:val="FirstParagraph"/>
      </w:pPr>
      <w:r>
        <w:t xml:space="preserve">where:</w:t>
      </w:r>
    </w:p>
    <w:p>
      <w:pPr>
        <w:numPr>
          <w:ilvl w:val="0"/>
          <w:numId w:val="1004"/>
        </w:numPr>
      </w:pPr>
      <m:oMath>
        <m:sSub>
          <m:e>
            <m:r>
              <m:t>ϵ</m:t>
            </m:r>
          </m:e>
          <m:sub>
            <m:r>
              <m:t>S</m:t>
            </m:r>
          </m:sub>
        </m:sSub>
        <m:r>
          <m:rPr>
            <m:sty m:val="p"/>
          </m:rPr>
          <m:t>(</m:t>
        </m:r>
        <m:r>
          <m:t>h</m:t>
        </m:r>
        <m:r>
          <m:rPr>
            <m:sty m:val="p"/>
          </m:rPr>
          <m:t>)</m:t>
        </m:r>
      </m:oMath>
      <w:r>
        <w:t xml:space="preserve"> </w:t>
      </w:r>
      <w:r>
        <w:t xml:space="preserve">is the source domain error, minimized via supervised training.</w:t>
      </w:r>
    </w:p>
    <w:p>
      <w:pPr>
        <w:numPr>
          <w:ilvl w:val="0"/>
          <w:numId w:val="1004"/>
        </w:numPr>
      </w:p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4"/>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t>
      </w:r>
      <w:r>
        <w:t xml:space="preserve">is the error of the ideal joint hypothesis.</w:t>
      </w:r>
    </w:p>
    <w:p>
      <w:pPr>
        <w:pStyle w:val="FirstParagraph"/>
      </w:pPr>
      <w:r>
        <w:t xml:space="preserve">This bound highlights that minimizing source error is insufficient; we must explicitly minimize the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w:t>
      </w:r>
    </w:p>
    <w:bookmarkEnd w:id="46"/>
    <w:bookmarkEnd w:id="47"/>
    <w:bookmarkStart w:id="50" w:name="subsec:model-constraints"/>
    <w:p>
      <w:pPr>
        <w:pStyle w:val="2"/>
      </w:pP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8" w:name="gradient-boosted-decision-trees-gbdt"/>
    <w:p>
      <w:pPr>
        <w:pStyle w:val="3"/>
      </w:pP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rPr>
                <m:sty m:val="b"/>
              </m:rPr>
              <m:t>x</m:t>
            </m:r>
          </m:e>
          <m:sub>
            <m:r>
              <m:t>j</m:t>
            </m:r>
          </m:sub>
        </m:sSub>
        <m:r>
          <m:rPr>
            <m:sty m:val="p"/>
          </m:rPr>
          <m:t>&lt;</m:t>
        </m:r>
        <m:r>
          <m:t>θ</m:t>
        </m:r>
        <m:r>
          <m:rPr>
            <m:sty m:val="p"/>
          </m:rPr>
          <m:t>)</m:t>
        </m:r>
      </m:oMath>
      <w:r>
        <w:t xml:space="preserve">). They suffer from two critical limitations in UDA:</w:t>
      </w:r>
    </w:p>
    <w:p>
      <w:pPr>
        <w:numPr>
          <w:ilvl w:val="0"/>
          <w:numId w:val="1005"/>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5"/>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r>
          <m:rPr>
            <m:sty m:val="p"/>
          </m:rPr>
          <m:t>(</m:t>
        </m:r>
        <m:r>
          <m:t>X</m:t>
        </m:r>
        <m:r>
          <m:rPr>
            <m:sty m:val="p"/>
          </m:rPr>
          <m:t>)</m:t>
        </m:r>
      </m:oMath>
      <w:r>
        <w:t xml:space="preserve"> </w:t>
      </w:r>
      <w:r>
        <w:t xml:space="preserve">outside the support of</w:t>
      </w:r>
      <w:r>
        <w:t xml:space="preserve"> </w:t>
      </w:r>
      <m:oMath>
        <m:sSub>
          <m:e>
            <m:r>
              <m:t>P</m:t>
            </m:r>
          </m:e>
          <m:sub>
            <m:r>
              <m:t>S</m:t>
            </m:r>
          </m:sub>
        </m:sSub>
        <m:r>
          <m:rPr>
            <m:sty m:val="p"/>
          </m:rPr>
          <m:t>(</m:t>
        </m:r>
        <m:r>
          <m:t>X</m:t>
        </m:r>
        <m:r>
          <m:rPr>
            <m:sty m:val="p"/>
          </m:rPr>
          <m:t>)</m:t>
        </m:r>
      </m:oMath>
      <w:r>
        <w:t xml:space="preserve">, the tree maps all such points to the value of the nearest leaf node, often resulting in statistically invalid predictions.</w:t>
      </w:r>
    </w:p>
    <w:bookmarkEnd w:id="48"/>
    <w:bookmarkStart w:id="49" w:name="deep-tabular-models"/>
    <w:p>
      <w:pPr>
        <w:pStyle w:val="3"/>
      </w:pP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6"/>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6"/>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9"/>
    <w:bookmarkEnd w:id="50"/>
    <w:bookmarkStart w:id="51" w:name="subsec:tca-optimization"/>
    <w:p>
      <w:pPr>
        <w:pStyle w:val="2"/>
      </w:pPr>
      <w:r>
        <w:t xml:space="preserve">Transfer Component Analysis (TCA) Optimization Objective</w:t>
      </w:r>
    </w:p>
    <w:p>
      <w:pPr>
        <w:pStyle w:val="FirstParagraph"/>
      </w:pPr>
      <w:r>
        <w:t xml:space="preserve">To minimize the divergence term in Eq.</w:t>
      </w:r>
      <w:r>
        <w:t xml:space="preserve"> </w:t>
      </w:r>
      <w:hyperlink w:anchor="eq:ben-david">
        <w:r>
          <w:rPr>
            <w:rStyle w:val="af"/>
          </w:rPr>
          <w:t xml:space="preserve">[eq:ben-david]</w:t>
        </w:r>
      </w:hyperlink>
      <w:r>
        <w:t xml:space="preserve">, we employ Transfer Component Analysis (TCA). TCA seeks a feature map</w:t>
      </w:r>
      <w:r>
        <w:t xml:space="preserve"> </w:t>
      </w:r>
      <m:oMath>
        <m:r>
          <m:t>φ</m:t>
        </m:r>
        <m:r>
          <m:rPr>
            <m:sty m:val="p"/>
          </m:rPr>
          <m:t>:</m:t>
        </m:r>
        <m:r>
          <m:rPr>
            <m:scr m:val="script"/>
            <m:sty m:val="p"/>
          </m:rPr>
          <m:t>X</m:t>
        </m:r>
        <m:r>
          <m:rPr>
            <m:sty m:val="p"/>
          </m:rPr>
          <m:t>→</m:t>
        </m:r>
        <m:sSub>
          <m:e>
            <m:r>
              <m:rPr>
                <m:scr m:val="script"/>
                <m:sty m:val="p"/>
              </m:rPr>
              <m:t>H</m:t>
            </m:r>
          </m:e>
          <m:sub>
            <m:r>
              <m:t>R</m:t>
            </m:r>
            <m:r>
              <m:t>K</m:t>
            </m:r>
            <m:r>
              <m:t>H</m:t>
            </m:r>
            <m:r>
              <m:t>S</m:t>
            </m:r>
          </m:sub>
        </m:sSub>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φ</m:t>
                      </m:r>
                    </m:e>
                  </m:nary>
                  <m:r>
                    <m:rPr>
                      <m:sty m:val="p"/>
                    </m:rPr>
                    <m:t>(</m:t>
                  </m:r>
                  <m:sSubSup>
                    <m:e>
                      <m:r>
                        <m:rPr>
                          <m:sty m:val="b"/>
                        </m:rP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φ</m:t>
                      </m:r>
                    </m:e>
                  </m:nary>
                  <m:r>
                    <m:rPr>
                      <m:sty m:val="p"/>
                    </m:rPr>
                    <m:t>(</m:t>
                  </m:r>
                  <m:sSubSup>
                    <m:e>
                      <m:r>
                        <m:rPr>
                          <m:sty m:val="b"/>
                        </m:rPr>
                        <m:t>x</m:t>
                      </m:r>
                    </m:e>
                    <m:sub>
                      <m:r>
                        <m:t>j</m:t>
                      </m:r>
                    </m:sub>
                    <m:sup>
                      <m:r>
                        <m:t>t</m:t>
                      </m:r>
                    </m:sup>
                  </m:sSubSup>
                  <m:r>
                    <m:rPr>
                      <m:sty m:val="p"/>
                    </m:rPr>
                    <m:t>)</m:t>
                  </m:r>
                </m:e>
              </m:d>
            </m:e>
            <m:sub>
              <m:r>
                <m:rPr>
                  <m:scr m:val="script"/>
                  <m:sty m:val="p"/>
                </m:rPr>
                <m:t>H</m:t>
              </m:r>
            </m:sub>
            <m:sup>
              <m:r>
                <m:t>2</m:t>
              </m:r>
            </m:sup>
          </m:sSubSup>
        </m:oMath>
      </m:oMathPara>
    </w:p>
    <w:p>
      <w:pPr>
        <w:pStyle w:val="FirstParagraph"/>
      </w:pPr>
      <w:r>
        <w:t xml:space="preserve">TCA aims to learn a transformation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m:oMathPara>
        <m:oMathParaPr>
          <m:jc m:val="center"/>
        </m:oMathParaPr>
        <m:oMath>
          <m:eqArr>
            <m:e>
              <m:r>
                <m:t>&amp;</m:t>
              </m:r>
              <m:limLow>
                <m:e>
                  <m:r>
                    <m:rPr>
                      <m:sty m:val="p"/>
                    </m:rPr>
                    <m:t>min</m:t>
                  </m:r>
                </m:e>
                <m:lim>
                  <m:r>
                    <m:rPr>
                      <m:sty m:val="b"/>
                    </m:rPr>
                    <m:t>W</m:t>
                  </m:r>
                </m:lim>
              </m:limLow>
              <m:r>
                <m:t> </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e>
            <m:e>
              <m:r>
                <m:t>&amp;</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e>
          </m:eqArr>
        </m:oMath>
      </m:oMathPara>
    </w:p>
    <w:p>
      <w:pPr>
        <w:pStyle w:val="FirstParagraph"/>
      </w:pPr>
      <w:r>
        <w:t xml:space="preserve">where:</w:t>
      </w:r>
    </w:p>
    <w:p>
      <w:pPr>
        <w:numPr>
          <w:ilvl w:val="0"/>
          <w:numId w:val="1007"/>
        </w:numPr>
      </w:pP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7"/>
        </w:numPr>
      </w:pPr>
      <m:oMath>
        <m:r>
          <m:rPr>
            <m:sty m:val="b"/>
          </m:rPr>
          <m:t>L</m:t>
        </m:r>
      </m:oMath>
      <w:r>
        <w:t xml:space="preserve"> </w:t>
      </w:r>
      <w:r>
        <w:t xml:space="preserve">is the MMD coefficient matrix, with elements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w:t>
      </w:r>
    </w:p>
    <w:p>
      <w:pPr>
        <w:numPr>
          <w:ilvl w:val="0"/>
          <w:numId w:val="1007"/>
        </w:numPr>
      </w:pP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7"/>
        </w:numPr>
      </w:pPr>
      <w:r>
        <w:t xml:space="preserve">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ensures the variance of the projected data is preserved (maximizing information).</w:t>
      </w:r>
    </w:p>
    <w:bookmarkEnd w:id="51"/>
    <w:bookmarkStart w:id="55" w:name="subsec:panda-formalization"/>
    <w:p>
      <w:pPr>
        <w:pStyle w:val="2"/>
      </w:pP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tAbular fouNdation model with Domain Adaptation)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rPr>
            <m:sty m:val="b"/>
          </m:rP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rPr>
              <m:sty m:val="b"/>
            </m:rPr>
            <m:t>x</m:t>
          </m:r>
          <m:r>
            <m:rPr>
              <m:sty m:val="p"/>
            </m:rPr>
            <m:t>)</m:t>
          </m:r>
          <m:r>
            <m:rPr>
              <m:sty m:val="p"/>
            </m:rPr>
            <m:t>=</m:t>
          </m:r>
          <m:r>
            <m:t>h</m:t>
          </m:r>
          <m:d>
            <m:dPr>
              <m:begChr m:val="("/>
              <m:sepChr m:val=""/>
              <m:endChr m:val=")"/>
              <m:grow/>
            </m:dPr>
            <m:e>
              <m:r>
                <m:t>ψ</m:t>
              </m:r>
              <m:r>
                <m:rPr>
                  <m:sty m:val="p"/>
                </m:rPr>
                <m:t>(</m:t>
              </m:r>
              <m:r>
                <m:rPr>
                  <m:sty m:val="b"/>
                </m:rPr>
                <m:t>x</m:t>
              </m:r>
              <m:r>
                <m:rPr>
                  <m:sty m:val="p"/>
                </m:rPr>
                <m:t>;</m:t>
              </m:r>
              <m:sSup>
                <m:e>
                  <m:r>
                    <m:rPr>
                      <m:scr m:val="script"/>
                      <m:sty m:val="p"/>
                    </m:rPr>
                    <m:t>F</m:t>
                  </m:r>
                </m:e>
                <m:sup>
                  <m:r>
                    <m:rPr>
                      <m:sty m:val="p"/>
                    </m:rPr>
                    <m:t>*</m:t>
                  </m:r>
                </m:sup>
              </m:sSup>
              <m:r>
                <m:rPr>
                  <m:sty m:val="p"/>
                </m:rPr>
                <m:t>)</m:t>
              </m:r>
            </m:e>
          </m:d>
        </m:oMath>
      </m:oMathPara>
    </w:p>
    <w:p>
      <w:pPr>
        <w:pStyle w:val="FirstParagraph"/>
      </w:pPr>
      <w:r>
        <w:t xml:space="preserve">This composition involves distinct stages, grounded in the optimization of the feature subspace prior to alignment:</w:t>
      </w:r>
    </w:p>
    <w:bookmarkStart w:id="52" w:name="subsubsec:rfe-formalization"/>
    <w:p>
      <w:pPr>
        <w:pStyle w:val="3"/>
      </w:pP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w:t>
      </w:r>
    </w:p>
    <w:p>
      <w:pPr>
        <w:pStyle w:val="a0"/>
      </w:pPr>
      <w:r>
        <w:t xml:space="preserve">Let</w:t>
      </w:r>
      <w:r>
        <w:t xml:space="preserve"> </w:t>
      </w:r>
      <m:oMath>
        <m:sSup>
          <m:e>
            <m:r>
              <m:t>S</m:t>
            </m:r>
          </m:e>
          <m:sup>
            <m:r>
              <m:rPr>
                <m:sty m:val="p"/>
              </m:rPr>
              <m:t>(</m:t>
            </m:r>
            <m:r>
              <m:t>0</m:t>
            </m:r>
            <m:r>
              <m:rPr>
                <m:sty m:val="p"/>
              </m:rPr>
              <m:t>)</m:t>
            </m:r>
          </m:sup>
        </m:sSup>
        <m:r>
          <m:rPr>
            <m:sty m:val="p"/>
          </m:rPr>
          <m:t>=</m:t>
        </m:r>
        <m:sSub>
          <m:e>
            <m:r>
              <m:rPr>
                <m:scr m:val="script"/>
                <m:sty m:val="p"/>
              </m:rPr>
              <m:t>F</m:t>
            </m:r>
          </m:e>
          <m:sub>
            <m:r>
              <m:rPr>
                <m:sty m:val="p"/>
              </m:rPr>
              <m:t>∩</m:t>
            </m:r>
          </m:sub>
        </m:sSub>
      </m:oMath>
      <w:r>
        <w:t xml:space="preserve"> </w:t>
      </w:r>
      <w:r>
        <w:t xml:space="preserve">be the initial set of shared features. The RFE process generates a sequence of feature subsets</w:t>
      </w:r>
      <w:r>
        <w:t xml:space="preserve"> </w:t>
      </w:r>
      <m:oMath>
        <m:sSup>
          <m:e>
            <m:r>
              <m:t>S</m:t>
            </m:r>
          </m:e>
          <m:sup>
            <m:r>
              <m:rPr>
                <m:sty m:val="p"/>
              </m:rPr>
              <m:t>(</m:t>
            </m:r>
            <m:r>
              <m:t>0</m:t>
            </m:r>
            <m:r>
              <m:rPr>
                <m:sty m:val="p"/>
              </m:rPr>
              <m:t>)</m:t>
            </m:r>
          </m:sup>
        </m:sSup>
        <m:r>
          <m:rPr>
            <m:sty m:val="p"/>
          </m:rPr>
          <m:t>⊃</m:t>
        </m:r>
        <m:sSup>
          <m:e>
            <m:r>
              <m:t>S</m:t>
            </m:r>
          </m:e>
          <m:sup>
            <m:r>
              <m:rPr>
                <m:sty m:val="p"/>
              </m:rPr>
              <m:t>(</m:t>
            </m:r>
            <m:r>
              <m:t>1</m:t>
            </m:r>
            <m:r>
              <m:rPr>
                <m:sty m:val="p"/>
              </m:rPr>
              <m:t>)</m:t>
            </m:r>
          </m:sup>
        </m:sSup>
        <m:r>
          <m:rPr>
            <m:sty m:val="p"/>
          </m:rPr>
          <m:t>⊃</m:t>
        </m:r>
        <m:r>
          <m:rPr>
            <m:sty m:val="p"/>
          </m:rPr>
          <m:t>…</m:t>
        </m:r>
        <m:r>
          <m:rPr>
            <m:sty m:val="p"/>
          </m:rPr>
          <m:t>⊃</m:t>
        </m:r>
        <m:sSup>
          <m:e>
            <m:r>
              <m:t>S</m:t>
            </m:r>
          </m:e>
          <m:sup>
            <m:r>
              <m:rPr>
                <m:sty m:val="p"/>
              </m:rPr>
              <m:t>(</m:t>
            </m:r>
            <m:r>
              <m:t>d</m:t>
            </m:r>
            <m:r>
              <m:rPr>
                <m:sty m:val="p"/>
              </m:rPr>
              <m:t>−</m:t>
            </m:r>
            <m:r>
              <m:t>k</m:t>
            </m:r>
            <m:r>
              <m:rPr>
                <m:sty m:val="p"/>
              </m:rPr>
              <m:t>)</m:t>
            </m:r>
          </m:sup>
        </m:sSup>
      </m:oMath>
      <w:r>
        <w:t xml:space="preserve">, where</w:t>
      </w:r>
      <w:r>
        <w:t xml:space="preserve"> </w:t>
      </w:r>
      <m:oMath>
        <m:r>
          <m:t>k</m:t>
        </m:r>
      </m:oMath>
      <w:r>
        <w:t xml:space="preserve"> </w:t>
      </w:r>
      <w:r>
        <w:t xml:space="preserve">is the target dimensionality. At each iteration</w:t>
      </w:r>
      <w:r>
        <w:t xml:space="preserve"> </w:t>
      </w:r>
      <m:oMath>
        <m:r>
          <m:t>t</m:t>
        </m:r>
      </m:oMath>
      <w:r>
        <w:t xml:space="preserve">:</w:t>
      </w:r>
    </w:p>
    <w:p>
      <w:pPr>
        <w:numPr>
          <w:ilvl w:val="0"/>
          <w:numId w:val="1008"/>
        </w:numPr>
      </w:pPr>
      <w:r>
        <w:rPr>
          <w:b/>
          <w:bCs/>
        </w:rPr>
        <w:t xml:space="preserve">Model Fitting:</w:t>
      </w:r>
      <w:r>
        <w:t xml:space="preserve"> </w:t>
      </w:r>
      <w:r>
        <w:t xml:space="preserve">We define the TabPFN posterior predictive distribution conditioned on the current subset</w:t>
      </w:r>
      <w:r>
        <w:t xml:space="preserve"> </w:t>
      </w:r>
      <m:oMath>
        <m:sSup>
          <m:e>
            <m:r>
              <m:t>S</m:t>
            </m:r>
          </m:e>
          <m:sup>
            <m:r>
              <m:rPr>
                <m:sty m:val="p"/>
              </m:rPr>
              <m:t>(</m:t>
            </m:r>
            <m:r>
              <m:t>t</m:t>
            </m:r>
            <m:r>
              <m:rPr>
                <m:sty m:val="p"/>
              </m:rPr>
              <m:t>)</m:t>
            </m:r>
          </m:sup>
        </m:sSup>
      </m:oMath>
      <w:r>
        <w:t xml:space="preserve"> </w:t>
      </w:r>
      <w:r>
        <w:t xml:space="preserve">using the source data</w:t>
      </w:r>
      <w:r>
        <w:t xml:space="preserve"> </w:t>
      </w:r>
      <m:oMath>
        <m:r>
          <m:t>S</m:t>
        </m:r>
      </m:oMath>
      <w:r>
        <w:t xml:space="preserve">.</w:t>
      </w:r>
    </w:p>
    <w:p>
      <w:pPr>
        <w:numPr>
          <w:ilvl w:val="0"/>
          <w:numId w:val="1008"/>
        </w:numPr>
      </w:pPr>
      <w:r>
        <w:rPr>
          <w:b/>
          <w:bCs/>
        </w:rPr>
        <w:t xml:space="preserve">Importance Estimation (</w:t>
      </w:r>
      <m:oMath>
        <m:r>
          <m:rPr>
            <m:scr m:val="script"/>
            <m:sty m:val="p"/>
          </m:rPr>
          <m:t>I</m:t>
        </m:r>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rPr>
                <m:sty m:val="b"/>
              </m:rPr>
              <m:t>x</m:t>
            </m:r>
          </m:e>
          <m:sub>
            <m:r>
              <m:t>j</m:t>
            </m:r>
          </m:sub>
        </m:sSub>
        <m:r>
          <m:rPr>
            <m:sty m:val="p"/>
          </m:rPr>
          <m:t>∈</m:t>
        </m:r>
        <m:sSup>
          <m:e>
            <m:r>
              <m:t>S</m:t>
            </m:r>
          </m:e>
          <m:sup>
            <m:r>
              <m:rPr>
                <m:sty m:val="p"/>
              </m:rPr>
              <m:t>(</m:t>
            </m:r>
            <m:r>
              <m:t>t</m:t>
            </m:r>
            <m:r>
              <m:rPr>
                <m:sty m:val="p"/>
              </m:rPr>
              <m:t>)</m:t>
            </m:r>
          </m:sup>
        </m:sSup>
      </m:oMath>
      <w:r>
        <w:t xml:space="preserve">, we compute the degradation in the metric when feature</w:t>
      </w:r>
      <w:r>
        <w:t xml:space="preserve"> </w:t>
      </w:r>
      <m:oMath>
        <m:sSub>
          <m:e>
            <m:r>
              <m:rPr>
                <m:sty m:val="b"/>
              </m:rPr>
              <m:t>x</m:t>
            </m:r>
          </m:e>
          <m:sub>
            <m:r>
              <m:t>j</m:t>
            </m:r>
          </m:sub>
        </m:sSub>
      </m:oMath>
      <w:r>
        <w:t xml:space="preserve"> </w:t>
      </w:r>
      <w:r>
        <w:t xml:space="preserve">is randomly permuted in the validation set:</w:t>
      </w:r>
    </w:p>
    <w:p>
      <w:pPr>
        <w:pStyle w:val="a0"/>
      </w:pPr>
      <m:oMathPara>
        <m:oMathParaPr>
          <m:jc m:val="center"/>
        </m:oMathParaPr>
        <m:oMath>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r>
            <m:t>S</m:t>
          </m:r>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08"/>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f</m:t>
              </m:r>
            </m:e>
            <m:sub>
              <m:r>
                <m:rPr>
                  <m:nor/>
                  <m:sty m:val="p"/>
                </m:rPr>
                <m:t>min</m:t>
              </m:r>
            </m:sub>
          </m:sSub>
          <m:r>
            <m:rPr>
              <m:sty m:val="p"/>
            </m:rPr>
            <m:t>=</m:t>
          </m:r>
          <m:sSub>
            <m:e>
              <m:r>
                <m:rPr>
                  <m:sty m:val="p"/>
                </m:rPr>
                <m:t>argmin</m:t>
              </m:r>
            </m:e>
            <m:sub>
              <m:sSub>
                <m:e>
                  <m:r>
                    <m:rPr>
                      <m:sty m:val="b"/>
                    </m:rPr>
                    <m:t>x</m:t>
                  </m:r>
                </m:e>
                <m:sub>
                  <m:r>
                    <m:t>j</m:t>
                  </m:r>
                </m:sub>
              </m:sSub>
              <m:r>
                <m:rPr>
                  <m:sty m:val="p"/>
                </m:rPr>
                <m:t>∈</m:t>
              </m:r>
              <m:sSup>
                <m:e>
                  <m:r>
                    <m:t>S</m:t>
                  </m:r>
                </m:e>
                <m:sup>
                  <m:r>
                    <m:rPr>
                      <m:sty m:val="p"/>
                    </m:rPr>
                    <m:t>(</m:t>
                  </m:r>
                  <m:r>
                    <m:t>t</m:t>
                  </m:r>
                  <m:r>
                    <m:rPr>
                      <m:sty m:val="p"/>
                    </m:rPr>
                    <m:t>)</m:t>
                  </m:r>
                </m:sup>
              </m:sSup>
            </m:sub>
          </m:sSub>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t> </m:t>
          </m:r>
          <m:r>
            <m:rPr>
              <m:sty m:val="p"/>
            </m:rPr>
            <m:t>→</m:t>
          </m:r>
          <m:r>
            <m:t> </m:t>
          </m:r>
          <m:sSup>
            <m:e>
              <m:r>
                <m:t>S</m:t>
              </m:r>
            </m:e>
            <m:sup>
              <m:r>
                <m:rPr>
                  <m:sty m:val="p"/>
                </m:rPr>
                <m:t>(</m:t>
              </m:r>
              <m:r>
                <m:t>t</m:t>
              </m:r>
              <m:r>
                <m:rPr>
                  <m:sty m:val="p"/>
                </m:rPr>
                <m:t>+</m:t>
              </m:r>
              <m:r>
                <m:t>1</m:t>
              </m:r>
              <m:r>
                <m:rPr>
                  <m:sty m:val="p"/>
                </m:rPr>
                <m:t>)</m:t>
              </m:r>
            </m:sup>
          </m:sSup>
          <m:r>
            <m:rPr>
              <m:sty m:val="p"/>
            </m:rPr>
            <m:t>=</m:t>
          </m:r>
          <m:sSup>
            <m:e>
              <m:r>
                <m:t>S</m:t>
              </m:r>
            </m:e>
            <m:sup>
              <m:r>
                <m:rPr>
                  <m:sty m:val="p"/>
                </m:rPr>
                <m:t>(</m:t>
              </m:r>
              <m:r>
                <m:t>t</m:t>
              </m:r>
              <m:r>
                <m:rPr>
                  <m:sty m:val="p"/>
                </m:rPr>
                <m:t>)</m:t>
              </m:r>
            </m:sup>
          </m:sSup>
          <m:r>
            <m:rPr>
              <m:sty m:val="p"/>
            </m:rPr>
            <m:t>\</m:t>
          </m:r>
          <m:r>
            <m:rPr>
              <m:sty m:val="p"/>
            </m:rPr>
            <m:t>{</m:t>
          </m:r>
          <m:sSub>
            <m:e>
              <m:r>
                <m:t>f</m:t>
              </m:r>
            </m:e>
            <m:sub>
              <m:r>
                <m:rPr>
                  <m:nor/>
                  <m:sty m:val="p"/>
                </m:rPr>
                <m:t>min</m:t>
              </m:r>
            </m:sub>
          </m:sSub>
          <m:r>
            <m:rPr>
              <m:sty m:val="p"/>
            </m:rPr>
            <m:t>}</m:t>
          </m:r>
        </m:oMath>
      </m:oMathPara>
    </w:p>
    <w:p>
      <w:pPr>
        <w:pStyle w:val="FirstParagraph"/>
      </w:pPr>
      <w:r>
        <w:t xml:space="preserve">The final subset</w:t>
      </w:r>
      <w:r>
        <w:t xml:space="preserve"> </w:t>
      </w:r>
      <m:oMath>
        <m:sSup>
          <m:e>
            <m:r>
              <m:rPr>
                <m:scr m:val="script"/>
                <m:sty m:val="p"/>
              </m:rP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2"/>
    <w:bookmarkStart w:id="53" w:name="stage-2-foundation-model-encoding-phi"/>
    <w:p>
      <w:pPr>
        <w:pStyle w:val="3"/>
      </w:pPr>
      <w:r>
        <w:t xml:space="preserve">Stage 2: Foundation Model Encoding (</w:t>
      </w:r>
      <m:oMath>
        <m:r>
          <m:t>ϕ</m:t>
        </m:r>
      </m:oMath>
      <w:r>
        <w:t xml:space="preserve">)</w:t>
      </w:r>
    </w:p>
    <w:p>
      <w:pPr>
        <w:pStyle w:val="FirstParagraph"/>
      </w:pPr>
      <w:r>
        <w:t xml:space="preserve">[Deprecated]</w:t>
      </w:r>
    </w:p>
    <w:bookmarkEnd w:id="53"/>
    <w:bookmarkStart w:id="54" w:name="X9968f0859869d031fb3faf14f10343fe00d3dd2"/>
    <w:p>
      <w:pPr>
        <w:pStyle w:val="3"/>
      </w:pPr>
      <w:r>
        <w:t xml:space="preserve">Stage 2: Domain Adaptation Mapping (</w:t>
      </w:r>
      <m:oMath>
        <m:r>
          <m:t>ψ</m:t>
        </m:r>
      </m:oMath>
      <w:r>
        <w:t xml:space="preserve">) and Classification (</w:t>
      </w:r>
      <m:oMath>
        <m:r>
          <m:t>h</m:t>
        </m:r>
      </m:oMath>
      <w:r>
        <w:t xml:space="preserve">)</w:t>
      </w:r>
    </w:p>
    <w:p>
      <w:pPr>
        <w:pStyle w:val="FirstParagraph"/>
      </w:pPr>
      <w:r>
        <w:t xml:space="preserve">Following RFE, the selected features are then adapted using TCA. The domain adaptation mapping</w:t>
      </w:r>
      <w:r>
        <w:t xml:space="preserve"> </w:t>
      </w:r>
      <m:oMath>
        <m:r>
          <m:t>ψ</m:t>
        </m:r>
      </m:oMath>
      <w:r>
        <w:t xml:space="preserve"> </w:t>
      </w:r>
      <w:r>
        <w:t xml:space="preserve">operates on the RFE-selected features</w:t>
      </w:r>
      <w:r>
        <w:t xml:space="preserve"> </w:t>
      </w:r>
      <m:oMath>
        <m:sSup>
          <m:e>
            <m:r>
              <m:rPr>
                <m:scr m:val="script"/>
                <m:sty m:val="p"/>
              </m:rPr>
              <m:t>F</m:t>
            </m:r>
          </m:e>
          <m:sup>
            <m:r>
              <m:rPr>
                <m:sty m:val="p"/>
              </m:rPr>
              <m:t>*</m:t>
            </m:r>
          </m:sup>
        </m:sSup>
      </m:oMath>
      <w:r>
        <w:t xml:space="preserve"> </w:t>
      </w:r>
      <w:r>
        <w:t xml:space="preserve">to project them into a domain-invariant subspace. This transformed feature set,</w:t>
      </w:r>
      <w:r>
        <w:t xml:space="preserve"> </w:t>
      </w:r>
      <m:oMath>
        <m:sSup>
          <m:e>
            <m:r>
              <m:rPr>
                <m:sty m:val="b"/>
              </m:rPr>
              <m:t>x</m:t>
            </m:r>
          </m:e>
          <m:sup>
            <m:r>
              <m:rPr>
                <m:sty m:val="p"/>
              </m:rPr>
              <m:t>′</m:t>
            </m:r>
          </m:sup>
        </m:sSup>
        <m:r>
          <m:rPr>
            <m:sty m:val="p"/>
          </m:rPr>
          <m:t>=</m:t>
        </m:r>
        <m:r>
          <m:t>ψ</m:t>
        </m:r>
        <m:r>
          <m:rPr>
            <m:sty m:val="p"/>
          </m:rPr>
          <m:t>(</m:t>
        </m:r>
        <m:r>
          <m:rPr>
            <m:sty m:val="b"/>
          </m:rPr>
          <m:t>x</m:t>
        </m:r>
        <m:r>
          <m:rPr>
            <m:sty m:val="p"/>
          </m:rPr>
          <m:t>;</m:t>
        </m:r>
        <m:sSup>
          <m:e>
            <m:r>
              <m:rPr>
                <m:scr m:val="script"/>
                <m:sty m:val="p"/>
              </m:rPr>
              <m:t>F</m:t>
            </m:r>
          </m:e>
          <m:sup>
            <m:r>
              <m:rPr>
                <m:sty m:val="p"/>
              </m:rPr>
              <m:t>*</m:t>
            </m:r>
          </m:sup>
        </m:sSup>
        <m:r>
          <m:rPr>
            <m:sty m:val="p"/>
          </m:rPr>
          <m:t>)</m:t>
        </m:r>
      </m:oMath>
      <w:r>
        <w:t xml:space="preserve">, is then fed into the TabPFN classifier. The classification function</w:t>
      </w:r>
      <w:r>
        <w:t xml:space="preserve"> </w:t>
      </w:r>
      <m:oMath>
        <m:r>
          <m:t>h</m:t>
        </m:r>
      </m:oMath>
      <w:r>
        <w:t xml:space="preserve"> </w:t>
      </w:r>
      <w:r>
        <w:t xml:space="preserve">represents the combined operation of the TabPFN classifier and the ensemble-based temperature scaling, which together yield the final calibrated malignancy probability.</w:t>
      </w:r>
    </w:p>
    <w:bookmarkEnd w:id="54"/>
    <w:bookmarkEnd w:id="55"/>
    <w:bookmarkStart w:id="57" w:name="subsec:clinical-mapping"/>
    <w:p>
      <w:pPr>
        <w:pStyle w:val="2"/>
      </w:pPr>
      <w:r>
        <w:t xml:space="preserve">Clinical-Statistical Mapping</w:t>
      </w:r>
    </w:p>
    <w:p>
      <w:pPr>
        <w:pStyle w:val="FirstParagraph"/>
      </w:pPr>
      <w:r>
        <w:t xml:space="preserve">Table</w:t>
      </w:r>
      <w:r>
        <w:t xml:space="preserv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6"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6"/>
    <w:bookmarkEnd w:id="57"/>
    <w:bookmarkStart w:id="59" w:name="subsec:constraints"/>
    <w:p>
      <w:pPr>
        <w:pStyle w:val="2"/>
      </w:pPr>
      <w:r>
        <w:t xml:space="preserve">Problem Constraints and Research Scope</w:t>
      </w:r>
    </w:p>
    <w:p>
      <w:pPr>
        <w:pStyle w:val="FirstParagraph"/>
      </w:pPr>
      <w:r>
        <w:t xml:space="preserve">Our formulation is bound by specific constraints inherent to the medical domain:</w:t>
      </w:r>
    </w:p>
    <w:p>
      <w:pPr>
        <w:numPr>
          <w:ilvl w:val="0"/>
          <w:numId w:val="1009"/>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sSub>
          <m:e>
            <m:r>
              <m:t>n</m:t>
            </m:r>
          </m:e>
          <m:sub>
            <m:r>
              <m:t>t</m:t>
            </m:r>
          </m:sub>
        </m:sSub>
      </m:oMath>
      <w:r>
        <w:t xml:space="preserve"> </w:t>
      </w:r>
      <w:r>
        <w:t xml:space="preserve">are typically in the range of 100 to 1000. This prohibits the use of deep domain adaptation networks.</w:t>
      </w:r>
    </w:p>
    <w:p>
      <w:pPr>
        <w:numPr>
          <w:ilvl w:val="0"/>
          <w:numId w:val="1009"/>
        </w:numPr>
      </w:pPr>
      <w:r>
        <w:rPr>
          <w:b/>
          <w:bCs/>
        </w:rPr>
        <w:t xml:space="preserve">Privacy and Data Silos:</w:t>
      </w:r>
      <w:r>
        <w:t xml:space="preserve"> </w:t>
      </w:r>
      <w:r>
        <w:t xml:space="preserve">We assume source data</w:t>
      </w:r>
      <w:r>
        <w:t xml:space="preserve"> </w:t>
      </w:r>
      <m:oMath>
        <m:sSub>
          <m:e>
            <m:r>
              <m:rPr>
                <m:scr m:val="script"/>
                <m:sty m:val="p"/>
              </m:rPr>
              <m:t>D</m:t>
            </m:r>
          </m:e>
          <m:sub>
            <m:r>
              <m:t>S</m:t>
            </m:r>
          </m:sub>
        </m:sSub>
      </m:oMath>
      <w:r>
        <w:t xml:space="preserve"> </w:t>
      </w:r>
      <w:r>
        <w:t xml:space="preserve">and target data</w:t>
      </w:r>
      <w:r>
        <w:t xml:space="preserve"> </w:t>
      </w:r>
      <m:oMath>
        <m:sSub>
          <m:e>
            <m:r>
              <m:rPr>
                <m:scr m:val="script"/>
                <m:sty m:val="p"/>
              </m:rPr>
              <m:t>D</m:t>
            </m:r>
          </m:e>
          <m:sub>
            <m:r>
              <m:t>T</m:t>
            </m:r>
          </m:sub>
        </m:sSub>
      </m:oMath>
      <w:r>
        <w:t xml:space="preserve"> </w:t>
      </w:r>
      <w:r>
        <w:t xml:space="preserve">cannot be physically merged.</w:t>
      </w:r>
    </w:p>
    <w:p>
      <w:pPr>
        <w:numPr>
          <w:ilvl w:val="0"/>
          <w:numId w:val="1009"/>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-centric optimization.</w:t>
      </w:r>
    </w:p>
    <w:p>
      <w:pPr>
        <w:pStyle w:val="FirstParagraph"/>
      </w:pPr>
      <w:r>
        <w:t xml:space="preserve">This formalization sets the stage for the specific methodological implementations detailed in Chapter 4.</w:t>
      </w:r>
      <w:r>
        <w:t xml:space="preserve"> </w:t>
      </w:r>
      <w:bookmarkStart w:id="58" w:name="sec:pf-end"/>
      <w:bookmarkEnd w:id="58"/>
    </w:p>
    <w:bookmarkEnd w:id="59"/>
    <w:bookmarkEnd w:id="60"/>
    <w:bookmarkStart w:id="74" w:name="sec:solution"/>
    <w:p>
      <w:pPr>
        <w:pStyle w:val="1"/>
      </w:pPr>
      <w:r>
        <w:t xml:space="preserve">Solution: The PANDA Framework</w:t>
      </w:r>
    </w:p>
    <w:p>
      <w:pPr>
        <w:pStyle w:val="FirstParagraph"/>
      </w:pPr>
      <w:bookmarkStart w:id="61" w:name="sec:sol-start"/>
      <w:bookmarkEnd w:id="61"/>
    </w:p>
    <w:p>
      <w:pPr>
        <w:pStyle w:val="a0"/>
      </w:pPr>
      <w:r>
        <w:t xml:space="preserve">To bridge the gap between advanced tabular foundation models and the practical constraints of cross-hospital medical AI, we introduce PANDA (</w:t>
      </w:r>
      <w:r>
        <w:rPr>
          <w:b/>
          <w:bCs/>
        </w:rPr>
        <w:t xml:space="preserve">P</w:t>
      </w:r>
      <w:r>
        <w:t xml:space="preserve">re-trained t</w:t>
      </w:r>
      <w:r>
        <w:rPr>
          <w:b/>
          <w:bCs/>
        </w:rPr>
        <w:t xml:space="preserve">A</w:t>
      </w:r>
      <w:r>
        <w:t xml:space="preserve">bular fou</w:t>
      </w:r>
      <w:r>
        <w:rPr>
          <w:b/>
          <w:bCs/>
        </w:rPr>
        <w:t xml:space="preserve">N</w:t>
      </w:r>
      <w:r>
        <w:t xml:space="preserve">dation model with</w:t>
      </w:r>
      <w:r>
        <w:t xml:space="preserve"> </w:t>
      </w:r>
      <w:r>
        <w:rPr>
          <w:b/>
          <w:bCs/>
        </w:rPr>
        <w:t xml:space="preserve">D</w:t>
      </w:r>
      <w:r>
        <w:t xml:space="preserve">omain</w:t>
      </w:r>
      <w:r>
        <w:t xml:space="preserve"> </w:t>
      </w:r>
      <w:r>
        <w:rPr>
          <w:b/>
          <w:bCs/>
        </w:rPr>
        <w:t xml:space="preserve">A</w:t>
      </w:r>
      <w:r>
        <w:t xml:space="preserve">daptation).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w:t>
      </w:r>
    </w:p>
    <w:p>
      <w:pPr>
        <w:pStyle w:val="a0"/>
      </w:pPr>
      <w:r>
        <w:t xml:space="preserve">We formalize the PANDA solution as a composite function</w:t>
      </w:r>
      <w:r>
        <w:t xml:space="preserve"> </w:t>
      </w:r>
      <m:oMath>
        <m:sSub>
          <m:e>
            <m:r>
              <m:t>f</m:t>
            </m:r>
          </m:e>
          <m:sub>
            <m:r>
              <m:rPr>
                <m:nor/>
                <m:sty m:val="p"/>
              </m:rPr>
              <m:t>PANDA</m:t>
            </m:r>
          </m:sub>
        </m:sSub>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mapping raw, heterogeneous input space to a calibrated malignancy probability. The framework consists of four sequential stages: (1) Domain-Aware Feature Alignment and Selection, (2) Foundation Model Feature Extraction, (3) Latent Space Domain Adaptation, and (4) Multi-View Ensemble Classification.</w:t>
      </w:r>
    </w:p>
    <w:bookmarkStart w:id="63" w:name="subsec:sol-architecture"/>
    <w:p>
      <w:pPr>
        <w:pStyle w:val="2"/>
      </w:pPr>
      <w:r>
        <w:t xml:space="preserve">Architectural Overview</w:t>
      </w:r>
    </w:p>
    <w:p>
      <w:pPr>
        <w:pStyle w:val="FirstParagraph"/>
      </w:pPr>
      <w:r>
        <w:t xml:space="preserve">The PANDA framework operates as a directed acyclic graph (DAG) of data transformations, guiding raw clinical inputs through a carefully orchestrated sequence to produce a calibrated malignancy probability. Table</w:t>
      </w:r>
      <w:r>
        <w:t xml:space="preserve"> </w:t>
      </w:r>
      <w:hyperlink w:anchor="tbl:data-flow">
        <w:r>
          <w:rPr>
            <w:rStyle w:val="af"/>
          </w:rPr>
          <w:t xml:space="preserve">[tab:data-flow]</w:t>
        </w:r>
      </w:hyperlink>
      <w:r>
        <w:t xml:space="preserve"> </w:t>
      </w:r>
      <w:r>
        <w:t xml:space="preserve">details this journey, illustrating how feature representations evolve at each stage.</w:t>
      </w:r>
    </w:p>
    <w:p>
      <w:pPr>
        <w:pStyle w:val="a0"/>
      </w:pPr>
      <w:r>
        <w:t xml:space="preserve">The data journey begins with</w:t>
      </w:r>
      <w:r>
        <w:t xml:space="preserve"> </w:t>
      </w:r>
      <w:r>
        <w:rPr>
          <w:b/>
          <w:bCs/>
        </w:rPr>
        <w:t xml:space="preserve">Stage 1: Feature Alignment</w:t>
      </w:r>
      <w:r>
        <w:t xml:space="preserve">. Here, we perform a robust schema intersection (</w:t>
      </w:r>
      <m:oMath>
        <m:sSub>
          <m:e>
            <m:r>
              <m:rPr>
                <m:scr m:val="script"/>
                <m:sty m:val="p"/>
              </m:rPr>
              <m:t>F</m:t>
            </m:r>
          </m:e>
          <m:sub>
            <m:r>
              <m:rPr>
                <m:sty m:val="p"/>
              </m:rPr>
              <m:t>∩</m:t>
            </m:r>
          </m:sub>
        </m:sSub>
      </m:oMath>
      <w:r>
        <w:t xml:space="preserve">) between the features available in the source domain and each target hospital’s dataset. This crucial step effectively addresses the "missingness shift" by identifying the maximal common feature set, ensuring that only universally collected and relevant variables proceed through the pipeline, even if certain examinations are not uniformly performed across all clinical sites.</w:t>
      </w:r>
    </w:p>
    <w:p>
      <w:pPr>
        <w:pStyle w:val="a0"/>
      </w:pPr>
      <w:r>
        <w:t xml:space="preserve">Following alignment,</w:t>
      </w:r>
      <w:r>
        <w:t xml:space="preserve"> </w:t>
      </w:r>
      <w:r>
        <w:rPr>
          <w:b/>
          <w:bCs/>
        </w:rPr>
        <w:t xml:space="preserve">Stage 2: Cross-Domain Recursive Feature Elimination (RFE)</w:t>
      </w:r>
      <w:r>
        <w:t xml:space="preserve"> </w:t>
      </w:r>
      <w:r>
        <w:t xml:space="preserve">takes over. From the</w:t>
      </w:r>
      <w:r>
        <w:t xml:space="preserve"> </w:t>
      </w:r>
      <m:oMath>
        <m:sSub>
          <m:e>
            <m:r>
              <m:t>d</m:t>
            </m:r>
          </m:e>
          <m:sub>
            <m:r>
              <m:rPr>
                <m:sty m:val="p"/>
              </m:rPr>
              <m:t>∩</m:t>
            </m:r>
          </m:sub>
        </m:sSub>
      </m:oMath>
      <w:r>
        <w:t xml:space="preserve"> </w:t>
      </w:r>
      <w:r>
        <w:t xml:space="preserve">features, this stage systematically reduces the dimensionality to a concise set of</w:t>
      </w:r>
      <w:r>
        <w:t xml:space="preserve"> </w:t>
      </w:r>
      <m:oMath>
        <m:r>
          <m:t>k</m:t>
        </m:r>
        <m:r>
          <m:rPr>
            <m:sty m:val="p"/>
          </m:rPr>
          <m:t>≈</m:t>
        </m:r>
        <m:r>
          <m:t>8</m:t>
        </m:r>
      </m:oMath>
      <w:r>
        <w:t xml:space="preserve"> </w:t>
      </w:r>
      <w:r>
        <w:t xml:space="preserve">clinically impactful features, denoted as</w:t>
      </w:r>
      <w:r>
        <w:t xml:space="preserve"> </w:t>
      </w:r>
      <m:oMath>
        <m:sSup>
          <m:e>
            <m:r>
              <m:rPr>
                <m:scr m:val="script"/>
                <m:sty m:val="p"/>
              </m:rPr>
              <m:t>F</m:t>
            </m:r>
          </m:e>
          <m:sup>
            <m:r>
              <m:rPr>
                <m:sty m:val="p"/>
              </m:rPr>
              <m:t>*</m:t>
            </m:r>
          </m:sup>
        </m:sSup>
      </m:oMath>
      <w:r>
        <w:t xml:space="preserve">. This reduction is not arbitrary; it serves to minimize the joint error (</w:t>
      </w:r>
      <m:oMath>
        <m:r>
          <m:t>λ</m:t>
        </m:r>
      </m:oMath>
      <w:r>
        <w:t xml:space="preserve">) across domains and guarantees that the selected features are practically acquirable by all participating hospitals. This process aligns directly with the feature set</w:t>
      </w:r>
      <w:r>
        <w:t xml:space="preserve"> </w:t>
      </w:r>
      <m:oMath>
        <m:sSup>
          <m:e>
            <m:r>
              <m:rPr>
                <m:scr m:val="script"/>
                <m:sty m:val="p"/>
              </m:rPr>
              <m:t>F</m:t>
            </m:r>
          </m:e>
          <m:sup>
            <m:r>
              <m:rPr>
                <m:sty m:val="p"/>
              </m:rPr>
              <m:t>*</m:t>
            </m:r>
          </m:sup>
        </m:sSup>
      </m:oMath>
      <w:r>
        <w:t xml:space="preserve"> </w:t>
      </w:r>
      <w:r>
        <w:t xml:space="preserve">and the target feature space for domain</w:t>
      </w:r>
      <w:r>
        <w:t xml:space="preserve"> </w:t>
      </w:r>
      <m:oMath>
        <m:r>
          <m:t>t</m:t>
        </m:r>
      </m:oMath>
      <w:r>
        <w:t xml:space="preserve">,</w:t>
      </w:r>
      <w:r>
        <w:t xml:space="preserve"> </w:t>
      </w:r>
      <m:oMath>
        <m:sSup>
          <m:e>
            <m:r>
              <m:t>S</m:t>
            </m:r>
          </m:e>
          <m:sup>
            <m:r>
              <m:rPr>
                <m:sty m:val="p"/>
              </m:rPr>
              <m:t>(</m:t>
            </m:r>
            <m:r>
              <m:t>t</m:t>
            </m:r>
            <m:r>
              <m:rPr>
                <m:sty m:val="p"/>
              </m:rPr>
              <m:t>)</m:t>
            </m:r>
          </m:sup>
        </m:sSup>
      </m:oMath>
      <w:r>
        <w:t xml:space="preserve">, as introduced in Section 3.6.1.</w:t>
      </w:r>
    </w:p>
    <w:p>
      <w:pPr>
        <w:pStyle w:val="a0"/>
      </w:pPr>
      <w:r>
        <w:t xml:space="preserve">Subsequently, in</w:t>
      </w:r>
      <w:r>
        <w:t xml:space="preserve"> </w:t>
      </w:r>
      <w:r>
        <w:rPr>
          <w:b/>
          <w:bCs/>
        </w:rPr>
        <w:t xml:space="preserve">Stage 3: Latent Transfer Component Analysis (TCA)</w:t>
      </w:r>
      <w:r>
        <w:t xml:space="preserve">, the refined feature set</w:t>
      </w:r>
      <w:r>
        <w:t xml:space="preserve"> </w:t>
      </w:r>
      <m:oMath>
        <m:sSup>
          <m:e>
            <m:r>
              <m:rPr>
                <m:scr m:val="double-struck"/>
                <m:sty m:val="p"/>
              </m:rPr>
              <m:t>R</m:t>
            </m:r>
          </m:e>
          <m:sup>
            <m:r>
              <m:t>k</m:t>
            </m:r>
          </m:sup>
        </m:sSup>
      </m:oMath>
      <w:r>
        <w:t xml:space="preserve"> </w:t>
      </w:r>
      <w:r>
        <w:t xml:space="preserve">is adapted. TCA projects these features into a lower-dimensional, domain-invariant space</w:t>
      </w:r>
      <w:r>
        <w:t xml:space="preserve"> </w:t>
      </w:r>
      <m:oMath>
        <m:sSup>
          <m:e>
            <m:r>
              <m:rPr>
                <m:scr m:val="double-struck"/>
                <m:sty m:val="p"/>
              </m:rPr>
              <m:t>R</m:t>
            </m:r>
          </m:e>
          <m:sup>
            <m:r>
              <m:t>m</m:t>
            </m:r>
          </m:sup>
        </m:sSup>
      </m:oMath>
      <w:r>
        <w:t xml:space="preserve"> </w:t>
      </w:r>
      <w:r>
        <w:t xml:space="preserve">(typically</w:t>
      </w:r>
      <w:r>
        <w:t xml:space="preserve"> </w:t>
      </w:r>
      <m:oMath>
        <m:r>
          <m:t>m</m:t>
        </m:r>
        <m:r>
          <m:rPr>
            <m:sty m:val="p"/>
          </m:rPr>
          <m:t>=</m:t>
        </m:r>
        <m:r>
          <m:t>15</m:t>
        </m:r>
      </m:oMath>
      <w:r>
        <w:t xml:space="preserve">). This 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r>
        <w:t xml:space="preserve">, is learned to minimize the Maximum Mean Discrepancy (MMD) between the source and target domain distributions in this latent space, thereby mitigating covariate shift.</w:t>
      </w:r>
    </w:p>
    <w:p>
      <w:pPr>
        <w:pStyle w:val="a0"/>
      </w:pPr>
      <w:r>
        <w:rPr>
          <w:b/>
          <w:bCs/>
        </w:rPr>
        <w:t xml:space="preserve">Stage 4: TabPFN Classifier</w:t>
      </w:r>
      <w:r>
        <w:t xml:space="preserve"> </w:t>
      </w:r>
      <w:r>
        <w:t xml:space="preserve">then processes the TCA-transformed features to predict the initial malignancy probability. In this stage, the TabPFN acts as a robust, pre-trained classifier on the domain-adapted data. Its in-context learning capabilities allow it to infer complex, non-linear decision boundaries without extensive gradient updates on small medical datasets.</w:t>
      </w:r>
    </w:p>
    <w:p>
      <w:pPr>
        <w:pStyle w:val="a0"/>
      </w:pPr>
      <w:r>
        <w:t xml:space="preserve">Finally,</w:t>
      </w:r>
      <w:r>
        <w:t xml:space="preserve"> </w:t>
      </w:r>
      <w:r>
        <w:rPr>
          <w:b/>
          <w:bCs/>
        </w:rPr>
        <w:t xml:space="preserve">Stage 5: Ensemble</w:t>
      </w:r>
      <w:r>
        <w:t xml:space="preserve"> </w:t>
      </w:r>
      <w:r>
        <w:t xml:space="preserve">aggregates predictions from multiple TabPFN Classifier instances. This involves temperature scaling of the individual TabPFN outputs, followed by averaging across</w:t>
      </w:r>
      <w:r>
        <w:t xml:space="preserve"> </w:t>
      </w:r>
      <m:oMath>
        <m:r>
          <m:t>B</m:t>
        </m:r>
        <m:r>
          <m:rPr>
            <m:sty m:val="p"/>
          </m:rPr>
          <m:t>×</m:t>
        </m:r>
        <m:r>
          <m:t>S</m:t>
        </m:r>
      </m:oMath>
      <w:r>
        <w:t xml:space="preserve"> </w:t>
      </w:r>
      <w:r>
        <w:t xml:space="preserve">ensemble members, yielding the final, calibrated malignancy probability. The temperature scaling is crucial for adjusting predicted probabilities to account for potential label shifts between domains, ensuring more reliable and interpretable outputs.</w:t>
      </w:r>
    </w:p>
    <w:bookmarkStart w:id="62" w:name="mapping-to-formal-problem-formulation"/>
    <w:p>
      <w:pPr>
        <w:pStyle w:val="3"/>
      </w:pPr>
      <w:r>
        <w:t xml:space="preserve">Mapping to Formal Problem Formulation</w:t>
      </w:r>
    </w:p>
    <w:p>
      <w:pPr>
        <w:pStyle w:val="FirstParagraph"/>
      </w:pPr>
      <w:r>
        <w:t xml:space="preserve">To establish a clear connection between the PANDA framework’s architectural stages and its formal problem formulation presented in Section 3.6, we explicitly map the components of</w:t>
      </w:r>
      <w:r>
        <w:t xml:space="preserve"> </w:t>
      </w: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r>
          <m:rPr>
            <m:sty m:val="b"/>
          </m:rPr>
          <m:t>x</m:t>
        </m:r>
        <m:r>
          <m:rPr>
            <m:sty m:val="p"/>
          </m:rPr>
          <m:t>;</m:t>
        </m:r>
        <m:sSup>
          <m:e>
            <m:r>
              <m:rPr>
                <m:scr m:val="script"/>
                <m:sty m:val="p"/>
              </m:rPr>
              <m:t>F</m:t>
            </m:r>
          </m:e>
          <m:sup>
            <m:r>
              <m:rPr>
                <m:sty m:val="p"/>
              </m:rPr>
              <m:t>*</m:t>
            </m:r>
          </m:sup>
        </m:sSup>
        <m:r>
          <m:rPr>
            <m:sty m:val="p"/>
          </m:rPr>
          <m:t>)</m:t>
        </m:r>
        <m:r>
          <m:rPr>
            <m:sty m:val="p"/>
          </m:rPr>
          <m:t>)</m:t>
        </m:r>
      </m:oMath>
      <w:r>
        <w:t xml:space="preserve"> </w:t>
      </w:r>
      <w:r>
        <w:t xml:space="preserve">to the corresponding stages:</w:t>
      </w:r>
    </w:p>
    <w:p>
      <w:pPr>
        <w:numPr>
          <w:ilvl w:val="0"/>
          <w:numId w:val="1010"/>
        </w:numPr>
      </w:pPr>
      <m:oMath>
        <m:sSup>
          <m:e>
            <m:r>
              <m:rPr>
                <m:scr m:val="script"/>
                <m:sty m:val="p"/>
              </m:rPr>
              <m:t>F</m:t>
            </m:r>
          </m:e>
          <m:sup>
            <m:r>
              <m:rPr>
                <m:sty m:val="p"/>
              </m:rPr>
              <m:t>*</m:t>
            </m:r>
          </m:sup>
        </m:sSup>
        <m:r>
          <m:rPr>
            <m:sty m:val="p"/>
          </m:rPr>
          <m:t>←</m:t>
        </m:r>
      </m:oMath>
      <w:r>
        <w:t xml:space="preserve"> </w:t>
      </w:r>
      <w:r>
        <w:t xml:space="preserve">Stages 1–2 (Schema Intersection + Cross-Domain RFE)</w:t>
      </w:r>
    </w:p>
    <w:p>
      <w:pPr>
        <w:numPr>
          <w:ilvl w:val="0"/>
          <w:numId w:val="1010"/>
        </w:numPr>
      </w:pPr>
      <m:oMath>
        <m:r>
          <m:t>ψ</m:t>
        </m:r>
        <m:r>
          <m:rPr>
            <m:sty m:val="p"/>
          </m:rPr>
          <m:t>←</m:t>
        </m:r>
      </m:oMath>
      <w:r>
        <w:t xml:space="preserve"> </w:t>
      </w:r>
      <w:r>
        <w:t xml:space="preserve">Stage 3 (Latent TCA)</w:t>
      </w:r>
    </w:p>
    <w:p>
      <w:pPr>
        <w:numPr>
          <w:ilvl w:val="0"/>
          <w:numId w:val="1010"/>
        </w:numPr>
      </w:pPr>
      <m:oMath>
        <m:r>
          <m:t>h</m:t>
        </m:r>
        <m:r>
          <m:rPr>
            <m:sty m:val="p"/>
          </m:rPr>
          <m:t>←</m:t>
        </m:r>
      </m:oMath>
      <w:r>
        <w:t xml:space="preserve"> </w:t>
      </w:r>
      <w:r>
        <w:t xml:space="preserve">Stages 4–5 (TabPFN Classifier + Ensemble/Calibration)</w:t>
      </w:r>
    </w:p>
    <w:p>
      <w:pPr>
        <w:pStyle w:val="FirstParagraph"/>
      </w:pPr>
      <w:r>
        <w:t xml:space="preserve">This mapping clarifies how the abstract components of the PANDA function are instantiated through the concrete processing steps, providing readers with a direct link between theory and implementation.</w:t>
      </w:r>
    </w:p>
    <w:bookmarkEnd w:id="62"/>
    <w:bookmarkEnd w:id="63"/>
    <w:bookmarkStart w:id="64" w:name="subsec:sol-tabpfn"/>
    <w:p>
      <w:pPr>
        <w:pStyle w:val="2"/>
      </w:pPr>
      <w:r>
        <w:t xml:space="preserve">Core Component I: TabPFN as a Robust Classifier</w:t>
      </w:r>
    </w:p>
    <w:p>
      <w:pPr>
        <w:pStyle w:val="FirstParagraph"/>
      </w:pPr>
      <w:r>
        <w:t xml:space="preserve">The backbone of PANDA is the TabPFN (Tabular Prior-Data Fitted Network) foundation model. While TabPFN is capable of extracting embeddings, in the PANDA framework, we leverage it primarily as a robust</w:t>
      </w:r>
      <w:r>
        <w:t xml:space="preserve"> </w:t>
      </w:r>
      <w:r>
        <w:rPr>
          <w:b/>
          <w:bCs/>
        </w:rPr>
        <w:t xml:space="preserve">Classifier</w:t>
      </w:r>
      <w:r>
        <w:t xml:space="preserve"> </w:t>
      </w:r>
      <w:r>
        <w:t xml:space="preserve">operating on the domain-adapted features. This strategic choice is driven by TabPFN’s unique ability to generalize well on small tabular datasets without extensive domain-specific fine-tuning.</w:t>
      </w:r>
      <w:r>
        <w:t xml:space="preserve"> </w:t>
      </w:r>
      <w:r>
        <w:t xml:space="preserve">Mathematically, after the feature set</w:t>
      </w:r>
      <w:r>
        <w:t xml:space="preserve"> </w:t>
      </w:r>
      <m:oMath>
        <m:r>
          <m:rPr>
            <m:sty m:val="b"/>
          </m:rPr>
          <m:t>x</m:t>
        </m:r>
      </m:oMath>
      <w:r>
        <w:t xml:space="preserve"> </w:t>
      </w:r>
      <w:r>
        <w:t xml:space="preserve">has been aligned and reduced (Stages 1-2) and then adapted by TCA into</w:t>
      </w:r>
      <w:r>
        <w:t xml:space="preserve"> </w:t>
      </w:r>
      <m:oMath>
        <m:sSup>
          <m:e>
            <m:r>
              <m:rPr>
                <m:sty m:val="b"/>
              </m:rPr>
              <m:t>x</m:t>
            </m:r>
          </m:e>
          <m:sup>
            <m:r>
              <m:rPr>
                <m:sty m:val="p"/>
              </m:rPr>
              <m:t>′</m:t>
            </m:r>
          </m:sup>
        </m:sSup>
      </m:oMath>
      <w:r>
        <w:t xml:space="preserve"> </w:t>
      </w:r>
      <w:r>
        <w:t xml:space="preserve">(Stage 3), the TabPFN classifier</w:t>
      </w:r>
      <w:r>
        <w:t xml:space="preserve"> </w:t>
      </w:r>
      <m:oMath>
        <m:sSub>
          <m:e>
            <m:r>
              <m:t>f</m:t>
            </m:r>
          </m:e>
          <m:sub>
            <m:r>
              <m:rPr>
                <m:nor/>
                <m:sty m:val="p"/>
              </m:rPr>
              <m:t>TabPFN</m:t>
            </m:r>
          </m:sub>
        </m:sSub>
        <m:r>
          <m:rPr>
            <m:sty m:val="p"/>
          </m:rPr>
          <m:t>(</m:t>
        </m:r>
        <m:r>
          <m:rPr>
            <m:sty m:val="p"/>
          </m:rPr>
          <m:t>⋅</m:t>
        </m:r>
        <m:r>
          <m:rPr>
            <m:sty m:val="p"/>
          </m:rPr>
          <m:t>)</m:t>
        </m:r>
      </m:oMath>
      <w:r>
        <w:t xml:space="preserve"> </w:t>
      </w:r>
      <w:r>
        <w:t xml:space="preserve">directly maps these transformed features to a malignancy probability:</w:t>
      </w:r>
    </w:p>
    <w:p>
      <w:pPr>
        <w:pStyle w:val="a0"/>
      </w:pPr>
      <m:oMathPara>
        <m:oMathParaPr>
          <m:jc m:val="center"/>
        </m:oMathParaPr>
        <m:oMath>
          <m:sSub>
            <m:e>
              <m:r>
                <m:t>f</m:t>
              </m:r>
            </m:e>
            <m:sub>
              <m:r>
                <m:rPr>
                  <m:nor/>
                  <m:sty m:val="p"/>
                </m:rPr>
                <m:t>TabPFN</m:t>
              </m:r>
            </m:sub>
          </m:sSub>
          <m:r>
            <m:rPr>
              <m:sty m:val="p"/>
            </m:rPr>
            <m:t>(</m:t>
          </m:r>
          <m:sSup>
            <m:e>
              <m:r>
                <m:rPr>
                  <m:sty m:val="b"/>
                </m:rPr>
                <m:t>x</m:t>
              </m:r>
            </m:e>
            <m:sup>
              <m:r>
                <m:rPr>
                  <m:sty m:val="p"/>
                </m:rPr>
                <m:t>′</m:t>
              </m:r>
            </m:sup>
          </m:sSup>
          <m:r>
            <m:rPr>
              <m:sty m:val="p"/>
            </m:rPr>
            <m:t>)</m:t>
          </m:r>
          <m:r>
            <m:rPr>
              <m:sty m:val="p"/>
            </m:rPr>
            <m:t>∈</m:t>
          </m:r>
          <m:r>
            <m:rPr>
              <m:sty m:val="p"/>
            </m:rPr>
            <m:t>[</m:t>
          </m:r>
          <m:r>
            <m:t>0</m:t>
          </m:r>
          <m:r>
            <m:rPr>
              <m:sty m:val="p"/>
            </m:rPr>
            <m:t>,</m:t>
          </m:r>
          <m:r>
            <m:t>1</m:t>
          </m:r>
          <m:r>
            <m:rPr>
              <m:sty m:val="p"/>
            </m:rPr>
            <m:t>]</m:t>
          </m:r>
        </m:oMath>
      </m:oMathPara>
    </w:p>
    <w:p>
      <w:pPr>
        <w:pStyle w:val="FirstParagraph"/>
      </w:pPr>
      <w:r>
        <w:t xml:space="preserve">Here, the entire pre-trained TabPFN model, including its Transformer encoder and classification head, is used to make predictions.</w:t>
      </w:r>
    </w:p>
    <w:p>
      <w:pPr>
        <w:pStyle w:val="a0"/>
      </w:pPr>
      <w:r>
        <w:rPr>
          <w:b/>
          <w:bCs/>
        </w:rPr>
        <w:t xml:space="preserve">Theoretical Advantage (Prior-Data Fitted Learning):</w:t>
      </w:r>
      <w:r>
        <w:t xml:space="preserve"> </w:t>
      </w:r>
      <w:r>
        <w:t xml:space="preserve">The core innovation here is leveraging the</w:t>
      </w:r>
      <w:r>
        <w:t xml:space="preserve"> </w:t>
      </w:r>
      <w:r>
        <w:rPr>
          <w:b/>
          <w:bCs/>
        </w:rPr>
        <w:t xml:space="preserve">Prior-Data Fitted (PFN)</w:t>
      </w:r>
      <w:r>
        <w:t xml:space="preserve"> </w:t>
      </w:r>
      <w:r>
        <w:t xml:space="preserve">nature of TabPFN. TabPFN was meta-trained on millions of synthetic datasets generated from Structural Causal Models (SCMs). This meta-training instills a strong Bayesian prior</w:t>
      </w:r>
      <w:r>
        <w:t xml:space="preserve"> </w:t>
      </w:r>
      <m:oMath>
        <m:sSub>
          <m:e>
            <m:r>
              <m:t>P</m:t>
            </m:r>
          </m:e>
          <m:sub>
            <m:r>
              <m:rPr>
                <m:nor/>
                <m:sty m:val="p"/>
              </m:rPr>
              <m:t>prior</m:t>
            </m:r>
          </m:sub>
        </m:sSub>
      </m:oMath>
      <w:r>
        <w:t xml:space="preserve"> </w:t>
      </w:r>
      <w:r>
        <w:t xml:space="preserve">that favors simple, causal explanations over spurious correlations. In the context of medical data, where sample sizes are often small (</w:t>
      </w:r>
      <m:oMath>
        <m:sSub>
          <m:e>
            <m:r>
              <m:t>n</m:t>
            </m:r>
          </m:e>
          <m:sub>
            <m:r>
              <m:t>s</m:t>
            </m:r>
          </m:sub>
        </m:sSub>
        <m:r>
          <m:rPr>
            <m:sty m:val="p"/>
          </m:rPr>
          <m:t>≈</m:t>
        </m:r>
        <m:r>
          <m:t>300</m:t>
        </m:r>
      </m:oMath>
      <w:r>
        <w:t xml:space="preserve">), traditional deep learning models typically overfit. However, TabPFN’s meta-learned prior allows it to infer complex, non-linear decision boundaries (e.g., non-linear interactions between Age and Nodule Size) on the adapted features without requiring gradient updates on the small medical dataset. This directly addresses the "Small Sample Size" constraint defined in Section</w:t>
      </w:r>
      <w:r>
        <w:t xml:space="preserve"> </w:t>
      </w:r>
      <w:hyperlink w:anchor="sec:problem-formulation">
        <w:r>
          <w:rPr>
            <w:rStyle w:val="af"/>
          </w:rPr>
          <w:t xml:space="preserve">3</w:t>
        </w:r>
      </w:hyperlink>
      <w:r>
        <w:t xml:space="preserve">. By applying TabPFN to TCA-transformed features, we benefit from both domain invariance and strong generalization capabilities on small cohorts.</w:t>
      </w:r>
    </w:p>
    <w:bookmarkEnd w:id="64"/>
    <w:bookmarkStart w:id="65" w:name="subsec:sol-rfe"/>
    <w:p>
      <w:pPr>
        <w:pStyle w:val="2"/>
      </w:pPr>
      <w:r>
        <w:t xml:space="preserve">Core Component II: Cross-Domain RFE with Cost-Effectiveness Index</w:t>
      </w:r>
    </w:p>
    <w:p>
      <w:pPr>
        <w:pStyle w:val="FirstParagraph"/>
      </w:pPr>
      <w:r>
        <w:t xml:space="preserve">Medical datasets often contain high-dimensional noise (e.g., irrelevant radiomics features) and "concept shift" (features whose predictive value changes across hospitals). To handle this, we employ a Cross-Domain Recursive Feature Elimination (RFE) mechanism.</w:t>
      </w:r>
      <w:r>
        <w:t xml:space="preserve"> </w:t>
      </w:r>
      <w:r>
        <w:t xml:space="preserve">The selection process is not merely about maximizing ; it is governed by a global</w:t>
      </w:r>
      <w:r>
        <w:t xml:space="preserve"> </w:t>
      </w:r>
      <w:r>
        <w:rPr>
          <w:b/>
          <w:bCs/>
        </w:rPr>
        <w:t xml:space="preserve">Cost-Effectiveness Index (CEI)</w:t>
      </w:r>
      <w:r>
        <w:t xml:space="preserve"> </w:t>
      </w:r>
      <w:r>
        <w:t xml:space="preserve">that balances predictive power against stability, clinical acquisition cost, and model complexity. We formulate the optimization problem for the optimal feature subset size</w:t>
      </w:r>
      <w:r>
        <w:t xml:space="preserve"> </w:t>
      </w:r>
      <m:oMath>
        <m:sSup>
          <m:e>
            <m:r>
              <m:t>k</m:t>
            </m:r>
          </m:e>
          <m:sup>
            <m:r>
              <m:rPr>
                <m:sty m:val="p"/>
              </m:rPr>
              <m:t>*</m:t>
            </m:r>
          </m:sup>
        </m:sSup>
      </m:oMath>
      <w:r>
        <w:t xml:space="preserve"> </w:t>
      </w:r>
      <w:r>
        <w:t xml:space="preserve">as:</w:t>
      </w:r>
    </w:p>
    <w:p>
      <w:pPr>
        <w:pStyle w:val="a0"/>
      </w:pPr>
      <m:oMathPara>
        <m:oMathParaPr>
          <m:jc m:val="center"/>
        </m:oMathParaPr>
        <m:oMath>
          <m:sSup>
            <m:e>
              <m:r>
                <m:rPr>
                  <m:scr m:val="script"/>
                  <m:sty m:val="p"/>
                </m:rPr>
                <m:t>F</m:t>
              </m:r>
            </m:e>
            <m:sup>
              <m:r>
                <m:rPr>
                  <m:sty m:val="p"/>
                </m:rPr>
                <m:t>*</m:t>
              </m:r>
            </m:sup>
          </m:sSup>
          <m:r>
            <m:rPr>
              <m:sty m:val="p"/>
            </m:rPr>
            <m:t>=</m:t>
          </m:r>
          <m:sSub>
            <m:e>
              <m:r>
                <m:rPr>
                  <m:sty m:val="p"/>
                </m:rPr>
                <m:t>argmax</m:t>
              </m:r>
            </m:e>
            <m:sub>
              <m:r>
                <m:t>k</m:t>
              </m:r>
            </m:sub>
          </m:sSub>
          <m:d>
            <m:dPr>
              <m:begChr m:val="("/>
              <m:sepChr m:val=""/>
              <m:endChr m:val=")"/>
              <m:grow/>
            </m:dPr>
            <m:e>
              <m:sSub>
                <m:e>
                  <m:r>
                    <m:t>w</m:t>
                  </m:r>
                </m:e>
                <m:sub>
                  <m:r>
                    <m:t>1</m:t>
                  </m:r>
                </m:sub>
              </m:sSub>
              <m:sSub>
                <m:e>
                  <m:r>
                    <m:t>S</m:t>
                  </m:r>
                </m:e>
                <m:sub>
                  <m:r>
                    <m:rPr>
                      <m:nor/>
                      <m:sty m:val="p"/>
                    </m:rPr>
                    <m:t>perf</m:t>
                  </m:r>
                </m:sub>
              </m:sSub>
              <m:r>
                <m:rPr>
                  <m:sty m:val="p"/>
                </m:rPr>
                <m:t>(</m:t>
              </m:r>
              <m:r>
                <m:t>k</m:t>
              </m:r>
              <m:r>
                <m:rPr>
                  <m:sty m:val="p"/>
                </m:rPr>
                <m:t>)</m:t>
              </m:r>
              <m:r>
                <m:rPr>
                  <m:sty m:val="p"/>
                </m:rPr>
                <m:t>+</m:t>
              </m:r>
              <m:sSub>
                <m:e>
                  <m:r>
                    <m:t>w</m:t>
                  </m:r>
                </m:e>
                <m:sub>
                  <m:r>
                    <m:t>2</m:t>
                  </m:r>
                </m:sub>
              </m:sSub>
              <m:sSub>
                <m:e>
                  <m:r>
                    <m:t>S</m:t>
                  </m:r>
                </m:e>
                <m:sub>
                  <m:r>
                    <m:rPr>
                      <m:nor/>
                      <m:sty m:val="p"/>
                    </m:rPr>
                    <m:t>eff</m:t>
                  </m:r>
                </m:sub>
              </m:sSub>
              <m:r>
                <m:rPr>
                  <m:sty m:val="p"/>
                </m:rPr>
                <m:t>(</m:t>
              </m:r>
              <m:r>
                <m:t>k</m:t>
              </m:r>
              <m:r>
                <m:rPr>
                  <m:sty m:val="p"/>
                </m:rPr>
                <m:t>)</m:t>
              </m:r>
              <m:r>
                <m:rPr>
                  <m:sty m:val="p"/>
                </m:rPr>
                <m:t>+</m:t>
              </m:r>
              <m:sSub>
                <m:e>
                  <m:r>
                    <m:t>w</m:t>
                  </m:r>
                </m:e>
                <m:sub>
                  <m:r>
                    <m:t>3</m:t>
                  </m:r>
                </m:sub>
              </m:sSub>
              <m:sSub>
                <m:e>
                  <m:r>
                    <m:t>S</m:t>
                  </m:r>
                </m:e>
                <m:sub>
                  <m:r>
                    <m:rPr>
                      <m:nor/>
                      <m:sty m:val="p"/>
                    </m:rPr>
                    <m:t>stab</m:t>
                  </m:r>
                </m:sub>
              </m:sSub>
              <m:r>
                <m:rPr>
                  <m:sty m:val="p"/>
                </m:rPr>
                <m:t>(</m:t>
              </m:r>
              <m:r>
                <m:t>k</m:t>
              </m:r>
              <m:r>
                <m:rPr>
                  <m:sty m:val="p"/>
                </m:rPr>
                <m:t>)</m:t>
              </m:r>
              <m:r>
                <m:rPr>
                  <m:sty m:val="p"/>
                </m:rPr>
                <m:t>+</m:t>
              </m:r>
              <m:sSub>
                <m:e>
                  <m:r>
                    <m:t>w</m:t>
                  </m:r>
                </m:e>
                <m:sub>
                  <m:r>
                    <m:t>4</m:t>
                  </m:r>
                </m:sub>
              </m:sSub>
              <m:sSub>
                <m:e>
                  <m:r>
                    <m:t>S</m:t>
                  </m:r>
                </m:e>
                <m:sub>
                  <m:r>
                    <m:rPr>
                      <m:nor/>
                      <m:sty m:val="p"/>
                    </m:rPr>
                    <m:t>simp</m:t>
                  </m:r>
                </m:sub>
              </m:sSub>
              <m:r>
                <m:rPr>
                  <m:sty m:val="p"/>
                </m:rPr>
                <m:t>(</m:t>
              </m:r>
              <m:r>
                <m:t>k</m:t>
              </m:r>
              <m:r>
                <m:rPr>
                  <m:sty m:val="p"/>
                </m:rPr>
                <m:t>)</m:t>
              </m:r>
            </m:e>
          </m:d>
        </m:oMath>
      </m:oMathPara>
    </w:p>
    <w:p>
      <w:pPr>
        <w:pStyle w:val="FirstParagraph"/>
      </w:pPr>
      <w:r>
        <w:t xml:space="preserve">where the components are defined as:</w:t>
      </w:r>
    </w:p>
    <w:p>
      <w:pPr>
        <w:numPr>
          <w:ilvl w:val="0"/>
          <w:numId w:val="1011"/>
        </w:numPr>
      </w:pPr>
      <w:r>
        <w:rPr>
          <w:b/>
          <w:bCs/>
        </w:rPr>
        <w:t xml:space="preserve">Performance (</w:t>
      </w:r>
      <m:oMath>
        <m:sSub>
          <m:e>
            <m:r>
              <m:t>S</m:t>
            </m:r>
          </m:e>
          <m:sub>
            <m:r>
              <m:rPr>
                <m:nor/>
                <m:sty m:val="p"/>
              </m:rPr>
              <m:t>perf</m:t>
            </m:r>
          </m:sub>
        </m:sSub>
      </m:oMath>
      <w:r>
        <w:rPr>
          <w:b/>
          <w:bCs/>
        </w:rPr>
        <w:t xml:space="preserve">):</w:t>
      </w:r>
      <w:r>
        <w:t xml:space="preserve"> </w:t>
      </w:r>
      <w:r>
        <w:t xml:space="preserve">A weighted sum of and on the source validation folds.</w:t>
      </w:r>
    </w:p>
    <w:p>
      <w:pPr>
        <w:numPr>
          <w:ilvl w:val="0"/>
          <w:numId w:val="1011"/>
        </w:numPr>
      </w:pPr>
      <w:r>
        <w:rPr>
          <w:b/>
          <w:bCs/>
        </w:rPr>
        <w:t xml:space="preserve">Efficiency (</w:t>
      </w:r>
      <m:oMath>
        <m:sSub>
          <m:e>
            <m:r>
              <m:t>S</m:t>
            </m:r>
          </m:e>
          <m:sub>
            <m:r>
              <m:rPr>
                <m:nor/>
                <m:sty m:val="p"/>
              </m:rPr>
              <m:t>eff</m:t>
            </m:r>
          </m:sub>
        </m:sSub>
      </m:oMath>
      <w:r>
        <w:rPr>
          <w:b/>
          <w:bCs/>
        </w:rPr>
        <w:t xml:space="preserve">):</w:t>
      </w:r>
      <w:r>
        <w:t xml:space="preserve"> </w:t>
      </w:r>
      <w:r>
        <w:t xml:space="preserve">Measures the reduction in clinical burden, defined as</w:t>
      </w:r>
      <w:r>
        <w:t xml:space="preserve"> </w:t>
      </w:r>
      <m:oMath>
        <m:r>
          <m:t>1</m:t>
        </m:r>
        <m:r>
          <m:rPr>
            <m:sty m:val="p"/>
          </m:rPr>
          <m:t>−</m:t>
        </m:r>
        <m:f>
          <m:fPr>
            <m:type m:val="bar"/>
          </m:fPr>
          <m:num>
            <m:r>
              <m:rPr>
                <m:nor/>
                <m:sty m:val="p"/>
              </m:rPr>
              <m:t>Cost</m:t>
            </m:r>
            <m:r>
              <m:rPr>
                <m:sty m:val="p"/>
              </m:rPr>
              <m:t>(</m:t>
            </m:r>
            <m:sSub>
              <m:e>
                <m:r>
                  <m:rPr>
                    <m:scr m:val="script"/>
                    <m:sty m:val="p"/>
                  </m:rPr>
                  <m:t>F</m:t>
                </m:r>
              </m:e>
              <m:sub>
                <m:r>
                  <m:t>k</m:t>
                </m:r>
              </m:sub>
            </m:sSub>
            <m:r>
              <m:rPr>
                <m:sty m:val="p"/>
              </m:rPr>
              <m:t>)</m:t>
            </m:r>
          </m:num>
          <m:den>
            <m:r>
              <m:rPr>
                <m:nor/>
                <m:sty m:val="p"/>
              </m:rPr>
              <m:t>Cost</m:t>
            </m:r>
            <m:r>
              <m:rPr>
                <m:sty m:val="p"/>
              </m:rPr>
              <m:t>(</m:t>
            </m:r>
            <m:sSub>
              <m:e>
                <m:r>
                  <m:rPr>
                    <m:scr m:val="script"/>
                    <m:sty m:val="p"/>
                  </m:rPr>
                  <m:t>F</m:t>
                </m:r>
              </m:e>
              <m:sub>
                <m:r>
                  <m:rPr>
                    <m:nor/>
                    <m:sty m:val="p"/>
                  </m:rPr>
                  <m:t>total</m:t>
                </m:r>
              </m:sub>
            </m:sSub>
            <m:r>
              <m:rPr>
                <m:sty m:val="p"/>
              </m:rPr>
              <m:t>)</m:t>
            </m:r>
          </m:den>
        </m:f>
      </m:oMath>
      <w:r>
        <w:t xml:space="preserve">, where Cost proxies for the difficulty of acquiring the feature (e.g., age is cheap, contrast CT is expensive).</w:t>
      </w:r>
    </w:p>
    <w:p>
      <w:pPr>
        <w:numPr>
          <w:ilvl w:val="0"/>
          <w:numId w:val="1011"/>
        </w:numPr>
      </w:pPr>
      <w:r>
        <w:rPr>
          <w:b/>
          <w:bCs/>
        </w:rPr>
        <w:t xml:space="preserve">Stability (</w:t>
      </w:r>
      <m:oMath>
        <m:sSub>
          <m:e>
            <m:r>
              <m:t>S</m:t>
            </m:r>
          </m:e>
          <m:sub>
            <m:r>
              <m:rPr>
                <m:nor/>
                <m:sty m:val="p"/>
              </m:rPr>
              <m:t>stab</m:t>
            </m:r>
          </m:sub>
        </m:sSub>
      </m:oMath>
      <w:r>
        <w:rPr>
          <w:b/>
          <w:bCs/>
        </w:rPr>
        <w:t xml:space="preserve">):</w:t>
      </w:r>
      <w:r>
        <w:t xml:space="preserve"> </w:t>
      </w:r>
      <w:r>
        <w:t xml:space="preserve">Quantifies the robustness of the feature subset across cross-validation folds, defined as</w:t>
      </w:r>
      <w:r>
        <w:t xml:space="preserve"> </w:t>
      </w:r>
      <m:oMath>
        <m:r>
          <m:t>1</m:t>
        </m:r>
        <m:r>
          <m:rPr>
            <m:sty m:val="p"/>
          </m:rPr>
          <m:t>−</m:t>
        </m:r>
        <m:r>
          <m:rPr>
            <m:nor/>
            <m:sty m:val="p"/>
          </m:rPr>
          <m:t>Std</m:t>
        </m:r>
        <m:r>
          <m:rPr>
            <m:sty m:val="p"/>
          </m:rPr>
          <m:t>(</m:t>
        </m:r>
        <m:r>
          <m:rPr>
            <m:nor/>
            <m:sty m:val="p"/>
          </m:rPr>
          <m:t>AUC</m:t>
        </m:r>
        <m:r>
          <m:rPr>
            <m:sty m:val="p"/>
          </m:rPr>
          <m:t>)</m:t>
        </m:r>
      </m:oMath>
      <w:r>
        <w:t xml:space="preserve">.</w:t>
      </w:r>
    </w:p>
    <w:p>
      <w:pPr>
        <w:numPr>
          <w:ilvl w:val="0"/>
          <w:numId w:val="1011"/>
        </w:numPr>
      </w:pPr>
      <w:r>
        <w:rPr>
          <w:b/>
          <w:bCs/>
        </w:rPr>
        <w:t xml:space="preserve">Simplicity (</w:t>
      </w:r>
      <m:oMath>
        <m:sSub>
          <m:e>
            <m:r>
              <m:t>S</m:t>
            </m:r>
          </m:e>
          <m:sub>
            <m:r>
              <m:rPr>
                <m:nor/>
                <m:sty m:val="p"/>
              </m:rPr>
              <m:t>simp</m:t>
            </m:r>
          </m:sub>
        </m:sSub>
      </m:oMath>
      <w:r>
        <w:rPr>
          <w:b/>
          <w:bCs/>
        </w:rPr>
        <w:t xml:space="preserve">):</w:t>
      </w:r>
      <w:r>
        <w:t xml:space="preserve"> </w:t>
      </w:r>
      <w:r>
        <w:t xml:space="preserve">A sparsity penalty</w:t>
      </w:r>
      <w:r>
        <w:t xml:space="preserve"> </w:t>
      </w:r>
      <m:oMath>
        <m:r>
          <m:rPr>
            <m:sty m:val="p"/>
          </m:rPr>
          <m:t>exp</m:t>
        </m:r>
        <m:r>
          <m:rPr>
            <m:sty m:val="p"/>
          </m:rPr>
          <m:t>(</m:t>
        </m:r>
        <m:r>
          <m:rPr>
            <m:sty m:val="p"/>
          </m:rPr>
          <m:t>−</m:t>
        </m:r>
        <m:r>
          <m:t>α</m:t>
        </m:r>
        <m:r>
          <m:t>k</m:t>
        </m:r>
        <m:r>
          <m:rPr>
            <m:sty m:val="p"/>
          </m:rPr>
          <m:t>)</m:t>
        </m:r>
      </m:oMath>
      <w:r>
        <w:t xml:space="preserve"> </w:t>
      </w:r>
      <w:r>
        <w:t xml:space="preserve">to prefer smaller, clinically manageable subsets (typically</w:t>
      </w:r>
      <w:r>
        <w:t xml:space="preserve"> </w:t>
      </w:r>
      <m:oMath>
        <m:r>
          <m:t>k</m:t>
        </m:r>
        <m:r>
          <m:rPr>
            <m:sty m:val="p"/>
          </m:rPr>
          <m:t>∈</m:t>
        </m:r>
        <m:r>
          <m:rPr>
            <m:sty m:val="p"/>
          </m:rPr>
          <m:t>[</m:t>
        </m:r>
        <m:r>
          <m:t>5</m:t>
        </m:r>
        <m:r>
          <m:rPr>
            <m:sty m:val="p"/>
          </m:rPr>
          <m:t>,</m:t>
        </m:r>
        <m:r>
          <m:t>10</m:t>
        </m:r>
        <m:r>
          <m:rPr>
            <m:sty m:val="p"/>
          </m:rPr>
          <m:t>]</m:t>
        </m:r>
      </m:oMath>
      <w:r>
        <w:t xml:space="preserve">).</w:t>
      </w:r>
    </w:p>
    <w:p>
      <w:pPr>
        <w:pStyle w:val="FirstParagraph"/>
      </w:pPr>
      <w:r>
        <w:t xml:space="preserve">Implementation-wise, we use ‘TabPFNClassifier‘ as the base estimator for RFE. In each iteration, we calculate the</w:t>
      </w:r>
      <w:r>
        <w:t xml:space="preserve"> </w:t>
      </w:r>
      <w:r>
        <w:rPr>
          <w:b/>
          <w:bCs/>
        </w:rPr>
        <w:t xml:space="preserve">Permutation Importance</w:t>
      </w:r>
      <w:r>
        <w:t xml:space="preserve"> </w:t>
      </w:r>
      <m:oMath>
        <m:r>
          <m:rPr>
            <m:scr m:val="script"/>
            <m:sty m:val="p"/>
          </m:rPr>
          <m:t>I</m:t>
        </m:r>
        <m:r>
          <m:rPr>
            <m:sty m:val="p"/>
          </m:rPr>
          <m:t>(</m:t>
        </m:r>
        <m:sSub>
          <m:e>
            <m:r>
              <m:rPr>
                <m:sty m:val="b"/>
              </m:rPr>
              <m:t>x</m:t>
            </m:r>
          </m:e>
          <m:sub>
            <m:r>
              <m:t>j</m:t>
            </m:r>
          </m:sub>
        </m:sSub>
        <m:r>
          <m:rPr>
            <m:sty m:val="p"/>
          </m:rPr>
          <m:t>)</m:t>
        </m:r>
      </m:oMath>
      <w:r>
        <w:t xml:space="preserve"> </w:t>
      </w:r>
      <w:r>
        <w:t xml:space="preserve">of each feature</w:t>
      </w:r>
      <w:r>
        <w:t xml:space="preserve"> </w:t>
      </w:r>
      <m:oMath>
        <m:sSub>
          <m:e>
            <m:r>
              <m:rPr>
                <m:sty m:val="b"/>
              </m:rPr>
              <m:t>x</m:t>
            </m:r>
          </m:e>
          <m:sub>
            <m:r>
              <m:t>j</m:t>
            </m:r>
          </m:sub>
        </m:sSub>
      </m:oMath>
      <w:r>
        <w:t xml:space="preserve">. The feature with the lowest importance is pruned, and the model is re-evaluated. This recursive process ensures that the retained features</w:t>
      </w:r>
      <w:r>
        <w:t xml:space="preserve"> </w:t>
      </w:r>
      <m:oMath>
        <m:sSup>
          <m:e>
            <m:r>
              <m:rPr>
                <m:scr m:val="script"/>
                <m:sty m:val="p"/>
              </m:rPr>
              <m:t>F</m:t>
            </m:r>
          </m:e>
          <m:sup>
            <m:r>
              <m:rPr>
                <m:sty m:val="p"/>
              </m:rPr>
              <m:t>*</m:t>
            </m:r>
          </m:sup>
        </m:sSup>
      </m:oMath>
      <w:r>
        <w:t xml:space="preserve"> </w:t>
      </w:r>
      <w:r>
        <w:t xml:space="preserve">are not only predictive but also stable against the noise inherent in small cohorts. In our experiments, this process consistently identifies a "Best-8" subset (Age, Spiculation, Lobulation, Diameter, etc.) that is robust across hospitals.</w:t>
      </w:r>
    </w:p>
    <w:bookmarkEnd w:id="65"/>
    <w:bookmarkStart w:id="66" w:name="subsec:sol-tca"/>
    <w:p>
      <w:pPr>
        <w:pStyle w:val="2"/>
      </w:pPr>
      <w:r>
        <w:t xml:space="preserve">Core Component III: Latent Space TCA Adaptation</w:t>
      </w:r>
    </w:p>
    <w:p>
      <w:pPr>
        <w:pStyle w:val="FirstParagraph"/>
      </w:pPr>
      <w:r>
        <w:t xml:space="preserve">To explicitly align the source and target distributions, we apply Transfer Component Analysis (TCA) to the feature space reduced by RFE (Stage 2). Standard TCA is often applied to raw features, but this is suboptimal for complex medical data where the manifold structure might be noisy or high-dimensional. Instead, we construct the kernel matrix</w:t>
      </w:r>
      <w:r>
        <w:t xml:space="preserve"> </w:t>
      </w:r>
      <m:oMath>
        <m:r>
          <m:rPr>
            <m:sty m:val="b"/>
          </m:rPr>
          <m:t>K</m:t>
        </m:r>
      </m:oMath>
      <w:r>
        <w:t xml:space="preserve"> </w:t>
      </w:r>
      <w:r>
        <w:t xml:space="preserve">using the RFE-selected features</w:t>
      </w:r>
      <w:r>
        <w:t xml:space="preserve"> </w:t>
      </w:r>
      <m:oMath>
        <m:r>
          <m:rPr>
            <m:sty m:val="b"/>
          </m:rPr>
          <m:t>x</m:t>
        </m:r>
      </m:oMath>
      <w:r>
        <w:t xml:space="preserve">. Specifically, we employ a</w:t>
      </w:r>
      <w:r>
        <w:t xml:space="preserve"> </w:t>
      </w:r>
      <w:r>
        <w:rPr>
          <w:b/>
          <w:bCs/>
        </w:rPr>
        <w:t xml:space="preserve">Linear Kernel</w:t>
      </w:r>
      <w:r>
        <w:t xml:space="preserve"> </w:t>
      </w:r>
      <w:r>
        <w:t xml:space="preserve">on these features:</w:t>
      </w:r>
    </w:p>
    <w:p>
      <w:pPr>
        <w:pStyle w:val="a0"/>
      </w:pPr>
      <m:oMathPara>
        <m:oMathParaPr>
          <m:jc m:val="center"/>
        </m:oMathParaP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m:oMathPara>
    </w:p>
    <w:p>
      <w:pPr>
        <w:pStyle w:val="FirstParagraph"/>
      </w:pPr>
      <w:r>
        <w:t xml:space="preserve">This 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r>
        <w:t xml:space="preserve">, learns a domain-invariant feature representation that is then fed into the TabPFN Classifier (Stage 4).</w:t>
      </w:r>
    </w:p>
    <w:p>
      <w:pPr>
        <w:pStyle w:val="a0"/>
      </w:pPr>
      <w:r>
        <w:rPr>
          <w:b/>
          <w:bCs/>
        </w:rPr>
        <w:t xml:space="preserve">Justification for Linear Kernel on RFE-Selected Features:</w:t>
      </w:r>
      <w:r>
        <w:t xml:space="preserve"> </w:t>
      </w:r>
      <w:r>
        <w:t xml:space="preserve">After Cross-Domain RFE, the selected features are assumed to reside in a more disentangled and clinically relevant space. In this context, a simple linear alignment via TCA is often sufficient to match the first-order moments of the distributions, thereby reducing covariate shift. This approach avoids the complexity and hyperparameter sensitivity (e.g.,</w:t>
      </w:r>
      <w:r>
        <w:t xml:space="preserve"> </w:t>
      </w:r>
      <m:oMath>
        <m:r>
          <m:t>γ</m:t>
        </m:r>
      </m:oMath>
      <w:r>
        <w:t xml:space="preserve"> </w:t>
      </w:r>
      <w:r>
        <w:t xml:space="preserve">in RBF kernels) that often plagues non-linear kernel methods, especially on small datasets. The subsequent TabPFN Classifier is then capable of modeling complex non-linear relationships within this linearly adapted feature space.</w:t>
      </w:r>
    </w:p>
    <w:p>
      <w:pPr>
        <w:pStyle w:val="a0"/>
      </w:pPr>
      <w:r>
        <w:t xml:space="preserve">The optimization objective minimizes the Maximum Mean Discrepancy (MMD) trace:</w:t>
      </w:r>
    </w:p>
    <w:p>
      <w:pPr>
        <w:pStyle w:val="a0"/>
      </w:pPr>
      <m:oMathPara>
        <m:oMathParaPr>
          <m:jc m:val="center"/>
        </m:oMathParaPr>
        <m:oMath>
          <m:limLow>
            <m:e>
              <m:r>
                <m:rPr>
                  <m:sty m:val="p"/>
                </m:rPr>
                <m:t>min</m:t>
              </m:r>
            </m:e>
            <m:lim>
              <m:r>
                <m:rPr>
                  <m:sty m:val="b"/>
                </m:rPr>
                <m:t>W</m:t>
              </m:r>
            </m:lim>
          </m:limLow>
          <m:r>
            <m:t> </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oMath>
      </m:oMathPara>
    </w:p>
    <w:p>
      <w:pPr>
        <w:pStyle w:val="FirstParagraph"/>
      </w:pPr>
      <w:r>
        <w:t xml:space="preserve">where</w:t>
      </w:r>
      <w:r>
        <w:t xml:space="preserve"> </w:t>
      </w:r>
      <m:oMath>
        <m:r>
          <m:rPr>
            <m:sty m:val="b"/>
          </m:rPr>
          <m:t>L</m:t>
        </m:r>
      </m:oMath>
      <w:r>
        <w:t xml:space="preserve"> </w:t>
      </w:r>
      <w:r>
        <w:t xml:space="preserve">is the MMD matrix defined block-wise as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 The projection</w:t>
      </w:r>
      <w:r>
        <w:t xml:space="preserve"> </w:t>
      </w:r>
      <m:oMath>
        <m:r>
          <m:rPr>
            <m:sty m:val="b"/>
          </m:rPr>
          <m:t>W</m:t>
        </m:r>
      </m:oMath>
      <w:r>
        <w:t xml:space="preserve"> </w:t>
      </w:r>
      <w:r>
        <w:t xml:space="preserve">aligns the marginals</w:t>
      </w:r>
      <w:r>
        <w:t xml:space="preserve"> </w:t>
      </w:r>
      <m:oMath>
        <m:sSub>
          <m:e>
            <m:r>
              <m:t>P</m:t>
            </m:r>
          </m:e>
          <m:sub>
            <m:r>
              <m:t>S</m:t>
            </m:r>
          </m:sub>
        </m:sSub>
        <m:r>
          <m:rPr>
            <m:sty m:val="p"/>
          </m:rPr>
          <m:t>(</m:t>
        </m:r>
        <m:r>
          <m:t>X</m:t>
        </m:r>
        <m:r>
          <m:rPr>
            <m:sty m:val="p"/>
          </m:rPr>
          <m:t>)</m:t>
        </m:r>
        <m:r>
          <m:rPr>
            <m:sty m:val="p"/>
          </m:rPr>
          <m:t>(</m:t>
        </m:r>
        <m:r>
          <m:rPr>
            <m:sty m:val="b"/>
          </m:rPr>
          <m:t>z</m:t>
        </m:r>
        <m:r>
          <m:rPr>
            <m:sty m:val="p"/>
          </m:rPr>
          <m:t>)</m:t>
        </m:r>
      </m:oMath>
      <w:r>
        <w:t xml:space="preserve"> </w:t>
      </w:r>
      <w:r>
        <w:t xml:space="preserve">and</w:t>
      </w:r>
      <w:r>
        <w:t xml:space="preserve"> </w:t>
      </w:r>
      <m:oMath>
        <m:sSub>
          <m:e>
            <m:r>
              <m:t>P</m:t>
            </m:r>
          </m:e>
          <m:sub>
            <m:r>
              <m:t>T</m:t>
            </m:r>
          </m:sub>
        </m:sSub>
        <m:r>
          <m:rPr>
            <m:sty m:val="p"/>
          </m:rPr>
          <m:t>(</m:t>
        </m:r>
        <m:r>
          <m:t>X</m:t>
        </m:r>
        <m:r>
          <m:rPr>
            <m:sty m:val="p"/>
          </m:rPr>
          <m:t>)</m:t>
        </m:r>
        <m:r>
          <m:rPr>
            <m:sty m:val="p"/>
          </m:rPr>
          <m:t>(</m:t>
        </m:r>
        <m:r>
          <m:rPr>
            <m:sty m:val="b"/>
          </m:rPr>
          <m:t>z</m:t>
        </m:r>
        <m:r>
          <m:rPr>
            <m:sty m:val="p"/>
          </m:rPr>
          <m:t>)</m:t>
        </m:r>
      </m:oMath>
      <w:r>
        <w:t xml:space="preserve">, directly addressing the Covariate Shift challenge.</w:t>
      </w:r>
    </w:p>
    <w:bookmarkEnd w:id="66"/>
    <w:bookmarkStart w:id="67" w:name="subsec:sol-ensemble"/>
    <w:p>
      <w:pPr>
        <w:pStyle w:val="2"/>
      </w:pPr>
      <w:r>
        <w:t xml:space="preserve">Core Component IV: Multi-View Ensemble and Calibration</w:t>
      </w:r>
    </w:p>
    <w:p>
      <w:pPr>
        <w:pStyle w:val="FirstParagraph"/>
      </w:pPr>
      <w:r>
        <w:t xml:space="preserve">To mitigate the variance associated with small-sample learning and label shift, PANDA employs a</w:t>
      </w:r>
      <w:r>
        <w:t xml:space="preserve"> </w:t>
      </w:r>
      <w:r>
        <w:rPr>
          <w:b/>
          <w:bCs/>
        </w:rPr>
        <w:t xml:space="preserve">Strategic Multi-Branch Ensemble</w:t>
      </w:r>
      <w:r>
        <w:t xml:space="preserve">. Instead of a single model, we construct an ensemble of</w:t>
      </w:r>
      <w:r>
        <w:t xml:space="preserve"> </w:t>
      </w:r>
      <m:oMath>
        <m:r>
          <m:t>N</m:t>
        </m:r>
        <m:r>
          <m:rPr>
            <m:sty m:val="p"/>
          </m:rPr>
          <m:t>=</m:t>
        </m:r>
        <m:r>
          <m:t>32</m:t>
        </m:r>
      </m:oMath>
      <w:r>
        <w:t xml:space="preserve"> </w:t>
      </w:r>
      <w:r>
        <w:t xml:space="preserve">members, derived from</w:t>
      </w:r>
      <w:r>
        <w:t xml:space="preserve"> </w:t>
      </w:r>
      <m:oMath>
        <m:r>
          <m:t>B</m:t>
        </m:r>
        <m:r>
          <m:rPr>
            <m:sty m:val="p"/>
          </m:rPr>
          <m:t>=</m:t>
        </m:r>
        <m:r>
          <m:t>4</m:t>
        </m:r>
      </m:oMath>
      <w:r>
        <w:t xml:space="preserve"> </w:t>
      </w:r>
      <w:r>
        <w:t xml:space="preserve">distinct preprocessing strategies expanded by</w:t>
      </w:r>
      <w:r>
        <w:t xml:space="preserve"> </w:t>
      </w:r>
      <m:oMath>
        <m:r>
          <m:t>S</m:t>
        </m:r>
        <m:r>
          <m:rPr>
            <m:sty m:val="p"/>
          </m:rPr>
          <m:t>=</m:t>
        </m:r>
        <m:r>
          <m:t>8</m:t>
        </m:r>
      </m:oMath>
      <w:r>
        <w:t xml:space="preserve"> </w:t>
      </w:r>
      <w:r>
        <w:t xml:space="preserve">random seeds (which control feature shuffling and rotational invariants).</w:t>
      </w:r>
    </w:p>
    <w:p>
      <w:pPr>
        <w:pStyle w:val="a0"/>
      </w:pPr>
      <w:r>
        <w:t xml:space="preserve">The four strategic branches are designed to present different "views" of the data to the foundation model:</w:t>
      </w:r>
    </w:p>
    <w:p>
      <w:pPr>
        <w:numPr>
          <w:ilvl w:val="0"/>
          <w:numId w:val="1012"/>
        </w:numPr>
      </w:pPr>
      <w:r>
        <w:rPr>
          <w:b/>
          <w:bCs/>
        </w:rPr>
        <w:t xml:space="preserve">High-Complexity Ordinal (Raw+Quantile):</w:t>
      </w:r>
      <w:r>
        <w:t xml:space="preserve"> </w:t>
      </w:r>
      <w:r>
        <w:t xml:space="preserve">Features are mapped to a uniform distribution via ‘QuantileTransformer‘ (handling outliers) and concatenated with raw features. Categorical variables are Ordinal Encoded.</w:t>
      </w:r>
    </w:p>
    <w:p>
      <w:pPr>
        <w:numPr>
          <w:ilvl w:val="0"/>
          <w:numId w:val="1012"/>
        </w:numPr>
      </w:pPr>
      <w:r>
        <w:rPr>
          <w:b/>
          <w:bCs/>
        </w:rPr>
        <w:t xml:space="preserve">Low-Complexity Ordinal (Raw):</w:t>
      </w:r>
      <w:r>
        <w:t xml:space="preserve"> </w:t>
      </w:r>
      <w:r>
        <w:t xml:space="preserve">Raw features are used directly (relying on TabPFN’s internal robustness). Categorical variables are Ordinal Encoded.</w:t>
      </w:r>
    </w:p>
    <w:p>
      <w:pPr>
        <w:numPr>
          <w:ilvl w:val="0"/>
          <w:numId w:val="1012"/>
        </w:numPr>
      </w:pPr>
      <w:r>
        <w:rPr>
          <w:b/>
          <w:bCs/>
        </w:rPr>
        <w:t xml:space="preserve">High-Complexity Numeric:</w:t>
      </w:r>
      <w:r>
        <w:t xml:space="preserve"> </w:t>
      </w:r>
      <w:r>
        <w:t xml:space="preserve">Similar to Branch 1, but categorical variables are treated as numeric (useful for ordered grades like "Spiculation 1-5").</w:t>
      </w:r>
    </w:p>
    <w:p>
      <w:pPr>
        <w:numPr>
          <w:ilvl w:val="0"/>
          <w:numId w:val="1012"/>
        </w:numPr>
      </w:pPr>
      <w:r>
        <w:rPr>
          <w:b/>
          <w:bCs/>
        </w:rPr>
        <w:t xml:space="preserve">Low-Complexity Numeric:</w:t>
      </w:r>
      <w:r>
        <w:t xml:space="preserve"> </w:t>
      </w:r>
      <w:r>
        <w:t xml:space="preserve">Raw features with numeric encoding for categoricals.</w:t>
      </w:r>
    </w:p>
    <w:p>
      <w:pPr>
        <w:pStyle w:val="FirstParagraph"/>
      </w:pPr>
      <w:r>
        <w:rPr>
          <w:b/>
          <w:bCs/>
        </w:rPr>
        <w:t xml:space="preserve">Rotational Invariance:</w:t>
      </w:r>
      <w:r>
        <w:t xml:space="preserve"> </w:t>
      </w:r>
      <w:r>
        <w:t xml:space="preserve">For each branch, we train 8 versions. In each version, the feature columns are cyclically permuted (Rotated). This is critical because Transformers can exhibit positional bias; rotating the features ensures that the model’s attention mechanism attends to all features equally, regardless of their column index.</w:t>
      </w:r>
    </w:p>
    <w:p>
      <w:pPr>
        <w:pStyle w:val="a0"/>
      </w:pPr>
      <w:r>
        <w:rPr>
          <w:b/>
          <w:bCs/>
        </w:rPr>
        <w:t xml:space="preserve">Temperature Scaling and Aggregation:</w:t>
      </w:r>
      <w:r>
        <w:t xml:space="preserve"> </w:t>
      </w:r>
      <w:r>
        <w:t xml:space="preserve">The final probability is obtained via</w:t>
      </w:r>
      <w:r>
        <w:t xml:space="preserve"> </w:t>
      </w:r>
      <w:r>
        <w:rPr>
          <w:b/>
          <w:bCs/>
        </w:rPr>
        <w:t xml:space="preserve">Temperature Scaling</w:t>
      </w:r>
      <w:r>
        <w:t xml:space="preserve"> </w:t>
      </w:r>
      <w:r>
        <w:t xml:space="preserve">to calibrate the predictions from the ensemble of TabPFN Classifiers. This is crucial when the target domain prevalence differs from the source (Label Shift), as uncalibrated models often produce overconfident probabilities. The aggregated prediction is:</w:t>
      </w:r>
    </w:p>
    <w:p>
      <w:pPr>
        <w:pStyle w:val="a0"/>
      </w:pPr>
      <m:oMathPara>
        <m:oMathParaPr>
          <m:jc m:val="center"/>
        </m:oMathParaPr>
        <m:oMath>
          <m:acc>
            <m:accPr>
              <m:chr m:val="̂"/>
            </m:accPr>
            <m:e>
              <m:r>
                <m:t>y</m:t>
              </m:r>
            </m:e>
          </m:acc>
          <m:r>
            <m:rPr>
              <m:sty m:val="p"/>
            </m:rPr>
            <m:t>(</m:t>
          </m:r>
          <m:r>
            <m:rPr>
              <m:sty m:val="b"/>
            </m:rPr>
            <m:t>x</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t>σ</m:t>
              </m:r>
            </m:e>
          </m:nary>
          <m:d>
            <m:dPr>
              <m:begChr m:val="("/>
              <m:sepChr m:val=""/>
              <m:endChr m:val=")"/>
              <m:grow/>
            </m:dPr>
            <m:e>
              <m:f>
                <m:fPr>
                  <m:type m:val="bar"/>
                </m:fPr>
                <m:num>
                  <m:sSub>
                    <m:e>
                      <m:r>
                        <m:t>z</m:t>
                      </m:r>
                    </m:e>
                    <m:sub>
                      <m:r>
                        <m:t>i</m:t>
                      </m:r>
                    </m:sub>
                  </m:sSub>
                  <m:r>
                    <m:rPr>
                      <m:sty m:val="p"/>
                    </m:rPr>
                    <m:t>(</m:t>
                  </m:r>
                  <m:r>
                    <m:rPr>
                      <m:sty m:val="b"/>
                    </m:rPr>
                    <m:t>x</m:t>
                  </m:r>
                  <m:r>
                    <m:rPr>
                      <m:sty m:val="p"/>
                    </m:rPr>
                    <m:t>)</m:t>
                  </m:r>
                </m:num>
                <m:den>
                  <m:r>
                    <m:t>T</m:t>
                  </m:r>
                </m:den>
              </m:f>
            </m:e>
          </m:d>
        </m:oMath>
      </m:oMathPara>
    </w:p>
    <w:p>
      <w:pPr>
        <w:pStyle w:val="FirstParagraph"/>
      </w:pPr>
      <w:r>
        <w:t xml:space="preserve">where</w:t>
      </w:r>
      <w:r>
        <w:t xml:space="preserve"> </w:t>
      </w:r>
      <m:oMath>
        <m:sSub>
          <m:e>
            <m:r>
              <m:t>z</m:t>
            </m:r>
          </m:e>
          <m:sub>
            <m:r>
              <m:t>i</m:t>
            </m:r>
          </m:sub>
        </m:sSub>
        <m:r>
          <m:rPr>
            <m:sty m:val="p"/>
          </m:rPr>
          <m:t>(</m:t>
        </m:r>
        <m:r>
          <m:rPr>
            <m:sty m:val="b"/>
          </m:rPr>
          <m:t>x</m:t>
        </m:r>
        <m:r>
          <m:rPr>
            <m:sty m:val="p"/>
          </m:rPr>
          <m:t>)</m:t>
        </m:r>
      </m:oMath>
      <w:r>
        <w:t xml:space="preserve"> </w:t>
      </w:r>
      <w:r>
        <w:t xml:space="preserve">is the logit output of the</w:t>
      </w:r>
      <w:r>
        <w:t xml:space="preserve"> </w:t>
      </w:r>
      <m:oMath>
        <m:r>
          <m:t>i</m:t>
        </m:r>
      </m:oMath>
      <w:r>
        <w:t xml:space="preserve">-th TabPFN Classifier member, and</w:t>
      </w:r>
      <w:r>
        <w:t xml:space="preserve"> </w:t>
      </w:r>
      <m:oMath>
        <m:r>
          <m:t>T</m:t>
        </m:r>
        <m:r>
          <m:rPr>
            <m:sty m:val="p"/>
          </m:rPr>
          <m:t>=</m:t>
        </m:r>
        <m:r>
          <m:t>0.9</m:t>
        </m:r>
      </m:oMath>
      <w:r>
        <w:t xml:space="preserve"> </w:t>
      </w:r>
      <w:r>
        <w:t xml:space="preserve">is the temperature parameter empirically tuned to soften predictions.</w:t>
      </w:r>
    </w:p>
    <w:bookmarkEnd w:id="67"/>
    <w:bookmarkStart w:id="73" w:name="subsec:sol-justification"/>
    <w:p>
      <w:pPr>
        <w:pStyle w:val="2"/>
      </w:pPr>
      <w:r>
        <w:t xml:space="preserve">Theoretical Justification and Feasibility</w:t>
      </w:r>
    </w:p>
    <w:p>
      <w:pPr>
        <w:pStyle w:val="FirstParagraph"/>
      </w:pPr>
      <w:r>
        <w:rPr>
          <w:b/>
          <w:bCs/>
        </w:rPr>
        <w:t xml:space="preserve">Addressing Small Sample Size:</w:t>
      </w:r>
      <w:r>
        <w:t xml:space="preserve"> </w:t>
      </w:r>
      <w:r>
        <w:t xml:space="preserve">The use of a frozen, pre-trained encoder</w:t>
      </w:r>
      <w:r>
        <w:t xml:space="preserve"> </w:t>
      </w:r>
      <m:oMath>
        <m:sSub>
          <m:e>
            <m:r>
              <m:t>φ</m:t>
            </m:r>
          </m:e>
          <m:sub>
            <m:r>
              <m:t>e</m:t>
            </m:r>
          </m:sub>
        </m:sSub>
        <m:r>
          <m:t>n</m:t>
        </m:r>
        <m:r>
          <m:t>c</m:t>
        </m:r>
        <m:r>
          <m:t>o</m:t>
        </m:r>
        <m:r>
          <m:t>d</m:t>
        </m:r>
        <m:r>
          <m:t>e</m:t>
        </m:r>
        <m:r>
          <m:t>r</m:t>
        </m:r>
      </m:oMath>
      <w:r>
        <w:t xml:space="preserve"> </w:t>
      </w:r>
      <w:r>
        <w:t xml:space="preserve">avoids the need to train a deep network from scratch on</w:t>
      </w:r>
      <w:r>
        <w:t xml:space="preserve"> </w:t>
      </w:r>
      <m:oMath>
        <m:sSub>
          <m:e>
            <m:r>
              <m:t>n</m:t>
            </m:r>
          </m:e>
          <m:sub>
            <m:r>
              <m:t>s</m:t>
            </m:r>
          </m:sub>
        </m:sSub>
        <m:r>
          <m:rPr>
            <m:sty m:val="p"/>
          </m:rPr>
          <m:t>≈</m:t>
        </m:r>
        <m:r>
          <m:t>300</m:t>
        </m:r>
      </m:oMath>
      <w:r>
        <w:t xml:space="preserve"> </w:t>
      </w:r>
      <w:r>
        <w:t xml:space="preserve">samples. The "data hunger" of standard Transformers is satisfied by the pre-training on synthetic data, not the downstream medical data.</w:t>
      </w:r>
    </w:p>
    <w:p>
      <w:pPr>
        <w:pStyle w:val="a0"/>
      </w:pPr>
      <w:r>
        <w:rPr>
          <w:b/>
          <w:bCs/>
        </w:rPr>
        <w:t xml:space="preserve">Addressing Distribution Shift:</w:t>
      </w:r>
      <w:r>
        <w:t xml:space="preserve"> </w:t>
      </w:r>
      <w:r>
        <w:t xml:space="preserve">The framework attacks shift at three levels:</w:t>
      </w:r>
      <w:r>
        <w:t xml:space="preserve"> </w:t>
      </w:r>
      <w:r>
        <w:t xml:space="preserve">1.</w:t>
      </w:r>
      <w:r>
        <w:t xml:space="preserve"> </w:t>
      </w:r>
      <w:r>
        <w:rPr>
          <w:b/>
          <w:bCs/>
        </w:rPr>
        <w:t xml:space="preserve">Feature Level:</w:t>
      </w:r>
      <w:r>
        <w:t xml:space="preserve"> </w:t>
      </w:r>
      <w:r>
        <w:t xml:space="preserve">‘QuantileTransformer‘ aligns the marginal distributions of individual features (Covariate Shift).</w:t>
      </w:r>
      <w:r>
        <w:t xml:space="preserve"> </w:t>
      </w:r>
      <w:r>
        <w:t xml:space="preserve">2.</w:t>
      </w:r>
      <w:r>
        <w:t xml:space="preserve"> </w:t>
      </w:r>
      <w:r>
        <w:rPr>
          <w:b/>
          <w:bCs/>
        </w:rPr>
        <w:t xml:space="preserve">Latent Level:</w:t>
      </w:r>
      <w:r>
        <w:t xml:space="preserve"> </w:t>
      </w:r>
      <w:r>
        <w:t xml:space="preserve">TCA explicitly minimizes the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 by aligning the joint embedding distributions.</w:t>
      </w:r>
      <w:r>
        <w:t xml:space="preserve"> </w:t>
      </w:r>
      <w:r>
        <w:t xml:space="preserve">3.</w:t>
      </w:r>
      <w:r>
        <w:t xml:space="preserve"> </w:t>
      </w:r>
      <w:r>
        <w:rPr>
          <w:b/>
          <w:bCs/>
        </w:rPr>
        <w:t xml:space="preserve">Output Level:</w:t>
      </w:r>
      <w:r>
        <w:t xml:space="preserve"> </w:t>
      </w:r>
      <w:r>
        <w:t xml:space="preserve">Temperature scaling calibrates the posterior probabilities against Label Shift.</w:t>
      </w:r>
    </w:p>
    <w:p>
      <w:pPr>
        <w:pStyle w:val="a0"/>
      </w:pPr>
      <w:r>
        <w:rPr>
          <w:b/>
          <w:bCs/>
        </w:rPr>
        <w:t xml:space="preserve">Real-time Feasibility:</w:t>
      </w:r>
      <w:r>
        <w:t xml:space="preserve"> </w:t>
      </w:r>
      <w:r>
        <w:t xml:space="preserve">Despite the ensemble complexity (</w:t>
      </w:r>
      <m:oMath>
        <m:r>
          <m:t>N</m:t>
        </m:r>
        <m:r>
          <m:rPr>
            <m:sty m:val="p"/>
          </m:rPr>
          <m:t>=</m:t>
        </m:r>
        <m:r>
          <m:t>32</m:t>
        </m:r>
      </m:oMath>
      <w:r>
        <w:t xml:space="preserve">), the inference involves only forward passes of the Transformer (which are highly parallelizable) and linear projections. Empirical tests on a standard CPU (Intel i7) show an average inference latency of</w:t>
      </w:r>
      <w:r>
        <w:t xml:space="preserve"> </w:t>
      </w:r>
      <m:oMath>
        <m:r>
          <m:rPr>
            <m:sty m:val="p"/>
          </m:rPr>
          <m:t>&lt;</m:t>
        </m:r>
        <m:r>
          <m:t>200</m:t>
        </m:r>
      </m:oMath>
      <w:r>
        <w:t xml:space="preserve"> </w:t>
      </w:r>
      <w:r>
        <w:t xml:space="preserve">ms per patient. This sub-second latency is well within the requirements for real-time clinical decision support systems, where a delay of even a few seconds is acceptable.</w:t>
      </w:r>
    </w:p>
    <w:bookmarkStart w:id="71" w:name="fig:model_details"/>
    <w:p>
      <w:pPr>
        <w:pStyle w:val="CaptionedFigure"/>
      </w:pPr>
      <w:r>
        <w:drawing>
          <wp:inline>
            <wp:extent cx="5486400" cy="6908800"/>
            <wp:effectExtent b="0" l="0" r="0" t="0"/>
            <wp:docPr descr="Figure 1: The PANDA framework architecture. (a) Compositional pipeline: from original tabular data through ensemble training, prediction aggregation, class imbalance adjustment, to final classification output. (b) Multi-branch ensemble with B=4 preprocessing strategies, each generating S=8 ensemble members via different random seeds." title="" id="69" name="Picture"/>
            <a:graphic>
              <a:graphicData uri="http://schemas.openxmlformats.org/drawingml/2006/picture">
                <pic:pic>
                  <pic:nvPicPr>
                    <pic:cNvPr descr="img/cross_hospital/Pre-trained Tabular Foundation Mode Pipeline_new.pdf" id="70" name="Picture"/>
                    <pic:cNvPicPr>
                      <a:picLocks noChangeArrowheads="1" noChangeAspect="1"/>
                    </pic:cNvPicPr>
                  </pic:nvPicPr>
                  <pic:blipFill>
                    <a:blip r:embed="rId68"/>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The PANDA framework architecture.</w:t>
      </w:r>
      <w:r>
        <w:t xml:space="preserve"> </w:t>
      </w:r>
      <w:r>
        <w:t xml:space="preserve">(a) Compositional pipeline: from original tabular data through ensemble training, prediction aggregation, class imbalance adjustment, to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w:t>
      </w:r>
      <w:r>
        <w:t xml:space="preserve"> </w:t>
      </w:r>
      <w:r>
        <w:t xml:space="preserve">each generating</w:t>
      </w:r>
      <w:r>
        <w:t xml:space="preserve"> </w:t>
      </w:r>
      <m:oMath>
        <m:r>
          <m:t>S</m:t>
        </m:r>
        <m:r>
          <m:rPr>
            <m:sty m:val="p"/>
          </m:rPr>
          <m:t>=</m:t>
        </m:r>
        <m:r>
          <m:t>8</m:t>
        </m:r>
      </m:oMath>
      <w:r>
        <w:t xml:space="preserve"> </w:t>
      </w:r>
      <w:r>
        <w:t xml:space="preserve">ensemble members via different random seeds.</w:t>
      </w:r>
    </w:p>
    <w:bookmarkEnd w:id="71"/>
    <w:p>
      <w:pPr>
        <w:pStyle w:val="a0"/>
      </w:pPr>
      <w:bookmarkStart w:id="72" w:name="sec:sol-end"/>
      <w:bookmarkEnd w:id="72"/>
    </w:p>
    <w:bookmarkEnd w:id="73"/>
    <w:bookmarkEnd w:id="74"/>
    <w:bookmarkStart w:id="96" w:name="sec:methods"/>
    <w:p>
      <w:pPr>
        <w:pStyle w:val="1"/>
      </w:pPr>
      <w:r>
        <w:t xml:space="preserve">Methods</w:t>
      </w:r>
    </w:p>
    <w:p>
      <w:pPr>
        <w:pStyle w:val="FirstParagraph"/>
      </w:pPr>
      <w:bookmarkStart w:id="75" w:name="sec:meth-start"/>
      <w:bookmarkEnd w:id="75"/>
    </w:p>
    <w:bookmarkStart w:id="77" w:name="X197225bb686a900d1f40f12cd3f48c77ece8247"/>
    <w:p>
      <w:pPr>
        <w:pStyle w:val="2"/>
      </w:pPr>
      <w:r>
        <w:t xml:space="preserve">Motivating Challenges and Methodological Response</w:t>
      </w:r>
    </w:p>
    <w:p>
      <w:pPr>
        <w:pStyle w:val="FirstParagraph"/>
      </w:pPr>
      <w:r>
        <w:t xml:space="preserve">Cross-hospital malignancy prediction and public-health surveillance generate intertwined constraints: tiny labeled cohorts, label imbalance, feature mismatch, and multiple forms of distribution shift. PANDA is organized around these constraints rather than around model novelty. Table </w:t>
      </w:r>
      <w:hyperlink w:anchor="tbl:challenge_mapping">
        <w:r>
          <w:rPr>
            <w:rStyle w:val="af"/>
          </w:rPr>
          <w:t xml:space="preserve">8</w:t>
        </w:r>
      </w:hyperlink>
      <w:r>
        <w:t xml:space="preserve"> </w:t>
      </w:r>
      <w:r>
        <w:t xml:space="preserve">distills the major obstacles and the mechanisms assigned to them.</w:t>
      </w:r>
    </w:p>
    <w:bookmarkStart w:id="76" w:name="tbl:challenge_mapping"/>
    <w:p>
      <w:pPr>
        <w:pStyle w:val="TableCaption"/>
      </w:pPr>
      <w:r>
        <w:t xml:space="preserve">Table 8: Challenge–mechanism mapping in PANDA. Each component targets a known failure mode, and the same design is reused for pulmonary nodules and the TableShift BRFSS race-shift task.</w:t>
      </w:r>
    </w:p>
    <w:tbl>
      <w:tblPr>
        <w:tblStyle w:val="Table"/>
        <w:tblW w:type="auto" w:w="0"/>
        <w:tblLook w:firstRow="1" w:lastRow="0" w:firstColumn="0" w:lastColumn="0" w:noHBand="0" w:noVBand="0" w:val="0020"/>
        <w:tblCaption w:val="Table 8: Challenge–mechanism mapping in PANDA. Each component targets a known failure mode, and the same design is reused for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 fitted network performs in-context learning with frozen weights</w:t>
            </w:r>
          </w:p>
        </w:tc>
        <w:tc>
          <w:tcPr/>
          <w:p>
            <w:pPr>
              <w:pStyle w:val="Compact"/>
              <w:jc w:val="left"/>
            </w:pPr>
            <w:r>
              <w:t xml:space="preserve">Transfers structural priors from millions of synthetic tasks, reducing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surfaces stable subsets (</w:t>
            </w:r>
            <w:r>
              <w:t xml:space="preserve">“best8”</w:t>
            </w:r>
            <w:r>
              <w:t xml:space="preserve">) definable in every site, plus schema alignment utilities</w:t>
            </w:r>
          </w:p>
        </w:tc>
        <w:tc>
          <w:tcPr/>
          <w:p>
            <w:pPr>
              <w:pStyle w:val="Compact"/>
              <w:jc w:val="left"/>
            </w:pPr>
            <w:r>
              <w:t xml:space="preserve">Removes site-specific artefacts before adaptation and guarantees that downstream models only consume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Shrinks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Injects diversity without retraining new weights and stabilizes predictions under minor data perturbations</w:t>
            </w:r>
          </w:p>
        </w:tc>
      </w:tr>
    </w:tbl>
    <w:bookmarkEnd w:id="76"/>
    <w:p>
      <w:pPr>
        <w:pStyle w:val="a0"/>
      </w:pPr>
      <w:r>
        <w:t xml:space="preserve">This architecture ensures that every component answers a crisp question: why do small-sample medical deployments fail, and what prior or alignment tool counters that failure?</w:t>
      </w:r>
    </w:p>
    <w:bookmarkEnd w:id="77"/>
    <w:bookmarkStart w:id="80" w:name="subsec:feature_engineering"/>
    <w:p>
      <w:pPr>
        <w:pStyle w:val="2"/>
      </w:pPr>
      <w:r>
        <w:t xml:space="preserve">Feature Engineering and Selection Implementation</w:t>
      </w:r>
    </w:p>
    <w:p>
      <w:pPr>
        <w:pStyle w:val="FirstParagraph"/>
      </w:pPr>
      <w:r>
        <w:t xml:space="preserve">The feature engineering pipeline in PANDA is designed to handle the heterogeneity of medical data sources while preserving domain-invariant signals. It consists of two distinct stages: global feature selection via Cross-Domain RFE and local feature transformation via TabPFN’s internal preprocessing branches.</w:t>
      </w:r>
    </w:p>
    <w:bookmarkStart w:id="78" w:name="subsubsec:rfe_implementation"/>
    <w:p>
      <w:pPr>
        <w:pStyle w:val="3"/>
      </w:pPr>
      <w:r>
        <w:t xml:space="preserve">Cross-Domain Recursive Feature Elimination (RFE)</w:t>
      </w:r>
    </w:p>
    <w:p>
      <w:pPr>
        <w:pStyle w:val="FirstParagraph"/>
      </w:pPr>
      <w:r>
        <w:t xml:space="preserve">To address the "feature mismatch" challenge, we implement a Cross-Domain Recursive Feature Elimination (RFE) strategy. Unlike standard RFE which optimizes for a single dataset, our approach seeks a feature subset</w:t>
      </w:r>
      <w:r>
        <w:t xml:space="preserve"> </w:t>
      </w:r>
      <m:oMath>
        <m:sSup>
          <m:e>
            <m:r>
              <m:rPr>
                <m:scr m:val="script"/>
                <m:sty m:val="p"/>
              </m:rPr>
              <m:t>F</m:t>
            </m:r>
          </m:e>
          <m:sup>
            <m:r>
              <m:rPr>
                <m:sty m:val="p"/>
              </m:rPr>
              <m:t>*</m:t>
            </m:r>
          </m:sup>
        </m:sSup>
      </m:oMath>
      <w:r>
        <w:t xml:space="preserve"> </w:t>
      </w:r>
      <w:r>
        <w:t xml:space="preserve">that maximizes predictive performance on the source domain</w:t>
      </w:r>
      <w:r>
        <w:t xml:space="preserve"> </w:t>
      </w:r>
      <m:oMath>
        <m:sSub>
          <m:e>
            <m:r>
              <m:rPr>
                <m:scr m:val="script"/>
                <m:sty m:val="p"/>
              </m:rPr>
              <m:t>D</m:t>
            </m:r>
          </m:e>
          <m:sub>
            <m:r>
              <m:t>S</m:t>
            </m:r>
          </m:sub>
        </m:sSub>
      </m:oMath>
      <w:r>
        <w:t xml:space="preserve"> </w:t>
      </w:r>
      <w:r>
        <w:t xml:space="preserve">while satisfying availability constraints in the target domain</w:t>
      </w:r>
      <w:r>
        <w:t xml:space="preserve"> </w:t>
      </w:r>
      <m:oMath>
        <m:sSub>
          <m:e>
            <m:r>
              <m:rPr>
                <m:scr m:val="script"/>
                <m:sty m:val="p"/>
              </m:rPr>
              <m:t>D</m:t>
            </m:r>
          </m:e>
          <m:sub>
            <m:r>
              <m:t>T</m:t>
            </m:r>
          </m:sub>
        </m:sSub>
      </m:oMath>
      <w:r>
        <w:t xml:space="preserve">.</w:t>
      </w:r>
    </w:p>
    <w:p>
      <w:pPr>
        <w:pStyle w:val="a0"/>
      </w:pPr>
      <w:r>
        <w:t xml:space="preserve">The process, implemented in</w:t>
      </w:r>
      <w:r>
        <w:t xml:space="preserve"> </w:t>
      </w:r>
      <w:r>
        <w:rPr>
          <w:rStyle w:val="VerbatimChar"/>
        </w:rPr>
        <w:t xml:space="preserve">predict_healthcare_RFE.py</w:t>
      </w:r>
      <w:r>
        <w:t xml:space="preserve">, uses a wrapper around the TabPFN classifier to compute permutation importance. We define the importance of feature</w:t>
      </w:r>
      <w:r>
        <w:t xml:space="preserve"> </w:t>
      </w:r>
      <m:oMath>
        <m:r>
          <m:t>j</m:t>
        </m:r>
      </m:oMath>
      <w:r>
        <w:t xml:space="preserve"> </w:t>
      </w:r>
      <w:r>
        <w:t xml:space="preserve">as the degradation in when its values are randomly shuffled:</w:t>
      </w:r>
    </w:p>
    <w:p>
      <w:pPr>
        <w:pStyle w:val="a0"/>
      </w:pPr>
      <m:oMathPara>
        <m:oMathParaPr>
          <m:jc m:val="center"/>
        </m:oMathParaPr>
        <m:oMath>
          <m:sSub>
            <m:e>
              <m:r>
                <m:rPr>
                  <m:scr m:val="script"/>
                  <m:sty m:val="p"/>
                </m:rPr>
                <m:t>I</m:t>
              </m:r>
            </m:e>
            <m:sub>
              <m:r>
                <m:t>j</m:t>
              </m:r>
            </m:sub>
          </m:sSub>
          <m:r>
            <m:rPr>
              <m:sty m:val="p"/>
            </m:rPr>
            <m:t>=</m:t>
          </m:r>
          <m:sSub>
            <m:e>
              <m:r>
                <m:rPr>
                  <m:scr m:val="script"/>
                  <m:sty m:val="p"/>
                </m:rPr>
                <m:t>L</m:t>
              </m:r>
            </m:e>
            <m:sub>
              <m:r>
                <m:rPr>
                  <m:nor/>
                  <m:sty m:val="p"/>
                </m:rPr>
                <m:t>AUC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cr m:val="script"/>
                      <m:sty m:val="p"/>
                    </m:rPr>
                    <m:t>L</m:t>
                  </m:r>
                </m:e>
                <m:sub>
                  <m:r>
                    <m:rPr>
                      <m:nor/>
                      <m:sty m:val="p"/>
                    </m:rPr>
                    <m:t>AUC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hyperlink w:anchor="alg:cross_domain_rfe">
        <w:r>
          <w:rPr>
            <w:rStyle w:val="af"/>
          </w:rPr>
          <w:t xml:space="preserve">[alg:cross_domain_rfe]</w:t>
        </w:r>
      </w:hyperlink>
      <w:r>
        <w:t xml:space="preserve"> </w:t>
      </w:r>
      <w:r>
        <w:t xml:space="preserve">details the iterative elimination process.</w:t>
      </w:r>
    </w:p>
    <w:p>
      <w:pPr>
        <w:pStyle w:val="a0"/>
      </w:pPr>
      <w:r>
        <w:t xml:space="preserve">Source Data</w:t>
      </w:r>
      <w:r>
        <w:t xml:space="preserve"> </w:t>
      </w:r>
      <m:oMath>
        <m:sSub>
          <m:e>
            <m:r>
              <m:t>X</m:t>
            </m:r>
          </m:e>
          <m:sub>
            <m:r>
              <m:t>s</m:t>
            </m:r>
          </m:sub>
        </m:sSub>
        <m:r>
          <m:rPr>
            <m:sty m:val="p"/>
          </m:rPr>
          <m:t>,</m:t>
        </m:r>
        <m:sSub>
          <m:e>
            <m:r>
              <m:t>y</m:t>
            </m:r>
          </m:e>
          <m:sub>
            <m:r>
              <m:t>s</m:t>
            </m:r>
          </m:sub>
        </m:sSub>
      </m:oMath>
      <w:r>
        <w:t xml:space="preserve">, Target Schema</w:t>
      </w:r>
      <w:r>
        <w:t xml:space="preserve"> </w:t>
      </w:r>
      <m:oMath>
        <m:sSub>
          <m:e>
            <m:r>
              <m:rPr>
                <m:scr m:val="script"/>
                <m:sty m:val="p"/>
              </m:rPr>
              <m:t>F</m:t>
            </m:r>
          </m:e>
          <m:sub>
            <m:r>
              <m:t>t</m:t>
            </m:r>
          </m:sub>
        </m:sSub>
      </m:oMath>
      <w:r>
        <w:t xml:space="preserve">, Target Feature Count</w:t>
      </w:r>
      <w:r>
        <w:t xml:space="preserve"> </w:t>
      </w:r>
      <m:oMath>
        <m:sSub>
          <m:e>
            <m:r>
              <m:t>k</m:t>
            </m:r>
          </m:e>
          <m:sub>
            <m:r>
              <m:rPr>
                <m:nor/>
                <m:sty m:val="p"/>
              </m:rPr>
              <m:t>target</m:t>
            </m:r>
          </m:sub>
        </m:sSub>
      </m:oMath>
      <w:r>
        <w:t xml:space="preserve"> </w:t>
      </w:r>
      <w:r>
        <w:t xml:space="preserve">Optimal Feature Subset</w:t>
      </w:r>
      <w:r>
        <w:t xml:space="preserve"> </w:t>
      </w:r>
      <m:oMath>
        <m:sSup>
          <m:e>
            <m:r>
              <m:rPr>
                <m:scr m:val="script"/>
                <m:sty m:val="p"/>
              </m:rPr>
              <m:t>F</m:t>
            </m:r>
          </m:e>
          <m:sup>
            <m:r>
              <m:rPr>
                <m:sty m:val="p"/>
              </m:rPr>
              <m:t>*</m:t>
            </m:r>
          </m:sup>
        </m:sSup>
      </m:oMath>
      <w:r>
        <w:t xml:space="preserve"> </w:t>
      </w:r>
      <w:r>
        <w:rPr>
          <w:b/>
          <w:bCs/>
        </w:rPr>
        <w:t xml:space="preserve">Initialize:</w:t>
      </w:r>
      <w:r>
        <w:t xml:space="preserve"> </w:t>
      </w:r>
      <m:oMath>
        <m:r>
          <m:rPr>
            <m:scr m:val="script"/>
            <m:sty m:val="p"/>
          </m:rPr>
          <m:t>S</m:t>
        </m:r>
        <m:r>
          <m:rPr>
            <m:sty m:val="p"/>
          </m:rPr>
          <m:t>←</m:t>
        </m:r>
        <m:r>
          <m:rPr>
            <m:nor/>
            <m:sty m:val="p"/>
          </m:rPr>
          <m:t>features</m:t>
        </m:r>
        <m:r>
          <m:rPr>
            <m:sty m:val="p"/>
          </m:rPr>
          <m:t>(</m:t>
        </m:r>
        <m:sSub>
          <m:e>
            <m:r>
              <m:t>X</m:t>
            </m:r>
          </m:e>
          <m:sub>
            <m:r>
              <m:t>s</m:t>
            </m:r>
          </m:sub>
        </m:sSub>
        <m:r>
          <m:rPr>
            <m:sty m:val="p"/>
          </m:rPr>
          <m:t>)</m:t>
        </m:r>
        <m:r>
          <m:rPr>
            <m:sty m:val="p"/>
          </m:rPr>
          <m:t>∩</m:t>
        </m:r>
        <m:sSub>
          <m:e>
            <m:r>
              <m:rPr>
                <m:scr m:val="script"/>
                <m:sty m:val="p"/>
              </m:rPr>
              <m:t>F</m:t>
            </m:r>
          </m:e>
          <m:sub>
            <m:r>
              <m:t>t</m:t>
            </m:r>
          </m:sub>
        </m:sSub>
      </m:oMath>
      <w:r>
        <w:t xml:space="preserve"> </w:t>
      </w:r>
      <w:r>
        <w:t xml:space="preserve">Train TabPFN classifier</w:t>
      </w:r>
      <w:r>
        <w:t xml:space="preserve"> </w:t>
      </w:r>
      <m:oMath>
        <m:r>
          <m:rPr>
            <m:scr m:val="script"/>
            <m:sty m:val="p"/>
          </m:rPr>
          <m:t>M</m:t>
        </m:r>
      </m:oMath>
      <w:r>
        <w:t xml:space="preserve"> </w:t>
      </w:r>
      <w:r>
        <w:t xml:space="preserve">on</w:t>
      </w:r>
      <w:r>
        <w:t xml:space="preserve"> </w:t>
      </w:r>
      <m:oMath>
        <m:sSub>
          <m:e>
            <m:r>
              <m:t>X</m:t>
            </m:r>
          </m:e>
          <m:sub>
            <m:r>
              <m:t>s</m:t>
            </m:r>
          </m:sub>
        </m:sSub>
        <m:r>
          <m:rPr>
            <m:sty m:val="p"/>
          </m:rPr>
          <m:t>[</m:t>
        </m:r>
        <m:r>
          <m:rPr>
            <m:scr m:val="script"/>
            <m:sty m:val="p"/>
          </m:rPr>
          <m:t>S</m:t>
        </m:r>
        <m:r>
          <m:rPr>
            <m:sty m:val="p"/>
          </m:rPr>
          <m:t>]</m:t>
        </m:r>
        <m:r>
          <m:rPr>
            <m:sty m:val="p"/>
          </m:rPr>
          <m:t>,</m:t>
        </m:r>
        <m:sSub>
          <m:e>
            <m:r>
              <m:t>y</m:t>
            </m:r>
          </m:e>
          <m:sub>
            <m:r>
              <m:t>s</m:t>
            </m:r>
          </m:sub>
        </m:sSub>
      </m:oMath>
      <w:r>
        <w:t xml:space="preserve"> </w:t>
      </w:r>
      <w:r>
        <w:t xml:space="preserve">Compute Permutation Importance vector</w:t>
      </w:r>
      <w:r>
        <w:t xml:space="preserve"> </w:t>
      </w:r>
      <m:oMath>
        <m:r>
          <m:rPr>
            <m:sty m:val="b"/>
          </m:rPr>
          <m:t>I</m:t>
        </m:r>
        <m:r>
          <m:rPr>
            <m:sty m:val="p"/>
          </m:rPr>
          <m:t>∈</m:t>
        </m:r>
        <m:sSup>
          <m:e>
            <m:r>
              <m:rPr>
                <m:scr m:val="double-struck"/>
                <m:sty m:val="p"/>
              </m:rPr>
              <m:t>R</m:t>
            </m:r>
          </m:e>
          <m:sup>
            <m:r>
              <m:rPr>
                <m:sty m:val="p"/>
              </m:rPr>
              <m:t>|</m:t>
            </m:r>
            <m:r>
              <m:rPr>
                <m:scr m:val="script"/>
                <m:sty m:val="p"/>
              </m:rPr>
              <m:t>S</m:t>
            </m:r>
            <m:r>
              <m:rPr>
                <m:sty m:val="p"/>
              </m:rPr>
              <m:t>|</m:t>
            </m:r>
          </m:sup>
        </m:sSup>
      </m:oMath>
      <w:r>
        <w:t xml:space="preserve"> </w:t>
      </w:r>
      <w:r>
        <w:t xml:space="preserve">using 5 repeats</w:t>
      </w:r>
      <w:r>
        <w:t xml:space="preserve"> </w:t>
      </w:r>
      <w:r>
        <w:t xml:space="preserve">Identify feature with minimum importance:</w:t>
      </w:r>
      <w:r>
        <w:t xml:space="preserve"> </w:t>
      </w:r>
      <m:oMath>
        <m:sSub>
          <m:e>
            <m:r>
              <m:t>f</m:t>
            </m:r>
          </m:e>
          <m:sub>
            <m:r>
              <m:rPr>
                <m:nor/>
                <m:sty m:val="p"/>
              </m:rPr>
              <m:t>min</m:t>
            </m:r>
          </m:sub>
        </m:sSub>
        <m:r>
          <m:rPr>
            <m:sty m:val="p"/>
          </m:rPr>
          <m:t>←</m:t>
        </m:r>
        <m:sSub>
          <m:e>
            <m:r>
              <m:rPr>
                <m:sty m:val="p"/>
              </m:rPr>
              <m:t>argmin</m:t>
            </m:r>
          </m:e>
          <m:sub>
            <m:r>
              <m:t>f</m:t>
            </m:r>
            <m:r>
              <m:rPr>
                <m:sty m:val="p"/>
              </m:rPr>
              <m:t>∈</m:t>
            </m:r>
            <m:r>
              <m:rPr>
                <m:scr m:val="script"/>
                <m:sty m:val="p"/>
              </m:rPr>
              <m:t>S</m:t>
            </m:r>
          </m:sub>
        </m:sSub>
        <m:r>
          <m:rPr>
            <m:sty m:val="b"/>
          </m:rPr>
          <m:t>I</m:t>
        </m:r>
        <m:r>
          <m:rPr>
            <m:sty m:val="p"/>
          </m:rPr>
          <m:t>[</m:t>
        </m:r>
        <m:r>
          <m:t>f</m:t>
        </m:r>
        <m:r>
          <m:rPr>
            <m:sty m:val="p"/>
          </m:rPr>
          <m:t>]</m:t>
        </m:r>
      </m:oMath>
      <w:r>
        <w:t xml:space="preserve"> </w:t>
      </w:r>
      <m:oMath>
        <m:r>
          <m:rPr>
            <m:scr m:val="script"/>
            <m:sty m:val="p"/>
          </m:rPr>
          <m:t>S</m:t>
        </m:r>
        <m:r>
          <m:rPr>
            <m:sty m:val="p"/>
          </m:rPr>
          <m:t>←</m:t>
        </m:r>
        <m:r>
          <m:rPr>
            <m:scr m:val="script"/>
            <m:sty m:val="p"/>
          </m:rPr>
          <m:t>S</m:t>
        </m:r>
        <m:r>
          <m:rPr>
            <m:sty m:val="p"/>
          </m:rPr>
          <m:t>\</m:t>
        </m:r>
        <m:r>
          <m:rPr>
            <m:sty m:val="p"/>
          </m:rPr>
          <m:t>{</m:t>
        </m:r>
        <m:sSub>
          <m:e>
            <m:r>
              <m:t>f</m:t>
            </m:r>
          </m:e>
          <m:sub>
            <m:r>
              <m:rPr>
                <m:nor/>
                <m:sty m:val="p"/>
              </m:rPr>
              <m:t>min</m:t>
            </m:r>
          </m:sub>
        </m:sSub>
        <m:r>
          <m:rPr>
            <m:sty m:val="p"/>
          </m:rPr>
          <m:t>}</m:t>
        </m:r>
      </m:oMath>
      <w:r>
        <w:t xml:space="preserve"> </w:t>
      </w:r>
      <w:r>
        <w:t xml:space="preserve">Record performance metric</w:t>
      </w:r>
      <w:r>
        <w:t xml:space="preserve"> </w:t>
      </w:r>
      <m:oMath>
        <m:sSub>
          <m:e>
            <m:r>
              <m:t>M</m:t>
            </m:r>
          </m:e>
          <m:sub>
            <m:r>
              <m:t>k</m:t>
            </m:r>
          </m:sub>
        </m:sSub>
        <m:r>
          <m:rPr>
            <m:sty m:val="p"/>
          </m:rPr>
          <m:t>(</m:t>
        </m:r>
        <m:r>
          <m:rPr>
            <m:sty m:val="p"/>
          </m:rPr>
          <m:t>|</m:t>
        </m:r>
        <m:r>
          <m:rPr>
            <m:scr m:val="script"/>
            <m:sty m:val="p"/>
          </m:rPr>
          <m:t>S</m:t>
        </m:r>
        <m:r>
          <m:rPr>
            <m:sty m:val="p"/>
          </m:rPr>
          <m:t>|</m:t>
        </m:r>
        <m:r>
          <m:rPr>
            <m:sty m:val="p"/>
          </m:rPr>
          <m:t>)</m:t>
        </m:r>
      </m:oMath>
      <w:r>
        <w:t xml:space="preserve"> </w:t>
      </w:r>
      <w:r>
        <w:t xml:space="preserve">() via 10-fold CV</w:t>
      </w:r>
      <w:r>
        <w:t xml:space="preserve"> </w:t>
      </w:r>
      <w:r>
        <w:rPr>
          <w:b/>
          <w:bCs/>
        </w:rPr>
        <w:t xml:space="preserve">Select</w:t>
      </w:r>
      <w:r>
        <w:t xml:space="preserve"> </w:t>
      </w:r>
      <m:oMath>
        <m:sSup>
          <m:e>
            <m:r>
              <m:rPr>
                <m:scr m:val="script"/>
                <m:sty m:val="p"/>
              </m:rPr>
              <m:t>F</m:t>
            </m:r>
          </m:e>
          <m:sup>
            <m:r>
              <m:rPr>
                <m:sty m:val="p"/>
              </m:rPr>
              <m:t>*</m:t>
            </m:r>
          </m:sup>
        </m:sSup>
      </m:oMath>
      <w:r>
        <w:t xml:space="preserve"> </w:t>
      </w:r>
      <w:r>
        <w:t xml:space="preserve">based on Cost-Effectiveness Index (CEI):</w:t>
      </w:r>
      <w:r>
        <w:t xml:space="preserve"> </w:t>
      </w:r>
      <m:oMath>
        <m:r>
          <m:rPr>
            <m:nor/>
            <m:sty m:val="p"/>
          </m:rPr>
          <m:t>CEI</m:t>
        </m:r>
        <m:r>
          <m:rPr>
            <m:sty m:val="p"/>
          </m:rPr>
          <m:t>(</m:t>
        </m:r>
        <m:r>
          <m:t>k</m:t>
        </m:r>
        <m:r>
          <m:rPr>
            <m:sty m:val="p"/>
          </m:rPr>
          <m:t>)</m:t>
        </m:r>
        <m:r>
          <m:rPr>
            <m:sty m:val="p"/>
          </m:rPr>
          <m:t>=</m:t>
        </m:r>
        <m:f>
          <m:fPr>
            <m:type m:val="bar"/>
          </m:fPr>
          <m:num>
            <m:sSub>
              <m:e>
                <m:r>
                  <m:rPr>
                    <m:nor/>
                    <m:sty m:val="p"/>
                  </m:rPr>
                  <m:t>AUC</m:t>
                </m:r>
              </m:e>
              <m:sub>
                <m:r>
                  <m:t>k</m:t>
                </m:r>
              </m:sub>
            </m:sSub>
            <m:r>
              <m:rPr>
                <m:sty m:val="p"/>
              </m:rPr>
              <m:t>−</m:t>
            </m:r>
            <m:r>
              <m:t>0.5</m:t>
            </m:r>
          </m:num>
          <m:den>
            <m:sSub>
              <m:e>
                <m:r>
                  <m:rPr>
                    <m:nor/>
                    <m:sty m:val="p"/>
                  </m:rPr>
                  <m:t>Cost</m:t>
                </m:r>
              </m:e>
              <m:sub>
                <m:r>
                  <m:t>k</m:t>
                </m:r>
              </m:sub>
            </m:sSub>
          </m:den>
        </m:f>
      </m:oMath>
      <w:r>
        <w:t xml:space="preserve"> </w:t>
      </w:r>
      <m:oMath>
        <m:sSup>
          <m:e>
            <m:r>
              <m:rPr>
                <m:scr m:val="script"/>
                <m:sty m:val="p"/>
              </m:rPr>
              <m:t>F</m:t>
            </m:r>
          </m:e>
          <m:sup>
            <m:r>
              <m:rPr>
                <m:sty m:val="p"/>
              </m:rPr>
              <m:t>*</m:t>
            </m:r>
          </m:sup>
        </m:sSup>
      </m:oMath>
    </w:p>
    <w:p>
      <w:pPr>
        <w:pStyle w:val="a0"/>
      </w:pPr>
      <w:r>
        <w:t xml:space="preserve">This algorithm produces the standard subsets referenced throughout the study:</w:t>
      </w:r>
      <w:r>
        <w:t xml:space="preserve"> </w:t>
      </w:r>
      <w:r>
        <w:t xml:space="preserve">“best8”</w:t>
      </w:r>
      <w:r>
        <w:t xml:space="preserve">.</w:t>
      </w:r>
    </w:p>
    <w:bookmarkEnd w:id="78"/>
    <w:bookmarkStart w:id="79" w:name="multi-branch-preprocessing-strategy"/>
    <w:p>
      <w:pPr>
        <w:pStyle w:val="3"/>
      </w:pPr>
      <w:r>
        <w:t xml:space="preserve">Multi-Branch Preprocessing Strategy</w:t>
      </w:r>
    </w:p>
    <w:p>
      <w:pPr>
        <w:pStyle w:val="FirstParagraph"/>
      </w:pPr>
      <w:r>
        <w:t xml:space="preserve">Once the feature set is fixed, PANDA leverages TabPFN’s internal ensemble mechanism to handle distribution shifts in feature scaling and encoding. This is effectively a "test-time augmentation" for tabular data. The</w:t>
      </w:r>
      <w:r>
        <w:t xml:space="preserve"> </w:t>
      </w:r>
      <w:r>
        <w:rPr>
          <w:rStyle w:val="VerbatimChar"/>
        </w:rPr>
        <w:t xml:space="preserve">EnsembleConfig</w:t>
      </w:r>
      <w:r>
        <w:t xml:space="preserve"> </w:t>
      </w:r>
      <w:r>
        <w:t xml:space="preserve">generates 32 distinct views of the data through four preprocessing pipelines:</w:t>
      </w:r>
    </w:p>
    <w:p>
      <w:pPr>
        <w:numPr>
          <w:ilvl w:val="0"/>
          <w:numId w:val="1013"/>
        </w:numPr>
      </w:pPr>
      <w:r>
        <w:rPr>
          <w:b/>
          <w:bCs/>
        </w:rPr>
        <w:t xml:space="preserve">No-Op Branch:</w:t>
      </w:r>
      <w:r>
        <w:t xml:space="preserve"> </w:t>
      </w:r>
      <w:r>
        <w:t xml:space="preserve">Raw features are passed directly, preserving original distributions (useful for tree-based logic).</w:t>
      </w:r>
    </w:p>
    <w:p>
      <w:pPr>
        <w:numPr>
          <w:ilvl w:val="0"/>
          <w:numId w:val="1013"/>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rPr>
            <m:sty m:val="b"/>
          </m:rP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handles extreme outliers and skewed distributions common in medical markers (e.g., CEA levels).</w:t>
      </w:r>
    </w:p>
    <w:p>
      <w:pPr>
        <w:numPr>
          <w:ilvl w:val="0"/>
          <w:numId w:val="1013"/>
        </w:numPr>
      </w:pPr>
      <w:r>
        <w:rPr>
          <w:b/>
          <w:bCs/>
        </w:rPr>
        <w:t xml:space="preserve">Ordinal Branch:</w:t>
      </w:r>
      <w:r>
        <w:t xml:space="preserve"> </w:t>
      </w:r>
      <w:r>
        <w:t xml:space="preserve">All unique values are ranked and replaced by their integer rank. This removes magnitude information but preserves order, making the model robust to unit changes (e.g., cm vs mm).</w:t>
      </w:r>
    </w:p>
    <w:p>
      <w:pPr>
        <w:numPr>
          <w:ilvl w:val="0"/>
          <w:numId w:val="1013"/>
        </w:numPr>
      </w:pPr>
      <w:r>
        <w:rPr>
          <w:b/>
          <w:bCs/>
        </w:rPr>
        <w:t xml:space="preserve">Power Transform Branch:</w:t>
      </w:r>
      <w:r>
        <w:t xml:space="preserve"> </w:t>
      </w:r>
      <w:r>
        <w:t xml:space="preserve">Applies</w:t>
      </w:r>
      <w:r>
        <w:t xml:space="preserve"> </w:t>
      </w:r>
      <m:oMath>
        <m:r>
          <m:rPr>
            <m:sty m:val="b"/>
          </m:rPr>
          <m:t>x</m:t>
        </m:r>
        <m:r>
          <m:rPr>
            <m:sty m:val="p"/>
          </m:rPr>
          <m:t>↦</m:t>
        </m:r>
        <m:sSup>
          <m:e>
            <m:r>
              <m:rPr>
                <m:sty m:val="b"/>
              </m:rPr>
              <m:t>x</m:t>
            </m:r>
          </m:e>
          <m:sup>
            <m:r>
              <m:t>λ</m:t>
            </m:r>
          </m:sup>
        </m:sSup>
      </m:oMath>
      <w:r>
        <w:t xml:space="preserve"> </w:t>
      </w:r>
      <w:r>
        <w:t xml:space="preserve">(e.g., square root or log) to stabilize variance.</w:t>
      </w:r>
    </w:p>
    <w:p>
      <w:pPr>
        <w:pStyle w:val="FirstParagraph"/>
      </w:pPr>
      <w:r>
        <w:t xml:space="preserve">Each branch is applied to both support (train) and query (test) sets simultaneously, ensuring consistent mapping.</w:t>
      </w:r>
    </w:p>
    <w:bookmarkEnd w:id="79"/>
    <w:bookmarkEnd w:id="80"/>
    <w:bookmarkStart w:id="89" w:name="subsec:foundation_model_integration"/>
    <w:p>
      <w:pPr>
        <w:pStyle w:val="2"/>
      </w:pPr>
      <w:r>
        <w:t xml:space="preserve">Foundation Model Integration Mechanism</w:t>
      </w:r>
    </w:p>
    <w:p>
      <w:pPr>
        <w:pStyle w:val="FirstParagraph"/>
      </w:pPr>
      <w:r>
        <w:t xml:space="preserve">PANDA utilizes TabPFN as a robust probabilistic classifier within an integrated framework. While TabPFN internally processes features, its role in PANDA is to provide final, confident predictions on adapted tabular data. The integration involves specific mathematical serialization and ensemble construction steps.</w:t>
      </w:r>
    </w:p>
    <w:bookmarkStart w:id="81" w:name="X4ef944d3fc1758902d8de2ca994a1a4af57d5dd"/>
    <w:p>
      <w:pPr>
        <w:pStyle w:val="3"/>
      </w:pPr>
      <w:r>
        <w:t xml:space="preserve">In-Context Serialization and Tokenization</w:t>
      </w:r>
    </w:p>
    <w:p>
      <w:pPr>
        <w:pStyle w:val="FirstParagraph"/>
      </w:pPr>
      <w:r>
        <w:t xml:space="preserve">Unlike BERT-style models that require text, TabPFN consumes raw numerical and categorical values. The serialization process, defined in</w:t>
      </w:r>
      <w:r>
        <w:t xml:space="preserve"> </w:t>
      </w:r>
      <w:r>
        <w:rPr>
          <w:rStyle w:val="VerbatimChar"/>
        </w:rPr>
        <w:t xml:space="preserve">src/tabpfn/model/encoders.py</w:t>
      </w:r>
      <w:r>
        <w:t xml:space="preserve">, maps a heterogeneous row</w:t>
      </w:r>
      <w:r>
        <w:t xml:space="preserve"> </w:t>
      </w:r>
      <m:oMath>
        <m:r>
          <m:rPr>
            <m:sty m:val="b"/>
          </m:rP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For a numerical feature</w:t>
      </w:r>
      <w:r>
        <w:t xml:space="preserve"> </w:t>
      </w:r>
      <m:oMath>
        <m:sSup>
          <m:e>
            <m:r>
              <m:rPr>
                <m:sty m:val="b"/>
              </m:rPr>
              <m:t>x</m:t>
            </m:r>
          </m:e>
          <m:sup>
            <m:r>
              <m:rPr>
                <m:sty m:val="p"/>
              </m:rPr>
              <m:t>(</m:t>
            </m:r>
            <m:r>
              <m:t>j</m:t>
            </m:r>
            <m:r>
              <m:rPr>
                <m:sty m:val="p"/>
              </m:rPr>
              <m:t>)</m:t>
            </m:r>
          </m:sup>
        </m:sSup>
      </m:oMath>
      <w:r>
        <w:t xml:space="preserve">, the embedding is a linear projection:</w:t>
      </w:r>
    </w:p>
    <w:p>
      <w:pPr>
        <w:pStyle w:val="a0"/>
      </w:pPr>
      <m:oMathPara>
        <m:oMathParaPr>
          <m:jc m:val="center"/>
        </m:oMathParaPr>
        <m:oMath>
          <m:sSup>
            <m:e>
              <m:r>
                <m:rPr>
                  <m:sty m:val="b"/>
                </m:rPr>
                <m:t>e</m:t>
              </m:r>
            </m:e>
            <m:sup>
              <m:r>
                <m:rPr>
                  <m:sty m:val="p"/>
                </m:rPr>
                <m:t>(</m:t>
              </m:r>
              <m:r>
                <m:t>j</m:t>
              </m:r>
              <m:r>
                <m:rPr>
                  <m:sty m:val="p"/>
                </m:rPr>
                <m:t>)</m:t>
              </m:r>
            </m:sup>
          </m:sSup>
          <m:r>
            <m:rPr>
              <m:sty m:val="p"/>
            </m:rPr>
            <m:t>=</m:t>
          </m:r>
          <m:sSubSup>
            <m:e>
              <m:r>
                <m:rPr>
                  <m:sty m:val="b"/>
                </m:rPr>
                <m:t>W</m:t>
              </m:r>
            </m:e>
            <m:sub>
              <m:r>
                <m:rPr>
                  <m:nor/>
                  <m:sty m:val="p"/>
                </m:rPr>
                <m:t>num</m:t>
              </m:r>
            </m:sub>
            <m:sup>
              <m:r>
                <m:rPr>
                  <m:sty m:val="p"/>
                </m:rPr>
                <m:t>(</m:t>
              </m:r>
              <m:r>
                <m:t>j</m:t>
              </m:r>
              <m:r>
                <m:rPr>
                  <m:sty m:val="p"/>
                </m:rPr>
                <m:t>)</m:t>
              </m:r>
            </m:sup>
          </m:sSubSup>
          <m:sSup>
            <m:e>
              <m:r>
                <m:rPr>
                  <m:sty m:val="b"/>
                </m:rPr>
                <m:t>x</m:t>
              </m:r>
            </m:e>
            <m:sup>
              <m:r>
                <m:rPr>
                  <m:sty m:val="p"/>
                </m:rPr>
                <m:t>(</m:t>
              </m:r>
              <m:r>
                <m:t>j</m:t>
              </m:r>
              <m:r>
                <m:rPr>
                  <m:sty m:val="p"/>
                </m:rPr>
                <m:t>)</m:t>
              </m:r>
            </m:sup>
          </m:sSup>
          <m:r>
            <m:rPr>
              <m:sty m:val="p"/>
            </m:rPr>
            <m:t>+</m:t>
          </m:r>
          <m:sSubSup>
            <m:e>
              <m:r>
                <m:rPr>
                  <m:sty m:val="b"/>
                </m:rPr>
                <m:t>b</m:t>
              </m:r>
            </m:e>
            <m:sub>
              <m:r>
                <m:rPr>
                  <m:nor/>
                  <m:sty m:val="p"/>
                </m:rPr>
                <m:t>num</m:t>
              </m:r>
            </m:sub>
            <m:sup>
              <m:r>
                <m:rPr>
                  <m:sty m:val="p"/>
                </m:rPr>
                <m:t>(</m:t>
              </m:r>
              <m:r>
                <m:t>j</m:t>
              </m:r>
              <m:r>
                <m:rPr>
                  <m:sty m:val="p"/>
                </m:rPr>
                <m:t>)</m:t>
              </m:r>
            </m:sup>
          </m:sSubSup>
        </m:oMath>
      </m:oMathPara>
    </w:p>
    <w:p>
      <w:pPr>
        <w:pStyle w:val="FirstParagraph"/>
      </w:pPr>
      <w:r>
        <w:t xml:space="preserve">For a categorical feature with index</w:t>
      </w:r>
      <w:r>
        <w:t xml:space="preserve"> </w:t>
      </w:r>
      <m:oMath>
        <m:r>
          <m:t>c</m:t>
        </m:r>
      </m:oMath>
      <w:r>
        <w:t xml:space="preserve">, we use a lookup table:</w:t>
      </w:r>
    </w:p>
    <w:p>
      <w:pPr>
        <w:pStyle w:val="a0"/>
      </w:pPr>
      <m:oMathPara>
        <m:oMathParaPr>
          <m:jc m:val="center"/>
        </m:oMathParaPr>
        <m:oMath>
          <m:sSup>
            <m:e>
              <m:r>
                <m:rPr>
                  <m:sty m:val="b"/>
                </m:rPr>
                <m:t>e</m:t>
              </m:r>
            </m:e>
            <m:sup>
              <m:r>
                <m:rPr>
                  <m:sty m:val="p"/>
                </m:rPr>
                <m:t>(</m:t>
              </m:r>
              <m:r>
                <m:t>j</m:t>
              </m:r>
              <m:r>
                <m:rPr>
                  <m:sty m:val="p"/>
                </m:rPr>
                <m:t>)</m:t>
              </m:r>
            </m:sup>
          </m:sSup>
          <m:r>
            <m:rPr>
              <m:sty m:val="p"/>
            </m:rPr>
            <m:t>=</m:t>
          </m:r>
          <m:sSup>
            <m:e>
              <m:r>
                <m:rPr>
                  <m:nor/>
                  <m:sty m:val="p"/>
                </m:rPr>
                <m:t>EmbeddingMatrix</m:t>
              </m:r>
            </m:e>
            <m:sup>
              <m:r>
                <m:rPr>
                  <m:sty m:val="p"/>
                </m:rPr>
                <m:t>(</m:t>
              </m:r>
              <m:r>
                <m:t>j</m:t>
              </m:r>
              <m:r>
                <m:rPr>
                  <m:sty m:val="p"/>
                </m:rPr>
                <m:t>)</m:t>
              </m:r>
            </m:sup>
          </m:sSup>
          <m:r>
            <m:rPr>
              <m:sty m:val="p"/>
            </m:rPr>
            <m:t>[</m:t>
          </m:r>
          <m:r>
            <m:t>c</m:t>
          </m:r>
          <m:r>
            <m:rPr>
              <m:sty m:val="p"/>
            </m:rPr>
            <m:t>]</m:t>
          </m:r>
        </m:oMath>
      </m:oMathPara>
    </w:p>
    <w:p>
      <w:pPr>
        <w:pStyle w:val="FirstParagraph"/>
      </w:pPr>
      <w:r>
        <w:t xml:space="preserve">Missing values are handled by a specialized learnable token</w:t>
      </w:r>
      <w:r>
        <w:t xml:space="preserve"> </w:t>
      </w:r>
      <m:oMath>
        <m:sSub>
          <m:e>
            <m:r>
              <m:rPr>
                <m:sty m:val="b"/>
              </m:rPr>
              <m:t>e</m:t>
            </m:r>
          </m:e>
          <m:sub>
            <m:r>
              <m:rPr>
                <m:nor/>
                <m:sty m:val="p"/>
              </m:rPr>
              <m:t>nan</m:t>
            </m:r>
          </m:sub>
        </m:sSub>
      </m:oMath>
      <w:r>
        <w:t xml:space="preserve">. The full sample embedding is the sum of feature embeddings plus a positional encoding:</w:t>
      </w:r>
    </w:p>
    <w:p>
      <w:pPr>
        <w:pStyle w:val="a0"/>
      </w:pPr>
      <m:oMathPara>
        <m:oMathParaPr>
          <m:jc m:val="center"/>
        </m:oMathParaPr>
        <m:oMath>
          <m:sSub>
            <m:e>
              <m:r>
                <m:rPr>
                  <m:sty m:val="b"/>
                </m:rPr>
                <m:t>E</m:t>
              </m:r>
            </m:e>
            <m:sub>
              <m:r>
                <m:rPr>
                  <m:nor/>
                  <m:sty m:val="p"/>
                </m:rPr>
                <m:t>sample</m:t>
              </m:r>
            </m:sub>
          </m:sSub>
          <m:r>
            <m:rPr>
              <m:sty m:val="p"/>
            </m:rPr>
            <m:t>=</m:t>
          </m:r>
          <m:r>
            <m:rPr>
              <m:nor/>
              <m:sty m:val="p"/>
            </m:rPr>
            <m:t>MLP</m:t>
          </m:r>
          <m:r>
            <m:rPr>
              <m:sty m:val="p"/>
            </m:rPr>
            <m:t>(</m:t>
          </m:r>
          <m:r>
            <m:rPr>
              <m:nor/>
              <m:sty m:val="p"/>
            </m:rPr>
            <m:t>Concat</m:t>
          </m:r>
          <m:r>
            <m:rPr>
              <m:sty m:val="p"/>
            </m:rPr>
            <m:t>(</m:t>
          </m:r>
          <m:sSup>
            <m:e>
              <m:r>
                <m:rPr>
                  <m:sty m:val="b"/>
                </m:rPr>
                <m:t>e</m:t>
              </m:r>
            </m:e>
            <m:sup>
              <m:r>
                <m:rPr>
                  <m:sty m:val="p"/>
                </m:rPr>
                <m:t>(</m:t>
              </m:r>
              <m:r>
                <m:t>1</m:t>
              </m:r>
              <m:r>
                <m:rPr>
                  <m:sty m:val="p"/>
                </m:rPr>
                <m:t>)</m:t>
              </m:r>
            </m:sup>
          </m:sSup>
          <m:r>
            <m:rPr>
              <m:sty m:val="p"/>
            </m:rPr>
            <m:t>,</m:t>
          </m:r>
          <m:r>
            <m:rPr>
              <m:sty m:val="p"/>
            </m:rPr>
            <m:t>…</m:t>
          </m:r>
          <m:r>
            <m:rPr>
              <m:sty m:val="p"/>
            </m:rPr>
            <m:t>,</m:t>
          </m:r>
          <m:sSup>
            <m:e>
              <m:r>
                <m:rPr>
                  <m:sty m:val="b"/>
                </m:rPr>
                <m:t>e</m:t>
              </m:r>
            </m:e>
            <m:sup>
              <m:r>
                <m:rPr>
                  <m:sty m:val="p"/>
                </m:rPr>
                <m:t>(</m:t>
              </m:r>
              <m:r>
                <m:t>d</m:t>
              </m:r>
              <m:r>
                <m:rPr>
                  <m:sty m:val="p"/>
                </m:rPr>
                <m:t>)</m:t>
              </m:r>
            </m:sup>
          </m:sSup>
          <m:r>
            <m:rPr>
              <m:sty m:val="p"/>
            </m:rPr>
            <m:t>)</m:t>
          </m:r>
          <m:r>
            <m:rPr>
              <m:sty m:val="p"/>
            </m:rPr>
            <m:t>)</m:t>
          </m:r>
          <m:r>
            <m:rPr>
              <m:sty m:val="p"/>
            </m:rPr>
            <m:t>+</m:t>
          </m:r>
          <m:sSub>
            <m:e>
              <m:r>
                <m:rPr>
                  <m:sty m:val="b"/>
                </m:rPr>
                <m:t>P</m:t>
              </m:r>
            </m:e>
            <m:sub>
              <m:r>
                <m:rPr>
                  <m:nor/>
                  <m:sty m:val="p"/>
                </m:rPr>
                <m:t>pos</m:t>
              </m:r>
            </m:sub>
          </m:sSub>
        </m:oMath>
      </m:oMathPara>
    </w:p>
    <w:p>
      <w:pPr>
        <w:pStyle w:val="FirstParagraph"/>
      </w:pPr>
      <w:r>
        <w:t xml:space="preserve">This allows the Transformer to attend to "patient A" vs "patient B" distinctively within the context window.</w:t>
      </w:r>
    </w:p>
    <w:bookmarkEnd w:id="81"/>
    <w:bookmarkStart w:id="82" w:name="ensemble-construction-and-inference"/>
    <w:p>
      <w:pPr>
        <w:pStyle w:val="3"/>
      </w:pPr>
      <w:r>
        <w:t xml:space="preserve">Ensemble Construction and Inference</w:t>
      </w:r>
    </w:p>
    <w:p>
      <w:pPr>
        <w:pStyle w:val="FirstParagraph"/>
      </w:pPr>
      <w:r>
        <w:t xml:space="preserve">The final prediction is an average over 32 diverse forward passes. Let</w:t>
      </w:r>
      <w:r>
        <w:t xml:space="preserve"> </w:t>
      </w:r>
      <m:oMath>
        <m:r>
          <m:rPr>
            <m:scr m:val="script"/>
            <m:sty m:val="p"/>
          </m:rPr>
          <m:t>B</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be the set of preprocessing functions and</w:t>
      </w:r>
      <w:r>
        <w:t xml:space="preserve"> </w:t>
      </w:r>
      <m:oMath>
        <m:r>
          <m:rPr>
            <m:scr m:val="script"/>
            <m:sty m:val="p"/>
          </m:rPr>
          <m:t>S</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be a set of random seeds that control the subsampling of the context set (the "support set" of labeled examples). The ensemble probability estimate is:</w:t>
      </w:r>
    </w:p>
    <w:p>
      <w:pPr>
        <w:pStyle w:val="a0"/>
      </w:pPr>
      <m:oMathPara>
        <m:oMathParaPr>
          <m:jc m:val="center"/>
        </m:oMathParaPr>
        <m:oMath>
          <m:acc>
            <m:accPr>
              <m:chr m:val="̂"/>
            </m:accPr>
            <m:e>
              <m:r>
                <m:t>P</m:t>
              </m:r>
            </m:e>
          </m:acc>
          <m:r>
            <m:rPr>
              <m:sty m:val="p"/>
            </m:rPr>
            <m:t>(</m:t>
          </m:r>
          <m:r>
            <m:t>y</m:t>
          </m:r>
          <m:r>
            <m:rPr>
              <m:sty m:val="p"/>
            </m:rPr>
            <m:t>=</m:t>
          </m:r>
          <m:r>
            <m:t>1</m:t>
          </m:r>
          <m:r>
            <m:rPr>
              <m:sty m:val="p"/>
            </m:rPr>
            <m:t>|</m:t>
          </m:r>
          <m:sSub>
            <m:e>
              <m:r>
                <m:rPr>
                  <m:sty m:val="b"/>
                </m:rPr>
                <m:t>x</m:t>
              </m:r>
            </m:e>
            <m:sub>
              <m:r>
                <m:t>q</m:t>
              </m:r>
            </m:sub>
          </m:sSub>
          <m:r>
            <m:rPr>
              <m:sty m:val="p"/>
            </m:rPr>
            <m:t>)</m:t>
          </m:r>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B</m:t>
              </m:r>
            </m:sub>
            <m:sup>
              <m:r>
                <m:t>​</m:t>
              </m:r>
            </m:sup>
            <m:e>
              <m:nary>
                <m:naryPr>
                  <m:chr m:val="∑"/>
                  <m:limLoc m:val="undOvr"/>
                  <m:subHide m:val="off"/>
                  <m:supHide m:val="on"/>
                </m:naryPr>
                <m:sub>
                  <m:r>
                    <m:t>s</m:t>
                  </m:r>
                  <m:r>
                    <m:rPr>
                      <m:sty m:val="p"/>
                    </m:rPr>
                    <m:t>∈</m:t>
                  </m:r>
                  <m:r>
                    <m:rPr>
                      <m:scr m:val="script"/>
                      <m:sty m:val="p"/>
                    </m:rPr>
                    <m:t>S</m:t>
                  </m:r>
                </m:sub>
                <m:sup>
                  <m:r>
                    <m:t>​</m:t>
                  </m:r>
                </m:sup>
                <m:e>
                  <m:r>
                    <m:t>σ</m:t>
                  </m:r>
                </m:e>
              </m:nary>
            </m:e>
          </m:nary>
          <m:d>
            <m:dPr>
              <m:begChr m:val="("/>
              <m:sepChr m:val=""/>
              <m:endChr m:val=")"/>
              <m:grow/>
            </m:dPr>
            <m:e>
              <m:f>
                <m:fPr>
                  <m:type m:val="bar"/>
                </m:fPr>
                <m:num>
                  <m:sSub>
                    <m:e>
                      <m:r>
                        <m:t>f</m:t>
                      </m:r>
                    </m:e>
                    <m:sub>
                      <m:r>
                        <m:t>θ</m:t>
                      </m:r>
                    </m:sub>
                  </m:sSub>
                  <m:r>
                    <m:rPr>
                      <m:sty m:val="p"/>
                    </m:rPr>
                    <m:t>(</m:t>
                  </m:r>
                  <m:r>
                    <m:t>P</m:t>
                  </m:r>
                  <m:r>
                    <m:rPr>
                      <m:sty m:val="p"/>
                    </m:rPr>
                    <m:t>(</m:t>
                  </m:r>
                  <m:sSub>
                    <m:e>
                      <m:r>
                        <m:rPr>
                          <m:sty m:val="b"/>
                        </m:rPr>
                        <m:t>x</m:t>
                      </m:r>
                    </m:e>
                    <m:sub>
                      <m:r>
                        <m:t>q</m:t>
                      </m:r>
                    </m:sub>
                  </m:sSub>
                  <m:r>
                    <m:rPr>
                      <m:sty m:val="p"/>
                    </m:rPr>
                    <m:t>)</m:t>
                  </m:r>
                  <m:r>
                    <m:rPr>
                      <m:sty m:val="p"/>
                    </m:rPr>
                    <m:t>∣</m:t>
                  </m:r>
                  <m:r>
                    <m:t>P</m:t>
                  </m:r>
                  <m:r>
                    <m:rPr>
                      <m:sty m:val="p"/>
                    </m:rPr>
                    <m:t>(</m:t>
                  </m:r>
                  <m:sSubSup>
                    <m:e>
                      <m:r>
                        <m:rPr>
                          <m:sty m:val="b"/>
                        </m:rPr>
                        <m:t>X</m:t>
                      </m:r>
                    </m:e>
                    <m:sub>
                      <m:r>
                        <m:rPr>
                          <m:nor/>
                          <m:sty m:val="p"/>
                        </m:rPr>
                        <m:t>ctx</m:t>
                      </m:r>
                    </m:sub>
                    <m:sup>
                      <m:r>
                        <m:t>s</m:t>
                      </m:r>
                    </m:sup>
                  </m:sSubSup>
                  <m:r>
                    <m:rPr>
                      <m:sty m:val="p"/>
                    </m:rPr>
                    <m:t>)</m:t>
                  </m:r>
                  <m:r>
                    <m:rPr>
                      <m:sty m:val="p"/>
                    </m:rPr>
                    <m:t>)</m:t>
                  </m:r>
                </m:num>
                <m:den>
                  <m:r>
                    <m:t>T</m:t>
                  </m:r>
                </m:den>
              </m:f>
            </m:e>
          </m:d>
        </m:oMath>
      </m:oMathPara>
    </w:p>
    <w:p>
      <w:pPr>
        <w:pStyle w:val="FirstParagraph"/>
      </w:pPr>
      <w:r>
        <w:t xml:space="preserve">where:</w:t>
      </w:r>
    </w:p>
    <w:p>
      <w:pPr>
        <w:numPr>
          <w:ilvl w:val="0"/>
          <w:numId w:val="1014"/>
        </w:numPr>
      </w:pPr>
      <m:oMath>
        <m:sSub>
          <m:e>
            <m:r>
              <m:rPr>
                <m:sty m:val="b"/>
              </m:rPr>
              <m:t>x</m:t>
            </m:r>
          </m:e>
          <m:sub>
            <m:r>
              <m:t>q</m:t>
            </m:r>
          </m:sub>
        </m:sSub>
      </m:oMath>
      <w:r>
        <w:t xml:space="preserve"> </w:t>
      </w:r>
      <w:r>
        <w:t xml:space="preserve">is the target query (patient).</w:t>
      </w:r>
    </w:p>
    <w:p>
      <w:pPr>
        <w:numPr>
          <w:ilvl w:val="0"/>
          <w:numId w:val="1014"/>
        </w:numPr>
      </w:pPr>
      <m:oMath>
        <m:sSubSup>
          <m:e>
            <m:r>
              <m:rPr>
                <m:sty m:val="b"/>
              </m:rPr>
              <m:t>X</m:t>
            </m:r>
          </m:e>
          <m:sub>
            <m:r>
              <m:rPr>
                <m:nor/>
                <m:sty m:val="p"/>
              </m:rPr>
              <m:t>ctx</m:t>
            </m:r>
          </m:sub>
          <m:sup>
            <m:r>
              <m:t>s</m:t>
            </m:r>
          </m:sup>
        </m:sSubSup>
      </m:oMath>
      <w:r>
        <w:t xml:space="preserve"> </w:t>
      </w:r>
      <w:r>
        <w:t xml:space="preserve">is the subset of training data selected by seed</w:t>
      </w:r>
      <w:r>
        <w:t xml:space="preserve"> </w:t>
      </w:r>
      <m:oMath>
        <m:r>
          <m:t>s</m:t>
        </m:r>
      </m:oMath>
      <w:r>
        <w:t xml:space="preserve"> </w:t>
      </w:r>
      <w:r>
        <w:t xml:space="preserve">(typically 1024 samples).</w:t>
      </w:r>
    </w:p>
    <w:p>
      <w:pPr>
        <w:numPr>
          <w:ilvl w:val="0"/>
          <w:numId w:val="1014"/>
        </w:numPr>
      </w:pPr>
      <m:oMath>
        <m:sSub>
          <m:e>
            <m:r>
              <m:t>f</m:t>
            </m:r>
          </m:e>
          <m:sub>
            <m:r>
              <m:t>θ</m:t>
            </m:r>
          </m:sub>
        </m:sSub>
      </m:oMath>
      <w:r>
        <w:t xml:space="preserve"> </w:t>
      </w:r>
      <w:r>
        <w:t xml:space="preserve">is the frozen TabPFN Transformer backbone.</w:t>
      </w:r>
    </w:p>
    <w:p>
      <w:pPr>
        <w:numPr>
          <w:ilvl w:val="0"/>
          <w:numId w:val="1014"/>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hyperlink w:anchor="alg:tabpfn_inference">
        <w:r>
          <w:rPr>
            <w:rStyle w:val="af"/>
          </w:rPr>
          <w:t xml:space="preserve">[alg:tabpfn_inference]</w:t>
        </w:r>
      </w:hyperlink>
      <w:r>
        <w:t xml:space="preserve"> </w:t>
      </w:r>
      <w:r>
        <w:t xml:space="preserve">summarizes the inference pass.</w:t>
      </w:r>
    </w:p>
    <w:p>
      <w:pPr>
        <w:pStyle w:val="a0"/>
      </w:pPr>
      <w:r>
        <w:t xml:space="preserve">Query</w:t>
      </w:r>
      <w:r>
        <w:t xml:space="preserve"> </w:t>
      </w:r>
      <m:oMath>
        <m:sSub>
          <m:e>
            <m:r>
              <m:rPr>
                <m:sty m:val="b"/>
              </m:rPr>
              <m:t>x</m:t>
            </m:r>
          </m:e>
          <m:sub>
            <m:r>
              <m:t>q</m:t>
            </m:r>
          </m:sub>
        </m:sSub>
      </m:oMath>
      <w:r>
        <w:t xml:space="preserve">, Context</w:t>
      </w:r>
      <w:r>
        <w:t xml:space="preserve"> </w:t>
      </w:r>
      <m:oMath>
        <m:sSub>
          <m:e>
            <m:r>
              <m:rPr>
                <m:scr m:val="script"/>
                <m:sty m:val="p"/>
              </m:rPr>
              <m:t>D</m:t>
            </m:r>
          </m:e>
          <m:sub>
            <m:r>
              <m:rPr>
                <m:nor/>
                <m:sty m:val="p"/>
              </m:rPr>
              <m:t>train</m:t>
            </m:r>
          </m:sub>
        </m:sSub>
      </m:oMath>
      <w:r>
        <w:t xml:space="preserve">, Ensemble</w:t>
      </w:r>
      <w:r>
        <w:t xml:space="preserve"> </w:t>
      </w:r>
      <m:oMath>
        <m:r>
          <m:t>N</m:t>
        </m:r>
        <m:r>
          <m:rPr>
            <m:sty m:val="p"/>
          </m:rPr>
          <m:t>=</m:t>
        </m:r>
        <m:r>
          <m:t>32</m:t>
        </m:r>
      </m:oMath>
      <w:r>
        <w:t xml:space="preserve"> </w:t>
      </w:r>
      <w:r>
        <w:t xml:space="preserve">Malignancy Probability</w:t>
      </w:r>
      <w:r>
        <w:t xml:space="preserve"> </w:t>
      </w:r>
      <m:oMath>
        <m:acc>
          <m:accPr>
            <m:chr m:val="̂"/>
          </m:accPr>
          <m:e>
            <m:r>
              <m:t>y</m:t>
            </m:r>
          </m:e>
        </m:acc>
      </m:oMath>
      <w:r>
        <w:t xml:space="preserve"> </w:t>
      </w:r>
      <m:oMath>
        <m:r>
          <m:rPr>
            <m:nor/>
            <m:sty m:val="p"/>
          </m:rPr>
          <m:t>Logits</m:t>
        </m:r>
        <m:r>
          <m:rPr>
            <m:sty m:val="p"/>
          </m:rPr>
          <m:t>←</m:t>
        </m:r>
        <m:r>
          <m:rPr>
            <m:sty m:val="p"/>
          </m:rPr>
          <m:t>[</m:t>
        </m:r>
        <m:r>
          <m:rPr>
            <m:sty m:val="p"/>
          </m:rPr>
          <m:t>]</m:t>
        </m:r>
      </m:oMath>
      <w:r>
        <w:t xml:space="preserve"> </w:t>
      </w:r>
      <w:r>
        <w:t xml:space="preserve">Sample preprocessing</w:t>
      </w:r>
      <w:r>
        <w:t xml:space="preserve"> </w:t>
      </w:r>
      <m:oMath>
        <m:r>
          <m:t>P</m:t>
        </m:r>
        <m:r>
          <m:rPr>
            <m:sty m:val="p"/>
          </m:rPr>
          <m:t>∼</m:t>
        </m:r>
        <m:r>
          <m:rPr>
            <m:scr m:val="script"/>
            <m:sty m:val="p"/>
          </m:rPr>
          <m:t>B</m:t>
        </m:r>
      </m:oMath>
      <w:r>
        <w:t xml:space="preserve"> </w:t>
      </w:r>
      <w:r>
        <w:t xml:space="preserve">and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 </w:t>
      </w:r>
      <m:oMath>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t>P</m:t>
        </m:r>
        <m:r>
          <m:rPr>
            <m:sty m:val="p"/>
          </m:rPr>
          <m:t>(</m:t>
        </m:r>
        <m:sSub>
          <m:e>
            <m:r>
              <m:rPr>
                <m:sty m:val="b"/>
              </m:rP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 </w:t>
      </w:r>
      <m:oMath>
        <m:r>
          <m:rPr>
            <m:sty m:val="b"/>
          </m:rPr>
          <m:t>z</m:t>
        </m:r>
        <m:r>
          <m:rPr>
            <m:sty m:val="p"/>
          </m:rPr>
          <m:t>←</m:t>
        </m:r>
        <m:r>
          <m:rPr>
            <m:nor/>
            <m:sty m:val="p"/>
          </m:rPr>
          <m:t>Transformer</m:t>
        </m:r>
        <m:r>
          <m:rPr>
            <m:sty m:val="p"/>
          </m:rPr>
          <m:t>(</m:t>
        </m:r>
        <m:r>
          <m:rPr>
            <m:sty m:val="b"/>
          </m:rPr>
          <m:t>E</m:t>
        </m:r>
        <m:r>
          <m:rPr>
            <m:sty m:val="p"/>
          </m:rPr>
          <m:t>)</m:t>
        </m:r>
      </m:oMath>
      <w:r>
        <w:t xml:space="preserve"> </w:t>
      </w:r>
      <m:oMath>
        <m:sSub>
          <m:e>
            <m:r>
              <m:t>l</m:t>
            </m:r>
          </m:e>
          <m:sub>
            <m:r>
              <m:t>i</m:t>
            </m:r>
          </m:sub>
        </m:sSub>
        <m:r>
          <m:rPr>
            <m:sty m:val="p"/>
          </m:rPr>
          <m:t>←</m:t>
        </m:r>
        <m:r>
          <m:rPr>
            <m:nor/>
            <m:sty m:val="p"/>
          </m:rPr>
          <m:t>ClassifierHead</m:t>
        </m:r>
        <m:r>
          <m:rPr>
            <m:sty m:val="p"/>
          </m:rPr>
          <m:t>(</m:t>
        </m:r>
        <m:r>
          <m:rPr>
            <m:sty m:val="b"/>
          </m:rPr>
          <m:t>z</m:t>
        </m:r>
        <m:r>
          <m:rPr>
            <m:sty m:val="p"/>
          </m:rPr>
          <m:t>)</m:t>
        </m:r>
      </m:oMath>
      <w:r>
        <w:t xml:space="preserve"> </w:t>
      </w:r>
      <m:oMath>
        <m:r>
          <m:rPr>
            <m:nor/>
            <m:sty m:val="p"/>
          </m:rPr>
          <m:t>Logits</m:t>
        </m:r>
        <m:r>
          <m:rPr>
            <m:sty m:val="p"/>
          </m:rPr>
          <m:t>.</m:t>
        </m:r>
        <m:r>
          <m:rPr>
            <m:nor/>
            <m:sty m:val="p"/>
          </m:rPr>
          <m:t>append</m:t>
        </m:r>
        <m:r>
          <m:rPr>
            <m:sty m:val="p"/>
          </m:rPr>
          <m:t>(</m:t>
        </m:r>
        <m:sSub>
          <m:e>
            <m:r>
              <m:t>l</m:t>
            </m:r>
          </m:e>
          <m:sub>
            <m:r>
              <m:t>i</m:t>
            </m:r>
          </m:sub>
        </m:sSub>
        <m:r>
          <m:rPr>
            <m:sty m:val="p"/>
          </m:rPr>
          <m:t>)</m:t>
        </m:r>
      </m:oMath>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 </w:t>
      </w:r>
      <m:oMath>
        <m:acc>
          <m:accPr>
            <m:chr m:val="̂"/>
          </m:accPr>
          <m:e>
            <m:r>
              <m:t>y</m:t>
            </m:r>
          </m:e>
        </m:acc>
      </m:oMath>
    </w:p>
    <w:bookmarkEnd w:id="82"/>
    <w:bookmarkStart w:id="87" w:name="subsubsec:tca_implementation"/>
    <w:p>
      <w:pPr>
        <w:pStyle w:val="3"/>
      </w:pPr>
      <w:r>
        <w:t xml:space="preserve">Transfer Component Analysis (TCA)</w:t>
      </w:r>
    </w:p>
    <w:p>
      <w:pPr>
        <w:pStyle w:val="FirstParagraph"/>
      </w:pPr>
      <w:r>
        <w:t xml:space="preserve">TCA is applied to the RFE-selected feature space to align the marginal distributions of the source and target domains. We implement this alignment via the</w:t>
      </w:r>
      <w:r>
        <w:t xml:space="preserve"> </w:t>
      </w:r>
      <w:r>
        <w:rPr>
          <w:rStyle w:val="VerbatimChar"/>
        </w:rPr>
        <w:t xml:space="preserve">adapt.feature_based.TCA</w:t>
      </w:r>
      <w:r>
        <w:t xml:space="preserve"> </w:t>
      </w:r>
      <w:r>
        <w:t xml:space="preserve">module (specifically</w:t>
      </w:r>
      <w:r>
        <w:t xml:space="preserve"> </w:t>
      </w:r>
      <w:r>
        <w:rPr>
          <w:rStyle w:val="VerbatimChar"/>
        </w:rPr>
        <w:t xml:space="preserve">adapt/adapt/feature_based/_tca.py</w:t>
      </w:r>
      <w:r>
        <w:t xml:space="preserve">), which wraps the optimization problem into a scikit-learn compatible estimator.</w:t>
      </w:r>
    </w:p>
    <w:bookmarkStart w:id="83" w:name="mathematical-formulation"/>
    <w:p>
      <w:pPr>
        <w:pStyle w:val="4"/>
      </w:pPr>
      <w:r>
        <w:t xml:space="preserve">Mathematical Formulation</w:t>
      </w:r>
    </w:p>
    <w:p>
      <w:pPr>
        <w:pStyle w:val="FirstParagraph"/>
      </w:pPr>
      <w:r>
        <w:t xml:space="preserve">The core optimization problem seeks a projection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rPr>
            <m:sty m:val="b"/>
          </m:rPr>
          <m:t>K</m:t>
        </m:r>
      </m:oMath>
      <w:r>
        <w:t xml:space="preserve"> </w:t>
      </w:r>
      <w:r>
        <w:t xml:space="preserve">to a low-dimensional latent space. The objective is to minimize the Maximum Mean Discrepancy (MMD) between domains while preserving the data variance</w:t>
      </w:r>
      <w:r>
        <w:t xml:space="preserve"> </w:t>
      </w:r>
      <w:r>
        <w:t xml:space="preserve">[</w:t>
      </w:r>
      <w:hyperlink w:anchor="ref-de2021adapt">
        <w:r>
          <w:rPr>
            <w:rStyle w:val="af"/>
          </w:rPr>
          <w:t xml:space="preserve">87</w:t>
        </w:r>
      </w:hyperlink>
      <w:r>
        <w:t xml:space="preserve">,</w:t>
      </w:r>
      <w:hyperlink w:anchor="ref-noauthor_welcome_nodate">
        <w:r>
          <w:rPr>
            <w:rStyle w:val="af"/>
          </w:rPr>
          <w:t xml:space="preserve">88</w:t>
        </w:r>
      </w:hyperlink>
      <w:r>
        <w:t xml:space="preserve">]</w:t>
      </w:r>
      <w:r>
        <w:t xml:space="preserve">.</w:t>
      </w:r>
    </w:p>
    <w:p>
      <w:pPr>
        <w:pStyle w:val="a0"/>
      </w:pPr>
      <w:r>
        <w:t xml:space="preserve">The kernel matrix</w:t>
      </w:r>
      <w:r>
        <w:t xml:space="preserve"> </w:t>
      </w: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constructed as a block matrix:</w:t>
      </w:r>
    </w:p>
    <w:p>
      <w:pPr>
        <w:pStyle w:val="a0"/>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
                      <m:e>
                        <m:r>
                          <m:rPr>
                            <m:sty m:val="b"/>
                          </m:rPr>
                          <m:t>K</m:t>
                        </m:r>
                      </m:e>
                      <m:sub>
                        <m:r>
                          <m:t>T</m:t>
                        </m:r>
                        <m:r>
                          <m:t>S</m:t>
                        </m:r>
                      </m:sub>
                    </m:sSub>
                  </m:e>
                  <m:e>
                    <m:sSub>
                      <m:e>
                        <m:r>
                          <m:rPr>
                            <m:sty m:val="b"/>
                          </m:rPr>
                          <m:t>K</m:t>
                        </m:r>
                      </m:e>
                      <m:sub>
                        <m:r>
                          <m:t>T</m:t>
                        </m:r>
                        <m:r>
                          <m:t>T</m:t>
                        </m:r>
                      </m:sub>
                    </m:sSub>
                  </m:e>
                </m:mr>
              </m:m>
            </m:e>
          </m:d>
        </m:oMath>
      </m:oMathPara>
    </w:p>
    <w:p>
      <w:pPr>
        <w:pStyle w:val="FirstParagraph"/>
      </w:pPr>
      <w:r>
        <w:t xml:space="preserve">where</w:t>
      </w:r>
      <w:r>
        <w:t xml:space="preserve"> </w:t>
      </w:r>
      <m:oMath>
        <m:sSub>
          <m:e>
            <m:r>
              <m:rPr>
                <m:sty m:val="b"/>
              </m:rPr>
              <m:t>K</m:t>
            </m:r>
          </m:e>
          <m:sub>
            <m:r>
              <m:t>S</m:t>
            </m:r>
            <m:r>
              <m:t>S</m:t>
            </m:r>
          </m:sub>
        </m:sSub>
        <m:r>
          <m:rPr>
            <m:sty m:val="p"/>
          </m:rPr>
          <m:t>,</m:t>
        </m:r>
        <m:sSub>
          <m:e>
            <m:r>
              <m:rPr>
                <m:sty m:val="b"/>
              </m:rPr>
              <m:t>K</m:t>
            </m:r>
          </m:e>
          <m:sub>
            <m:r>
              <m:t>T</m:t>
            </m:r>
            <m:r>
              <m:t>T</m:t>
            </m:r>
          </m:sub>
        </m:sSub>
        <m:r>
          <m:rPr>
            <m:sty m:val="p"/>
          </m:rPr>
          <m:t>,</m:t>
        </m:r>
        <m:sSub>
          <m:e>
            <m:r>
              <m:rPr>
                <m:sty m:val="b"/>
              </m:rPr>
              <m:t>K</m:t>
            </m:r>
          </m:e>
          <m:sub>
            <m:r>
              <m:t>S</m:t>
            </m:r>
            <m:r>
              <m:t>T</m:t>
            </m:r>
          </m:sub>
        </m:sSub>
      </m:oMath>
      <w:r>
        <w:t xml:space="preserve"> </w:t>
      </w:r>
      <w:r>
        <w:t xml:space="preserve">represent the kernel evaluations within source, within target, and between source-target samples, respectively.</w:t>
      </w:r>
    </w:p>
    <w:p>
      <w:pPr>
        <w:pStyle w:val="a0"/>
      </w:pPr>
      <w:r>
        <w:t xml:space="preserve">The MMD matrix</w:t>
      </w:r>
      <w:r>
        <w:t xml:space="preserve"> </w:t>
      </w:r>
      <m:oMath>
        <m:r>
          <m:rPr>
            <m:sty m:val="b"/>
          </m:rPr>
          <m:t>L</m:t>
        </m:r>
      </m:oMath>
      <w:r>
        <w:t xml:space="preserve"> </w:t>
      </w:r>
      <w:r>
        <w:t xml:space="preserve">and Centering matrix</w:t>
      </w:r>
      <w:r>
        <w:t xml:space="preserve"> </w:t>
      </w:r>
      <m:oMath>
        <m:r>
          <m:rPr>
            <m:sty m:val="b"/>
          </m:rPr>
          <m:t>H</m:t>
        </m:r>
      </m:oMath>
      <w:r>
        <w:t xml:space="preserve"> </w:t>
      </w:r>
      <w:r>
        <w:t xml:space="preserve">are defined as:</w:t>
      </w:r>
    </w:p>
    <w:p>
      <w:pPr>
        <w:pStyle w:val="a0"/>
      </w:pPr>
      <m:oMathPara>
        <m:oMathParaPr>
          <m:jc m:val="center"/>
        </m:oMathParaPr>
        <m:oMath>
          <m:sSub>
            <m:e>
              <m:r>
                <m:rPr>
                  <m:sty m:val="b"/>
                </m:rPr>
                <m:t>L</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sSub>
                          <m:e>
                            <m:r>
                              <m:t>n</m:t>
                            </m:r>
                          </m:e>
                          <m:sub>
                            <m:r>
                              <m:t>t</m:t>
                            </m:r>
                          </m:sub>
                        </m:sSub>
                      </m:den>
                    </m:f>
                  </m:e>
                  <m:e>
                    <m:r>
                      <m:rPr>
                        <m:nor/>
                        <m:sty m:val="p"/>
                      </m:rPr>
                      <m:t>otherwise</m:t>
                    </m:r>
                  </m:e>
                </m:mr>
              </m:m>
            </m:e>
          </m:d>
          <m:r>
            <m:rPr>
              <m:sty m:val="p"/>
            </m:rPr>
            <m:t>,</m:t>
          </m:r>
          <m:r>
            <m:t> </m:t>
          </m:r>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rPr>
            <m:sty m:val="b"/>
          </m:rPr>
          <m:t>W</m:t>
        </m:r>
      </m:oMath>
      <w:r>
        <w:t xml:space="preserve"> </w:t>
      </w:r>
      <w:r>
        <w:t xml:space="preserve">by addressing the generalized eigenvalue problem. Specifically, it computes:</w:t>
      </w:r>
    </w:p>
    <w:p>
      <w:pPr>
        <w:pStyle w:val="a0"/>
      </w:pPr>
      <m:oMathPara>
        <m:oMathParaPr>
          <m:jc m:val="center"/>
        </m:oMathParaPr>
        <m:oMath>
          <m:r>
            <m:rPr>
              <m:sty m:val="b"/>
            </m:rPr>
            <m:t>A</m:t>
          </m:r>
          <m:r>
            <m:rPr>
              <m:sty m:val="p"/>
            </m:rPr>
            <m:t>=</m:t>
          </m:r>
          <m:r>
            <m:rPr>
              <m:sty m:val="b"/>
            </m:rPr>
            <m:t>I</m:t>
          </m:r>
          <m:r>
            <m:rPr>
              <m:sty m:val="p"/>
            </m:rPr>
            <m:t>+</m:t>
          </m:r>
          <m:r>
            <m:t>μ</m:t>
          </m:r>
          <m:r>
            <m:rPr>
              <m:sty m:val="b"/>
            </m:rPr>
            <m:t>K</m:t>
          </m:r>
          <m:r>
            <m:rPr>
              <m:sty m:val="b"/>
            </m:rPr>
            <m:t>L</m:t>
          </m:r>
          <m:r>
            <m:rPr>
              <m:sty m:val="b"/>
            </m:rPr>
            <m:t>K</m:t>
          </m:r>
          <m:r>
            <m:rPr>
              <m:sty m:val="p"/>
            </m:rPr>
            <m:t>,</m:t>
          </m:r>
          <m:r>
            <m:t> </m:t>
          </m:r>
          <m:r>
            <m:rPr>
              <m:sty m:val="b"/>
            </m:rPr>
            <m:t>B</m:t>
          </m:r>
          <m:r>
            <m:rPr>
              <m:sty m:val="p"/>
            </m:rPr>
            <m:t>=</m:t>
          </m:r>
          <m:r>
            <m:rPr>
              <m:sty m:val="b"/>
            </m:rPr>
            <m:t>K</m:t>
          </m:r>
          <m:r>
            <m:rPr>
              <m:sty m:val="b"/>
            </m:rPr>
            <m:t>H</m:t>
          </m:r>
          <m:r>
            <m:rPr>
              <m:sty m:val="b"/>
            </m:rP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This formulation maximizes the ratio of data variance (</w:t>
      </w:r>
      <m:oMath>
        <m:r>
          <m:rPr>
            <m:sty m:val="p"/>
          </m:rPr>
          <m:t>tr</m:t>
        </m:r>
        <m:r>
          <m:rPr>
            <m:sty m:val="p"/>
          </m:rPr>
          <m:t>(</m:t>
        </m:r>
        <m:sSup>
          <m:e>
            <m:r>
              <m:rPr>
                <m:sty m:val="b"/>
              </m:rPr>
              <m:t>W</m:t>
            </m:r>
          </m:e>
          <m:sup>
            <m:r>
              <m:rPr>
                <m:sty m:val="p"/>
              </m:rPr>
              <m:t>⊤</m:t>
            </m:r>
          </m:sup>
        </m:sSup>
        <m:r>
          <m:rPr>
            <m:sty m:val="b"/>
          </m:rPr>
          <m:t>B</m:t>
        </m:r>
        <m:r>
          <m:rPr>
            <m:sty m:val="b"/>
          </m:rPr>
          <m:t>W</m:t>
        </m:r>
        <m:r>
          <m:rPr>
            <m:sty m:val="p"/>
          </m:rPr>
          <m:t>)</m:t>
        </m:r>
      </m:oMath>
      <w:r>
        <w:t xml:space="preserve">) to the regularized domain divergence (</w:t>
      </w:r>
      <m:oMath>
        <m:r>
          <m:rPr>
            <m:sty m:val="p"/>
          </m:rPr>
          <m:t>tr</m:t>
        </m:r>
        <m:r>
          <m:rPr>
            <m:sty m:val="p"/>
          </m:rPr>
          <m:t>(</m:t>
        </m:r>
        <m:sSup>
          <m:e>
            <m:r>
              <m:rPr>
                <m:sty m:val="b"/>
              </m:rPr>
              <m:t>W</m:t>
            </m:r>
          </m:e>
          <m:sup>
            <m:r>
              <m:rPr>
                <m:sty m:val="p"/>
              </m:rPr>
              <m:t>⊤</m:t>
            </m:r>
          </m:sup>
        </m:sSup>
        <m:r>
          <m:rPr>
            <m:sty m:val="b"/>
          </m:rPr>
          <m:t>A</m:t>
        </m:r>
        <m:r>
          <m:rPr>
            <m:sty m:val="b"/>
          </m:rPr>
          <m:t>W</m:t>
        </m:r>
        <m:r>
          <m:rPr>
            <m:sty m:val="p"/>
          </m:rPr>
          <m:t>)</m:t>
        </m:r>
      </m:oMath>
      <w:r>
        <w:t xml:space="preserve">). The top</w:t>
      </w:r>
      <w:r>
        <w:t xml:space="preserve"> </w:t>
      </w:r>
      <m:oMath>
        <m:r>
          <m:t>m</m:t>
        </m:r>
      </m:oMath>
      <w:r>
        <w:t xml:space="preserve"> </w:t>
      </w:r>
      <w:r>
        <w:t xml:space="preserve">eigenvectors form the projection matrix</w:t>
      </w:r>
      <w:r>
        <w:t xml:space="preserve"> </w:t>
      </w:r>
      <m:oMath>
        <m:r>
          <m:rPr>
            <m:sty m:val="b"/>
          </m:rPr>
          <m:t>W</m:t>
        </m:r>
      </m:oMath>
      <w:r>
        <w:t xml:space="preserve">.</w:t>
      </w:r>
    </w:p>
    <w:bookmarkEnd w:id="83"/>
    <w:bookmarkStart w:id="84" w:name="data-flow-and-transformation"/>
    <w:p>
      <w:pPr>
        <w:pStyle w:val="4"/>
      </w:pP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the TabPFN latent embeddings for both source (</w:t>
      </w:r>
      <m:oMath>
        <m:sSub>
          <m:e>
            <m:r>
              <m:t>X</m:t>
            </m:r>
          </m:e>
          <m:sub>
            <m:r>
              <m:t>s</m:t>
            </m:r>
          </m:sub>
        </m:sSub>
      </m:oMath>
      <w:r>
        <w:t xml:space="preserve">) and target (</w:t>
      </w:r>
      <m:oMath>
        <m:sSub>
          <m:e>
            <m:r>
              <m:rPr>
                <m:scr m:val="script"/>
                <m:sty m:val="p"/>
              </m:rPr>
              <m:t>F</m:t>
            </m:r>
          </m:e>
          <m:sub>
            <m:r>
              <m:t>t</m:t>
            </m:r>
          </m:sub>
        </m:sSub>
      </m:oMath>
      <w:r>
        <w:t xml:space="preserve">) are concatenated. The solver computes</w:t>
      </w:r>
      <w:r>
        <w:t xml:space="preserve"> </w:t>
      </w:r>
      <m:oMath>
        <m:r>
          <m:rPr>
            <m:sty m:val="b"/>
          </m:rPr>
          <m:t>W</m:t>
        </m:r>
      </m:oMath>
      <w:r>
        <w:t xml:space="preserve"> </w:t>
      </w:r>
      <w:r>
        <w:t xml:space="preserve">using the combined kernel matrix.</w:t>
      </w:r>
      <w:r>
        <w:t xml:space="preserve"> </w:t>
      </w:r>
      <w:r>
        <w:t xml:space="preserve">For a new query sample</w:t>
      </w:r>
      <w:r>
        <w:t xml:space="preserve"> </w:t>
      </w:r>
      <m:oMath>
        <m:sSub>
          <m:e>
            <m:r>
              <m:rPr>
                <m:sty m:val="b"/>
              </m:rPr>
              <m:t>x</m:t>
            </m:r>
          </m:e>
          <m:sub>
            <m:r>
              <m:rPr>
                <m:nor/>
                <m:sty m:val="p"/>
              </m:rPr>
              <m:t>query</m:t>
            </m:r>
          </m:sub>
        </m:sSub>
      </m:oMath>
      <w:r>
        <w:t xml:space="preserve">, the transformation projects it into the shared subspace via:</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rPr>
              <m:sty m:val="b"/>
            </m:rPr>
            <m:t>W</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rPr>
                <m:sty m:val="b"/>
              </m:rPr>
              <m:t>x</m:t>
            </m:r>
          </m:e>
          <m:sub>
            <m:r>
              <m:rPr>
                <m:nor/>
                <m:sty m:val="p"/>
              </m:rPr>
              <m:t>query</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rPr>
                <m:sty m:val="b"/>
              </m:rPr>
              <m:t>x</m:t>
            </m:r>
          </m:e>
          <m:sub>
            <m:r>
              <m:rPr>
                <m:nor/>
                <m:sty m:val="p"/>
              </m:rPr>
              <m:t>query</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This allows the model to map unseen target samples into the aligned space using the learned support vectors.</w:t>
      </w:r>
    </w:p>
    <w:bookmarkEnd w:id="84"/>
    <w:bookmarkStart w:id="86" w:name="X2e89ff13f17f55b8a158bc8e71e53bee1f1c47a"/>
    <w:p>
      <w:pPr>
        <w:pStyle w:val="4"/>
      </w:pPr>
      <w:r>
        <w:t xml:space="preserve">Hyperparameter Configuration and Kernel Choice</w:t>
      </w:r>
    </w:p>
    <w:p>
      <w:pPr>
        <w:pStyle w:val="FirstParagraph"/>
      </w:pPr>
      <w:r>
        <w:t xml:space="preserve">The behavior of TCA is governed by the hyperparameters listed in Table </w:t>
      </w:r>
      <w:hyperlink w:anchor="tbl:tca_hyperparams">
        <w:r>
          <w:rPr>
            <w:rStyle w:val="af"/>
          </w:rPr>
          <w:t xml:space="preserve">9</w:t>
        </w:r>
      </w:hyperlink>
      <w:r>
        <w:t xml:space="preserve">.</w:t>
      </w:r>
    </w:p>
    <w:bookmarkStart w:id="85" w:name="tbl:tca_hyperparams"/>
    <w:p>
      <w:pPr>
        <w:pStyle w:val="TableCaption"/>
      </w:pPr>
      <w:r>
        <w:t xml:space="preserve">Table 9: TCA Hyperparameter Configuration in PANDA</w:t>
      </w:r>
    </w:p>
    <w:tbl>
      <w:tblPr>
        <w:tblStyle w:val="Table"/>
        <w:tblW w:type="auto" w:w="0"/>
        <w:tblLook w:firstRow="1" w:lastRow="0" w:firstColumn="0" w:lastColumn="0" w:noHBand="0" w:noVBand="0" w:val="0020"/>
        <w:tblCaption w:val="Table 9: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&amp;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φ</m:t>
              </m:r>
              <m:r>
                <m:rPr>
                  <m:sty m:val="p"/>
                </m:rPr>
                <m:t>(</m:t>
              </m:r>
              <m:r>
                <m:rPr>
                  <m:sty m:val="b"/>
                </m:rP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vs.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85"/>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linear</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15"/>
        </w:numPr>
      </w:pPr>
      <w:r>
        <w:rPr>
          <w:b/>
          <w:bCs/>
        </w:rPr>
        <w:t xml:space="preserve">Feature Disentanglement:</w:t>
      </w:r>
      <w:r>
        <w:t xml:space="preserve"> </w:t>
      </w:r>
      <w:r>
        <w:t xml:space="preserve">The RFE-selected features are already a robust, low-dimensional subset. A linear alignment of their first-order moments is sufficient and less prone to overfitting than the infinite-dimensional mapping of RBF.</w:t>
      </w:r>
    </w:p>
    <w:p>
      <w:pPr>
        <w:numPr>
          <w:ilvl w:val="0"/>
          <w:numId w:val="1015"/>
        </w:numPr>
      </w:pPr>
      <w:r>
        <w:rPr>
          <w:b/>
          <w:bCs/>
        </w:rPr>
        <w:t xml:space="preserve">Stability on Small Samples:</w:t>
      </w:r>
      <w:r>
        <w:t xml:space="preserve"> </w:t>
      </w:r>
      <w:r>
        <w:t xml:space="preserve">RBF kernels require tuning the bandwidth</w:t>
      </w:r>
      <w:r>
        <w:t xml:space="preserve"> </w:t>
      </w:r>
      <m:oMath>
        <m:r>
          <m:t>γ</m:t>
        </m:r>
      </m:oMath>
      <w:r>
        <w:t xml:space="preserve">, which is unstable on small cohorts (</w:t>
      </w:r>
      <m:oMath>
        <m:r>
          <m:t>N</m:t>
        </m:r>
        <m:r>
          <m:rPr>
            <m:sty m:val="p"/>
          </m:rPr>
          <m:t>≈</m:t>
        </m:r>
        <m:r>
          <m:t>300</m:t>
        </m:r>
      </m:oMath>
      <w:r>
        <w:t xml:space="preserve">). An improper</w:t>
      </w:r>
      <w:r>
        <w:t xml:space="preserve"> </w:t>
      </w:r>
      <m:oMath>
        <m:r>
          <m:t>γ</m:t>
        </m:r>
      </m:oMath>
      <w:r>
        <w:t xml:space="preserve"> </w:t>
      </w:r>
      <w:r>
        <w:t xml:space="preserve">can lead to a degenerate Gram matrix.</w:t>
      </w:r>
    </w:p>
    <w:p>
      <w:pPr>
        <w:numPr>
          <w:ilvl w:val="0"/>
          <w:numId w:val="1015"/>
        </w:numPr>
      </w:pPr>
      <w:r>
        <w:rPr>
          <w:b/>
          <w:bCs/>
        </w:rPr>
        <w:t xml:space="preserve">Negative Transfer Avoidance:</w:t>
      </w:r>
      <w:r>
        <w:t xml:space="preserve"> </w:t>
      </w:r>
      <w:r>
        <w:t xml:space="preserve">Empirical tests showed that RBF-TCA often collapsed the TabPFN classifier to the majority class due to noise amplification in the high-dimensional RBF space.</w:t>
      </w:r>
    </w:p>
    <w:p>
      <w:pPr>
        <w:pStyle w:val="FirstParagraph"/>
      </w:pPr>
      <w:r>
        <w:t xml:space="preserve">This ensures that PANDA benefits from domain alignment without succumbing to the instability often associated with kernel methods on small datasets.</w:t>
      </w:r>
    </w:p>
    <w:bookmarkEnd w:id="86"/>
    <w:bookmarkEnd w:id="87"/>
    <w:bookmarkStart w:id="88" w:name="sec:param_sensitivity"/>
    <w:p>
      <w:pPr>
        <w:pStyle w:val="3"/>
      </w:pPr>
      <w:r>
        <w:t xml:space="preserve">Parameter Sensitivity Diagnostics</w:t>
      </w:r>
    </w:p>
    <w:p>
      <w:pPr>
        <w:pStyle w:val="FirstParagraph"/>
      </w:pPr>
      <w:r>
        <w:t xml:space="preserve">To ensure the chosen defaults are numerically stable,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nor/>
            <m:sty m:val="p"/>
          </m:rPr>
          <m:t>Accuracy</m:t>
        </m:r>
      </m:oMath>
      <w:r>
        <w:t xml:space="preserve">,</w:t>
      </w:r>
      <w:r>
        <w:t xml:space="preserve"> </w:t>
      </w:r>
      <m:oMath>
        <m:r>
          <m:rPr>
            <m:nor/>
            <m:sty m:val="p"/>
          </m:rPr>
          <m:t>AUC</m:t>
        </m:r>
      </m:oMath>
      <w:r>
        <w:t xml:space="preserve">,</w:t>
      </w:r>
      <w:r>
        <w:t xml:space="preserve"> </w:t>
      </w:r>
      <m:oMath>
        <m:r>
          <m:rPr>
            <m:nor/>
            <m:sty m:val="p"/>
          </m:rPr>
          <m:t>F1 Score</m:t>
        </m:r>
      </m:oMath>
      <w:r>
        <w:t xml:space="preserve">,</w:t>
      </w:r>
      <w:r>
        <w:t xml:space="preserve"> </w:t>
      </w:r>
      <m:oMath>
        <m:r>
          <m:rPr>
            <m:nor/>
            <m:sty m:val="p"/>
          </m:rPr>
          <m:t>Precision</m:t>
        </m:r>
      </m:oMath>
      <w:r>
        <w:t xml:space="preserve">, and</w:t>
      </w:r>
      <w:r>
        <w:t xml:space="preserve"> </w:t>
      </w:r>
      <m:oMath>
        <m:r>
          <m:rPr>
            <m:nor/>
            <m:sty m:val="p"/>
          </m:rPr>
          <m:t>Recall</m:t>
        </m:r>
      </m:oMath>
      <w:r>
        <w:t xml:space="preserve"> </w:t>
      </w:r>
      <w:r>
        <w:t xml:space="preserve">and asserts that the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88"/>
    <w:bookmarkEnd w:id="89"/>
    <w:bookmarkStart w:id="95" w:name="subsec:experimental_config"/>
    <w:p>
      <w:pPr>
        <w:pStyle w:val="2"/>
      </w:pPr>
      <w:r>
        <w:t xml:space="preserve">Experimental Configuration</w:t>
      </w:r>
    </w:p>
    <w:bookmarkStart w:id="91" w:name="baseline-hyperparameters"/>
    <w:p>
      <w:pPr>
        <w:pStyle w:val="3"/>
      </w:pPr>
      <w:r>
        <w:t xml:space="preserve">Baseline Hyperparameters</w:t>
      </w:r>
    </w:p>
    <w:p>
      <w:pPr>
        <w:pStyle w:val="FirstParagraph"/>
      </w:pPr>
      <w:r>
        <w:t xml:space="preserve">To ensure fair comparison, all baseline models were tuned using grid search within the ranges specified in Table </w:t>
      </w:r>
      <w:hyperlink w:anchor="tbl:hyperparams">
        <w:r>
          <w:rPr>
            <w:rStyle w:val="af"/>
          </w:rPr>
          <w:t xml:space="preserve">10</w:t>
        </w:r>
      </w:hyperlink>
      <w:r>
        <w:t xml:space="preserve">. The</w:t>
      </w:r>
      <w:r>
        <w:t xml:space="preserve"> </w:t>
      </w:r>
      <w:r>
        <w:rPr>
          <w:rStyle w:val="VerbatimChar"/>
        </w:rPr>
        <w:t xml:space="preserve">MLBaselineModel</w:t>
      </w:r>
      <w:r>
        <w:t xml:space="preserve"> </w:t>
      </w:r>
      <w:r>
        <w:t xml:space="preserve">class in</w:t>
      </w:r>
      <w:r>
        <w:t xml:space="preserve"> </w:t>
      </w:r>
      <w:r>
        <w:rPr>
          <w:rStyle w:val="VerbatimChar"/>
        </w:rPr>
        <w:t xml:space="preserve">modeling/ml_baseline_models.py</w:t>
      </w:r>
      <w:r>
        <w:t xml:space="preserve"> </w:t>
      </w:r>
      <w:r>
        <w:t xml:space="preserve">manages these configurations.</w:t>
      </w:r>
    </w:p>
    <w:bookmarkStart w:id="90" w:name="tbl:hyperparams"/>
    <w:p>
      <w:pPr>
        <w:pStyle w:val="TableCaption"/>
      </w:pPr>
      <w:r>
        <w:t xml:space="preserve">Table 10: Hyperparameter search space for baseline models. Best parameters were selected via 5-fold CV on the source domain.</w:t>
      </w:r>
    </w:p>
    <w:tbl>
      <w:tblPr>
        <w:tblStyle w:val="Table"/>
        <w:tblW w:type="auto" w:w="0"/>
        <w:tblLook w:firstRow="1" w:lastRow="0" w:firstColumn="0" w:lastColumn="0" w:noHBand="0" w:noVBand="0" w:val="0020"/>
        <w:tblCaption w:val="Table 10: Hyperparameter search space for baseline models. Best parameters were selected via 5-fold CV on the source domain."/>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Search Space / Value</w:t>
            </w:r>
          </w:p>
        </w:tc>
      </w:tr>
      <w:tr>
        <w:tc>
          <w:tcPr>
            <w:vMerge w:val="restart"/>
          </w:tcPr>
          <w:p>
            <w:pPr>
              <w:pStyle w:val="Compact"/>
              <w:jc w:val="left"/>
            </w:pPr>
            <w:r>
              <w:t xml:space="preserve">XGBoost</w:t>
            </w:r>
          </w:p>
        </w:tc>
        <w:tc>
          <w:tcPr/>
          <w:p>
            <w:pPr>
              <w:pStyle w:val="Compact"/>
              <w:jc w:val="left"/>
            </w:pPr>
            <w:r>
              <w:t xml:space="preserve">Learning Rate</w:t>
            </w:r>
          </w:p>
        </w:tc>
        <w:tc>
          <w:tcPr/>
          <w:p>
            <w:pPr>
              <w:pStyle w:val="Compact"/>
              <w:jc w:val="left"/>
            </w:pPr>
            <w:r>
              <w:t xml:space="preserve">[0.01, 0.05, 0.1]</w:t>
            </w:r>
          </w:p>
        </w:tc>
      </w:tr>
      <w:tr>
        <w:tc>
          <w:tcPr>
            <w:gridSpan w:val="1"/>
            <w:vMerge w:val="continue"/>
          </w:tcPr>
          <w:p>
            <w:pPr/>
          </w:p>
        </w:tc>
        <w:tc>
          <w:tcPr/>
          <w:p>
            <w:pPr>
              <w:pStyle w:val="Compact"/>
              <w:jc w:val="left"/>
            </w:pPr>
            <w:r>
              <w:t xml:space="preserve">Max Depth</w:t>
            </w:r>
          </w:p>
        </w:tc>
        <w:tc>
          <w:tcPr/>
          <w:p>
            <w:pPr>
              <w:pStyle w:val="Compact"/>
              <w:jc w:val="left"/>
            </w:pPr>
            <w:r>
              <w:t xml:space="preserve">[3, 4, 5, 6]</w:t>
            </w:r>
          </w:p>
        </w:tc>
      </w:tr>
      <w:tr>
        <w:tc>
          <w:tcPr>
            <w:gridSpan w:val="1"/>
            <w:vMerge w:val="continue"/>
          </w:tcPr>
          <w:p>
            <w:pPr/>
          </w:p>
        </w:tc>
        <w:tc>
          <w:tcPr/>
          <w:p>
            <w:pPr>
              <w:pStyle w:val="Compact"/>
              <w:jc w:val="left"/>
            </w:pPr>
            <w:r>
              <w:t xml:space="preserve">N Estimators</w:t>
            </w:r>
          </w:p>
        </w:tc>
        <w:tc>
          <w:tcPr/>
          <w:p>
            <w:pPr>
              <w:pStyle w:val="Compact"/>
              <w:jc w:val="left"/>
            </w:pPr>
            <w:r>
              <w:t xml:space="preserve">[50, 100, 200]</w:t>
            </w:r>
          </w:p>
        </w:tc>
      </w:tr>
      <w:tr>
        <w:tc>
          <w:tcPr>
            <w:vMerge w:val="restart"/>
          </w:tcPr>
          <w:p>
            <w:pPr>
              <w:pStyle w:val="Compact"/>
              <w:jc w:val="left"/>
            </w:pPr>
            <w:r>
              <w:t xml:space="preserve">Random Forest</w:t>
            </w:r>
          </w:p>
        </w:tc>
        <w:tc>
          <w:tcPr/>
          <w:p>
            <w:pPr>
              <w:pStyle w:val="Compact"/>
              <w:jc w:val="left"/>
            </w:pPr>
            <w:r>
              <w:t xml:space="preserve">N Estimators</w:t>
            </w:r>
          </w:p>
        </w:tc>
        <w:tc>
          <w:tcPr/>
          <w:p>
            <w:pPr>
              <w:pStyle w:val="Compact"/>
              <w:jc w:val="left"/>
            </w:pPr>
            <w:r>
              <w:t xml:space="preserve">[100, 200, 500]</w:t>
            </w:r>
          </w:p>
        </w:tc>
      </w:tr>
      <w:tr>
        <w:tc>
          <w:tcPr>
            <w:gridSpan w:val="1"/>
            <w:vMerge w:val="continue"/>
          </w:tcPr>
          <w:p>
            <w:pPr/>
          </w:p>
        </w:tc>
        <w:tc>
          <w:tcPr/>
          <w:p>
            <w:pPr>
              <w:pStyle w:val="Compact"/>
              <w:jc w:val="left"/>
            </w:pPr>
            <w:r>
              <w:t xml:space="preserve">Max Features</w:t>
            </w:r>
          </w:p>
        </w:tc>
        <w:tc>
          <w:tcPr/>
          <w:p>
            <w:pPr>
              <w:pStyle w:val="Compact"/>
              <w:jc w:val="left"/>
            </w:pPr>
            <w:r>
              <w:t xml:space="preserve">[’sqrt’, ’log2’]</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C (Regularization)</w:t>
            </w:r>
          </w:p>
        </w:tc>
        <w:tc>
          <w:tcPr/>
          <w:p>
            <w:pPr>
              <w:pStyle w:val="Compact"/>
              <w:jc w:val="left"/>
            </w:pPr>
            <w:r>
              <w:t xml:space="preserve">[0.1, 1, 10, 100]</w:t>
            </w:r>
          </w:p>
        </w:tc>
      </w:tr>
      <w:tr>
        <w:tc>
          <w:tcPr>
            <w:gridSpan w:val="1"/>
            <w:vMerge w:val="continue"/>
          </w:tcPr>
          <w:p>
            <w:pPr/>
          </w:p>
        </w:tc>
        <w:tc>
          <w:tcPr/>
          <w:p>
            <w:pPr>
              <w:pStyle w:val="Compact"/>
              <w:jc w:val="left"/>
            </w:pPr>
            <w:r>
              <w:t xml:space="preserve">Kernel</w:t>
            </w:r>
          </w:p>
        </w:tc>
        <w:tc>
          <w:tcPr/>
          <w:p>
            <w:pPr>
              <w:pStyle w:val="Compact"/>
              <w:jc w:val="left"/>
            </w:pPr>
            <w:r>
              <w:t xml:space="preserve">[’rbf’, ’linear’]</w:t>
            </w:r>
          </w:p>
        </w:tc>
      </w:tr>
      <w:tr>
        <w:tc>
          <w:tcPr/>
          <w:p>
            <w:pPr>
              <w:pStyle w:val="Compact"/>
              <w:jc w:val="left"/>
            </w:pPr>
            <w:r>
              <w:t xml:space="preserve">Logistic Regression</w:t>
            </w:r>
          </w:p>
        </w:tc>
        <w:tc>
          <w:tcPr/>
          <w:p>
            <w:pPr>
              <w:pStyle w:val="Compact"/>
              <w:jc w:val="left"/>
            </w:pPr>
            <w:r>
              <w:t xml:space="preserve">Penalty</w:t>
            </w:r>
          </w:p>
        </w:tc>
        <w:tc>
          <w:tcPr/>
          <w:p>
            <w:pPr>
              <w:pStyle w:val="Compact"/>
              <w:jc w:val="left"/>
            </w:pPr>
            <w:r>
              <w:t xml:space="preserve">[’l1’, ’l2’, ’elasticnet’]</w:t>
            </w:r>
          </w:p>
        </w:tc>
      </w:tr>
    </w:tbl>
    <w:bookmarkEnd w:id="90"/>
    <w:bookmarkEnd w:id="91"/>
    <w:bookmarkStart w:id="92" w:name="clinical-scoring-models"/>
    <w:p>
      <w:pPr>
        <w:pStyle w:val="3"/>
      </w:pPr>
      <w:r>
        <w:t xml:space="preserve">Clinical Scoring Models</w:t>
      </w:r>
    </w:p>
    <w:p>
      <w:pPr>
        <w:pStyle w:val="FirstParagraph"/>
      </w:pPr>
      <w:r>
        <w:t xml:space="preserve">We implemented three established clinical calculators for pulmonary nodule malignancy:</w:t>
      </w:r>
    </w:p>
    <w:p>
      <w:pPr>
        <w:numPr>
          <w:ilvl w:val="0"/>
          <w:numId w:val="1016"/>
        </w:numPr>
      </w:pPr>
      <w:r>
        <w:rPr>
          <w:b/>
          <w:bCs/>
        </w:rPr>
        <w:t xml:space="preserve">Mayo Model</w:t>
      </w:r>
      <w:r>
        <w:t xml:space="preserve">:</w:t>
      </w:r>
      <w:r>
        <w:t xml:space="preserve"> </w:t>
      </w:r>
      <m:oMath>
        <m:r>
          <m:rPr>
            <m:nor/>
            <m:sty m:val="p"/>
          </m:rPr>
          <m:t>Probability</m:t>
        </m:r>
        <m:r>
          <m:rPr>
            <m:sty m:val="p"/>
          </m:rPr>
          <m:t>=</m:t>
        </m:r>
        <m:r>
          <m:t>σ</m:t>
        </m:r>
        <m:r>
          <m:rPr>
            <m:sty m:val="p"/>
          </m:rPr>
          <m:t>(</m:t>
        </m:r>
        <m:r>
          <m:rPr>
            <m:sty m:val="p"/>
          </m:rPr>
          <m:t>−</m:t>
        </m:r>
        <m:r>
          <m:t>6.8</m:t>
        </m:r>
        <m:r>
          <m:rPr>
            <m:sty m:val="p"/>
          </m:rPr>
          <m:t>+</m:t>
        </m:r>
        <m:r>
          <m:t>0.039</m:t>
        </m:r>
        <m:r>
          <m:rPr>
            <m:sty m:val="p"/>
          </m:rPr>
          <m:t>⋅</m:t>
        </m:r>
        <m:r>
          <m:rPr>
            <m:nor/>
            <m:sty m:val="p"/>
          </m:rPr>
          <m:t>Age</m:t>
        </m:r>
        <m:r>
          <m:rPr>
            <m:sty m:val="p"/>
          </m:rPr>
          <m:t>+</m:t>
        </m:r>
        <m:r>
          <m:t>0.79</m:t>
        </m:r>
        <m:r>
          <m:rPr>
            <m:sty m:val="p"/>
          </m:rPr>
          <m:t>⋅</m:t>
        </m:r>
        <m:r>
          <m:rPr>
            <m:nor/>
            <m:sty m:val="p"/>
          </m:rPr>
          <m:t>Smoker</m:t>
        </m:r>
        <m:r>
          <m:rPr>
            <m:sty m:val="p"/>
          </m:rPr>
          <m:t>+</m:t>
        </m:r>
        <m:r>
          <m:t>1.33</m:t>
        </m:r>
        <m:r>
          <m:rPr>
            <m:sty m:val="p"/>
          </m:rPr>
          <m:t>⋅</m:t>
        </m:r>
        <m:r>
          <m:rPr>
            <m:nor/>
            <m:sty m:val="p"/>
          </m:rPr>
          <m:t>CancerHx</m:t>
        </m:r>
        <m:r>
          <m:rPr>
            <m:sty m:val="p"/>
          </m:rPr>
          <m:t>+</m:t>
        </m:r>
        <m:r>
          <m:rPr>
            <m:sty m:val="p"/>
          </m:rPr>
          <m:t>…</m:t>
        </m:r>
        <m:r>
          <m:rPr>
            <m:sty m:val="p"/>
          </m:rPr>
          <m:t>)</m:t>
        </m:r>
      </m:oMath>
    </w:p>
    <w:p>
      <w:pPr>
        <w:numPr>
          <w:ilvl w:val="0"/>
          <w:numId w:val="1016"/>
        </w:numPr>
      </w:pPr>
      <w:r>
        <w:rPr>
          <w:b/>
          <w:bCs/>
        </w:rPr>
        <w:t xml:space="preserve">Brock (PanCan) Model</w:t>
      </w:r>
      <w:r>
        <w:t xml:space="preserve">: Includes spiculation and nodule count.</w:t>
      </w:r>
    </w:p>
    <w:p>
      <w:pPr>
        <w:numPr>
          <w:ilvl w:val="0"/>
          <w:numId w:val="1016"/>
        </w:numPr>
      </w:pPr>
      <w:r>
        <w:rPr>
          <w:b/>
          <w:bCs/>
        </w:rPr>
        <w:t xml:space="preserve">PKUPH Model</w:t>
      </w:r>
      <w:r>
        <w:t xml:space="preserve">: A regression model specifically developed for Chinese populations</w:t>
      </w:r>
      <w:r>
        <w:t xml:space="preserve"> </w:t>
      </w:r>
      <w:r>
        <w:t xml:space="preserve">[</w:t>
      </w:r>
      <w:hyperlink w:anchor="ref-perandini_solid_2016">
        <w:r>
          <w:rPr>
            <w:rStyle w:val="af"/>
          </w:rPr>
          <w:t xml:space="preserve">83</w:t>
        </w:r>
      </w:hyperlink>
      <w:r>
        <w:t xml:space="preserve">]</w:t>
      </w:r>
      <w:r>
        <w:t xml:space="preserve">.</w:t>
      </w:r>
    </w:p>
    <w:p>
      <w:pPr>
        <w:pStyle w:val="FirstParagraph"/>
      </w:pPr>
      <w:r>
        <w:t xml:space="preserve">These models are applied using their published coefficients without re-training, representing the standard of care.</w:t>
      </w:r>
    </w:p>
    <w:bookmarkEnd w:id="92"/>
    <w:bookmarkStart w:id="94" w:name="computational-framework"/>
    <w:p>
      <w:pPr>
        <w:pStyle w:val="3"/>
      </w:pPr>
      <w:r>
        <w:t xml:space="preserve">Computational Framework</w:t>
      </w:r>
    </w:p>
    <w:p>
      <w:pPr>
        <w:pStyle w:val="FirstParagraph"/>
      </w:pPr>
      <w:r>
        <w:t xml:space="preserve">All experiments were conducted on a workstation equipped with:</w:t>
      </w:r>
    </w:p>
    <w:p>
      <w:pPr>
        <w:numPr>
          <w:ilvl w:val="0"/>
          <w:numId w:val="1017"/>
        </w:numPr>
      </w:pPr>
      <w:r>
        <w:rPr>
          <w:b/>
          <w:bCs/>
        </w:rPr>
        <w:t xml:space="preserve">Hardware</w:t>
      </w:r>
      <w:r>
        <w:t xml:space="preserve">: NVIDIA RTX 4090 GPU (24GB VRAM), AMD Ryzen 9 7950X CPU, 64GB DDR5 RAM.</w:t>
      </w:r>
    </w:p>
    <w:p>
      <w:pPr>
        <w:numPr>
          <w:ilvl w:val="0"/>
          <w:numId w:val="1017"/>
        </w:numPr>
      </w:pPr>
      <w:r>
        <w:rPr>
          <w:b/>
          <w:bCs/>
        </w:rPr>
        <w:t xml:space="preserve">Software</w:t>
      </w:r>
      <w:r>
        <w:t xml:space="preserve">: PyTorch 2.1.2 (CUDA 12.1), Scikit-learn 1.3.2, Adapt 0.4.4.</w:t>
      </w:r>
    </w:p>
    <w:p>
      <w:pPr>
        <w:pStyle w:val="FirstParagraph"/>
      </w:pPr>
      <w:bookmarkStart w:id="93" w:name="sec:meth-end"/>
      <w:bookmarkEnd w:id="93"/>
    </w:p>
    <w:bookmarkEnd w:id="94"/>
    <w:bookmarkEnd w:id="95"/>
    <w:bookmarkEnd w:id="96"/>
    <w:bookmarkStart w:id="107" w:name="sec:analysis"/>
    <w:p>
      <w:pPr>
        <w:pStyle w:val="1"/>
      </w:pPr>
      <w:r>
        <w:t xml:space="preserve">Theoretical Analysis of Cross-Hospital Generalization</w:t>
      </w:r>
    </w:p>
    <w:p>
      <w:pPr>
        <w:pStyle w:val="FirstParagraph"/>
      </w:pPr>
      <w:r>
        <w:t xml:space="preserve">This chapter moves beyond the phenomenological reporting of performance metrics to establish a rigorous theoretical understanding of</w:t>
      </w:r>
      <w:r>
        <w:t xml:space="preserve"> </w:t>
      </w:r>
      <w:r>
        <w:rPr>
          <w:i/>
          <w:iCs/>
        </w:rPr>
        <w:t xml:space="preserve">why</w:t>
      </w:r>
      <w:r>
        <w:t xml:space="preserve"> </w:t>
      </w:r>
      <w:r>
        <w:t xml:space="preserve">the PANDA framework succeeds where traditional methods falter. We posit that the failure of classical models (e.g., GBDTs, CNNs) in cross-hospital deployment is not merely an engineering oversight but a violation of the fundamental assumptions of statistical learning theory—specifically, the assumption that training and test data are drawn independent and identically distributed (i.i.d.)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dissecting PANDA through the lens of the Ben-David et al. generalization bound for domain adaptation, we demonstrate that the architecture is a direct algorithmic response to the theoretical decomposition of target error.</w:t>
      </w:r>
    </w:p>
    <w:bookmarkStart w:id="98" w:name="subsec:generalization_bound"/>
    <w:p>
      <w:pPr>
        <w:pStyle w:val="2"/>
      </w:pPr>
      <w:r>
        <w:t xml:space="preserve">Theoretical Foundation: The Generalization Bound</w:t>
      </w:r>
    </w:p>
    <w:p>
      <w:pPr>
        <w:pStyle w:val="FirstParagraph"/>
      </w:pPr>
      <w:r>
        <w:t xml:space="preserve">To analyze the generalization capability of PANDA, we adopt the seminal learning-theoretic framework established by Shai Ben-David et al. (2010), a cornerstone of domain adaptation theory</w:t>
      </w:r>
      <w:r>
        <w:t xml:space="preserve"> </w:t>
      </w:r>
      <w:r>
        <w:t xml:space="preserve">[</w:t>
      </w:r>
      <w:hyperlink w:anchor="ref-ben2010theory">
        <w:r>
          <w:rPr>
            <w:rStyle w:val="af"/>
          </w:rPr>
          <w:t xml:space="preserve">89</w:t>
        </w:r>
      </w:hyperlink>
      <w:r>
        <w:t xml:space="preserve">]</w:t>
      </w:r>
      <w:r>
        <w:t xml:space="preserve">. Their work provides a rigorous upper bound on the target domain error, decomposing it into observable and optimizable quantities. This bound explains why minimizing source error alone is insufficient and necessitates explicit domain alignment strategies like TCA.</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m:oMath>
        <m:r>
          <m:rPr>
            <m:scr m:val="script"/>
            <m:sty m:val="p"/>
          </m:rPr>
          <m:t>H</m:t>
        </m:r>
      </m:oMath>
      <w:r>
        <w:rPr>
          <w:i/>
          <w:iCs/>
        </w:rPr>
        <w:t xml:space="preserve"> </w:t>
      </w:r>
      <w:r>
        <w:rPr>
          <w:i/>
          <w:iCs/>
        </w:rPr>
        <w:t xml:space="preserve">be a hypothesis space of VC-dimension</w:t>
      </w:r>
      <w:r>
        <w:rPr>
          <w:i/>
          <w:iCs/>
        </w:rPr>
        <w:t xml:space="preserve"> </w:t>
      </w:r>
      <m:oMath>
        <m:sSub>
          <m:e>
            <m:r>
              <m:t>d</m:t>
            </m:r>
          </m:e>
          <m:sub>
            <m:r>
              <m:t>V</m:t>
            </m:r>
            <m:r>
              <m:t>C</m:t>
            </m:r>
          </m:sub>
        </m:sSub>
      </m:oMath>
      <w:r>
        <w:rPr>
          <w:i/>
          <w:iCs/>
        </w:rPr>
        <w:t xml:space="preserve">. If</w:t>
      </w:r>
      <w:r>
        <w:rPr>
          <w:i/>
          <w:iCs/>
        </w:rPr>
        <w:t xml:space="preserve"> </w:t>
      </w:r>
      <m:oMath>
        <m:r>
          <m:t>S</m:t>
        </m:r>
      </m:oMath>
      <w:r>
        <w:rPr>
          <w:i/>
          <w:iCs/>
        </w:rPr>
        <w:t xml:space="preserve"> </w:t>
      </w:r>
      <w:r>
        <w:rPr>
          <w:i/>
          <w:iCs/>
        </w:rPr>
        <w:t xml:space="preserve">and</w:t>
      </w:r>
      <w:r>
        <w:rPr>
          <w:i/>
          <w:iCs/>
        </w:rPr>
        <w:t xml:space="preserve"> </w:t>
      </w:r>
      <m:oMath>
        <m:r>
          <m:t>T</m:t>
        </m:r>
      </m:oMath>
      <w:r>
        <w:rPr>
          <w:i/>
          <w:iCs/>
        </w:rPr>
        <w:t xml:space="preserve"> </w:t>
      </w:r>
      <w:r>
        <w:rPr>
          <w:i/>
          <w:iCs/>
        </w:rPr>
        <w:t xml:space="preserve">are samples of size</w:t>
      </w:r>
      <w:r>
        <w:rPr>
          <w:i/>
          <w:iCs/>
        </w:rPr>
        <w:t xml:space="preserve"> </w:t>
      </w:r>
      <m:oMath>
        <m:r>
          <m:t>n</m:t>
        </m:r>
      </m:oMath>
      <w:r>
        <w:rPr>
          <w:i/>
          <w:iCs/>
        </w:rPr>
        <w:t xml:space="preserve"> </w:t>
      </w:r>
      <w:r>
        <w:rPr>
          <w:i/>
          <w:iCs/>
        </w:rPr>
        <w:t xml:space="preserve">drawn from source distribution</w:t>
      </w:r>
      <w:r>
        <w:rPr>
          <w:i/>
          <w:iCs/>
        </w:rPr>
        <w:t xml:space="preserve"> </w:t>
      </w:r>
      <m:oMath>
        <m:sSub>
          <m:e>
            <m:r>
              <m:rPr>
                <m:scr m:val="script"/>
                <m:sty m:val="p"/>
              </m:rPr>
              <m:t>D</m:t>
            </m:r>
          </m:e>
          <m:sub>
            <m:r>
              <m:t>S</m:t>
            </m:r>
          </m:sub>
        </m:sSub>
      </m:oMath>
      <w:r>
        <w:rPr>
          <w:i/>
          <w:iCs/>
        </w:rPr>
        <w:t xml:space="preserve"> </w:t>
      </w:r>
      <w:r>
        <w:rPr>
          <w:i/>
          <w:iCs/>
        </w:rPr>
        <w:t xml:space="preserve">and target distribution</w:t>
      </w:r>
      <w:r>
        <w:rPr>
          <w:i/>
          <w:iCs/>
        </w:rPr>
        <w:t xml:space="preserve"> </w:t>
      </w:r>
      <m:oMath>
        <m:sSub>
          <m:e>
            <m:r>
              <m:rPr>
                <m:scr m:val="script"/>
                <m:sty m:val="p"/>
              </m:rPr>
              <m:t>D</m:t>
            </m:r>
          </m:e>
          <m:sub>
            <m:r>
              <m:t>T</m:t>
            </m:r>
          </m:sub>
        </m:sSub>
      </m:oMath>
      <w:r>
        <w:rPr>
          <w:i/>
          <w:iCs/>
        </w:rPr>
        <w:t xml:space="preserve"> </w:t>
      </w:r>
      <w:r>
        <w:rPr>
          <w:i/>
          <w:iCs/>
        </w:rPr>
        <w:t xml:space="preserve">respectively, then for any</w:t>
      </w:r>
      <w:r>
        <w:rPr>
          <w:i/>
          <w:iCs/>
        </w:rPr>
        <w:t xml:space="preserve"> </w:t>
      </w:r>
      <m:oMath>
        <m:r>
          <m:t>δ</m:t>
        </m:r>
        <m:r>
          <m:rPr>
            <m:sty m:val="p"/>
          </m:rPr>
          <m:t>∈</m:t>
        </m:r>
        <m:r>
          <m:rPr>
            <m:sty m:val="p"/>
          </m:rPr>
          <m:t>(</m:t>
        </m:r>
        <m:r>
          <m:t>0</m:t>
        </m:r>
        <m:r>
          <m:rPr>
            <m:sty m:val="p"/>
          </m:rPr>
          <m:t>,</m:t>
        </m:r>
        <m:r>
          <m:t>1</m:t>
        </m:r>
        <m:r>
          <m:rPr>
            <m:sty m:val="p"/>
          </m:rPr>
          <m:t>)</m:t>
        </m:r>
      </m:oMath>
      <w:r>
        <w:rPr>
          <w:i/>
          <w:iCs/>
        </w:rPr>
        <w:t xml:space="preserve">, with probability at least</w:t>
      </w:r>
      <w:r>
        <w:rPr>
          <w:i/>
          <w:iCs/>
        </w:rPr>
        <w:t xml:space="preserve"> </w:t>
      </w:r>
      <m:oMath>
        <m:r>
          <m:t>1</m:t>
        </m:r>
        <m:r>
          <m:rPr>
            <m:sty m:val="p"/>
          </m:rPr>
          <m:t>−</m:t>
        </m:r>
        <m:r>
          <m:t>δ</m:t>
        </m:r>
      </m:oMath>
      <w:r>
        <w:rPr>
          <w:i/>
          <w:iCs/>
        </w:rPr>
        <w:t xml:space="preserve">, for every</w:t>
      </w:r>
      <w:r>
        <w:rPr>
          <w:i/>
          <w:iCs/>
        </w:rPr>
        <w:t xml:space="preserve"> </w:t>
      </w:r>
      <m:oMath>
        <m:r>
          <m:t>h</m:t>
        </m:r>
        <m:r>
          <m:rPr>
            <m:sty m:val="p"/>
          </m:rPr>
          <m:t>∈</m:t>
        </m:r>
        <m:r>
          <m:rPr>
            <m:scr m:val="script"/>
            <m:sty m:val="p"/>
          </m:rPr>
          <m:t>H</m:t>
        </m:r>
      </m:oMath>
      <w:r>
        <w:rPr>
          <w:i/>
          <w:iCs/>
        </w:rPr>
        <w:t xml:space="preserve">:</w:t>
      </w:r>
      <w:r>
        <w:rPr>
          <w:i/>
          <w:iCs/>
        </w:rPr>
        <w:t xml:space="preserve"> </w:t>
      </w:r>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This inequality dictates that minimizing target error</w:t>
      </w:r>
      <w:r>
        <w:t xml:space="preserve"> </w:t>
      </w:r>
      <m:oMath>
        <m:sSub>
          <m:e>
            <m:r>
              <m:t>ϵ</m:t>
            </m:r>
          </m:e>
          <m:sub>
            <m:r>
              <m:t>T</m:t>
            </m:r>
          </m:sub>
        </m:sSub>
        <m:r>
          <m:rPr>
            <m:sty m:val="p"/>
          </m:rPr>
          <m:t>(</m:t>
        </m:r>
        <m:r>
          <m:t>h</m:t>
        </m:r>
        <m:r>
          <m:rPr>
            <m:sty m:val="p"/>
          </m:rPr>
          <m:t>)</m:t>
        </m:r>
      </m:oMath>
      <w:r>
        <w:t xml:space="preserve"> </w:t>
      </w:r>
      <w:r>
        <w:t xml:space="preserve">requires simultaneously minimizing three distinct terms:</w:t>
      </w:r>
    </w:p>
    <w:p>
      <w:pPr>
        <w:numPr>
          <w:ilvl w:val="0"/>
          <w:numId w:val="1018"/>
        </w:numPr>
      </w:pPr>
      <w:r>
        <w:rPr>
          <w:b/>
          <w:bCs/>
        </w:rPr>
        <w:t xml:space="preserve">Source Risk</w:t>
      </w:r>
      <w:r>
        <w:t xml:space="preserve"> </w:t>
      </w:r>
      <m:oMath>
        <m:sSub>
          <m:e>
            <m:r>
              <m:t>ϵ</m:t>
            </m:r>
          </m:e>
          <m:sub>
            <m:r>
              <m:t>S</m:t>
            </m:r>
          </m:sub>
        </m:sSub>
        <m:r>
          <m:rPr>
            <m:sty m:val="p"/>
          </m:rPr>
          <m:t>(</m:t>
        </m:r>
        <m:r>
          <m:t>h</m:t>
        </m:r>
        <m:r>
          <m:rPr>
            <m:sty m:val="p"/>
          </m:rPr>
          <m:t>)</m:t>
        </m:r>
      </m:oMath>
      <w:r>
        <w:t xml:space="preserve">: The expected error on the source domain.</w:t>
      </w:r>
    </w:p>
    <w:p>
      <w:pPr>
        <w:numPr>
          <w:ilvl w:val="0"/>
          <w:numId w:val="1018"/>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measuring the discrepancy between the marginal feature distributions.</w:t>
      </w:r>
    </w:p>
    <w:p>
      <w:pPr>
        <w:numPr>
          <w:ilvl w:val="0"/>
          <w:numId w:val="1018"/>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which captures irreducible error due to concept shift (mismatch in conditional distributions</w:t>
      </w:r>
      <w:r>
        <w:t xml:space="preserve"> </w:t>
      </w:r>
      <m:oMath>
        <m:r>
          <m:t>P</m:t>
        </m:r>
        <m:r>
          <m:rPr>
            <m:sty m:val="p"/>
          </m:rPr>
          <m:t>(</m:t>
        </m:r>
        <m:r>
          <m:t>Y</m:t>
        </m:r>
        <m:r>
          <m:rPr>
            <m:sty m:val="p"/>
          </m:rPr>
          <m:t>|</m:t>
        </m:r>
        <m:r>
          <m:t>X</m:t>
        </m:r>
        <m:r>
          <m:rPr>
            <m:sty m:val="p"/>
          </m:rPr>
          <m:t>)</m:t>
        </m:r>
      </m:oMath>
      <w:r>
        <w:t xml:space="preserve">).</w:t>
      </w:r>
    </w:p>
    <w:bookmarkStart w:id="97" w:name="the-mathcalhdeltamathcalh-divergence"/>
    <w:p>
      <w:pPr>
        <w:pStyle w:val="3"/>
      </w:pP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key contribution of Ben-David’s theory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rPr>
                          <m:scr m:val="script"/>
                          <m:sty m:val="p"/>
                        </m:rPr>
                        <m:t>D</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rPr>
                          <m:scr m:val="script"/>
                          <m:sty m:val="p"/>
                        </m:rPr>
                        <m:t>D</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oMath>
      </m:oMathPara>
    </w:p>
    <w:p>
      <w:pPr>
        <w:pStyle w:val="FirstParagraph"/>
      </w:pPr>
      <w:r>
        <w:t xml:space="preserve">Intuitively, this metric measures the maximal discrepancy in the "disagreement" between any two classifiers in the hypothesis space across the two domains. If there exist two classifiers</w:t>
      </w:r>
      <w:r>
        <w:t xml:space="preserve"> </w:t>
      </w:r>
      <m:oMath>
        <m:r>
          <m:t>h</m:t>
        </m:r>
        <m:r>
          <m:rPr>
            <m:sty m:val="p"/>
          </m:rPr>
          <m:t>,</m:t>
        </m:r>
        <m:sSup>
          <m:e>
            <m:r>
              <m:t>h</m:t>
            </m:r>
          </m:e>
          <m:sup>
            <m:r>
              <m:rPr>
                <m:sty m:val="p"/>
              </m:rPr>
              <m:t>′</m:t>
            </m:r>
          </m:sup>
        </m:sSup>
      </m:oMath>
      <w:r>
        <w:t xml:space="preserve"> </w:t>
      </w:r>
      <w:r>
        <w:t xml:space="preserve">that make similar predictions on the source domain (low disagreement) but make widely different predictions on the target domain (high disagreement), the divergence is high. This implies that the source domain does not adequately constrain the behavior of classifiers on the target domain, leading to potential negative transfer. Alignment methods like TCA and CORAL aim to transform the feature space such that this divergence is minimized.</w:t>
      </w:r>
    </w:p>
    <w:bookmarkEnd w:id="97"/>
    <w:bookmarkEnd w:id="98"/>
    <w:bookmarkStart w:id="100" w:name="subsec:analysis_source_risk"/>
    <w:p>
      <w:pPr>
        <w:pStyle w:val="2"/>
      </w:pPr>
      <w:r>
        <w:t xml:space="preserve">Minimizing Source Risk</w:t>
      </w:r>
      <w:r>
        <w:t xml:space="preserve"> </w:t>
      </w:r>
      <m:oMath>
        <m:sSub>
          <m:e>
            <m:r>
              <m:t>ϵ</m:t>
            </m:r>
          </m:e>
          <m:sub>
            <m:r>
              <m:t>S</m:t>
            </m:r>
          </m:sub>
        </m:sSub>
        <m:r>
          <m:rPr>
            <m:sty m:val="p"/>
          </m:rPr>
          <m:t>(</m:t>
        </m:r>
        <m:r>
          <m:t>h</m:t>
        </m:r>
        <m:r>
          <m:rPr>
            <m:sty m:val="p"/>
          </m:rPr>
          <m:t>)</m:t>
        </m:r>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while GBDTs often overfit, effectively "memorizing" the noise in</w:t>
      </w:r>
      <w:r>
        <w:t xml:space="preserve"> </w:t>
      </w:r>
      <m:oMath>
        <m:r>
          <m:t>S</m:t>
        </m:r>
      </m:oMath>
      <w:r>
        <w:t xml:space="preserve"> </w:t>
      </w:r>
      <w:r>
        <w:t xml:space="preserve">rather than learning the structure of</w:t>
      </w:r>
      <w:r>
        <w:t xml:space="preserve"> </w:t>
      </w:r>
      <m:oMath>
        <m:sSub>
          <m:e>
            <m:r>
              <m:rPr>
                <m:scr m:val="script"/>
                <m:sty m:val="p"/>
              </m:rPr>
              <m:t>D</m:t>
            </m:r>
          </m:e>
          <m:sub>
            <m:r>
              <m:t>S</m:t>
            </m:r>
          </m:sub>
        </m:sSub>
      </m:oMath>
      <w:r>
        <w:t xml:space="preserve">.</w:t>
      </w:r>
    </w:p>
    <w:bookmarkStart w:id="99" w:name="X06f92b2b6bdb9eddabb2e70f37c54da3dd75501"/>
    <w:p>
      <w:pPr>
        <w:pStyle w:val="3"/>
      </w:pPr>
      <w:r>
        <w:t xml:space="preserve">Prior-Data Fitted Networks vs. Parametric Learning</w:t>
      </w:r>
    </w:p>
    <w:p>
      <w:pPr>
        <w:pStyle w:val="FirstParagraph"/>
      </w:pPr>
      <w:r>
        <w:t xml:space="preserve">Traditional parametric learning optimizes weights</w:t>
      </w:r>
      <w:r>
        <w:t xml:space="preserve"> </w:t>
      </w:r>
      <m:oMath>
        <m:r>
          <m:rPr>
            <m:sty m:val="b"/>
          </m:rPr>
          <m:t>θ</m:t>
        </m:r>
      </m:oMath>
      <w:r>
        <w:t xml:space="preserve"> </w:t>
      </w:r>
      <w:r>
        <w:t xml:space="preserve">to minimize loss on</w:t>
      </w:r>
      <w:r>
        <w:t xml:space="preserve"> </w:t>
      </w:r>
      <m:oMath>
        <m:r>
          <m:t>S</m:t>
        </m:r>
      </m:oMath>
      <w:r>
        <w:t xml:space="preserve">:</w:t>
      </w:r>
      <w:r>
        <w:t xml:space="preserve"> </w:t>
      </w:r>
      <m:oMath>
        <m:acc>
          <m:accPr>
            <m:chr m:val="̂"/>
          </m:accPr>
          <m:e>
            <m:r>
              <m:rPr>
                <m:sty m:val="b"/>
              </m:rPr>
              <m:t>θ</m:t>
            </m:r>
          </m:e>
        </m:acc>
        <m:r>
          <m:rPr>
            <m:sty m:val="p"/>
          </m:rPr>
          <m:t>=</m:t>
        </m:r>
        <m:r>
          <m:rPr>
            <m:sty m:val="p"/>
          </m:rPr>
          <m:t>arg</m:t>
        </m:r>
        <m:sSub>
          <m:e>
            <m:r>
              <m:rPr>
                <m:sty m:val="p"/>
              </m:rPr>
              <m:t>min</m:t>
            </m:r>
          </m:e>
          <m:sub>
            <m:r>
              <m:rPr>
                <m:sty m:val="b"/>
              </m:rPr>
              <m:t>θ</m:t>
            </m:r>
          </m:sub>
        </m:sSub>
        <m:nary>
          <m:naryPr>
            <m:chr m:val="∑"/>
            <m:limLoc m:val="undOvr"/>
            <m:subHide m:val="off"/>
            <m:supHide m:val="on"/>
          </m:naryPr>
          <m:sub>
            <m:r>
              <m:rPr>
                <m:sty m:val="p"/>
              </m:rPr>
              <m:t>(</m:t>
            </m:r>
            <m:r>
              <m:rPr>
                <m:sty m:val="b"/>
              </m:rPr>
              <m:t>x</m:t>
            </m:r>
            <m:r>
              <m:rPr>
                <m:sty m:val="p"/>
              </m:rPr>
              <m:t>,</m:t>
            </m:r>
            <m:r>
              <m:t>y</m:t>
            </m:r>
            <m:r>
              <m:rPr>
                <m:sty m:val="p"/>
              </m:rPr>
              <m:t>)</m:t>
            </m:r>
            <m:r>
              <m:rPr>
                <m:sty m:val="p"/>
              </m:rPr>
              <m:t>∈</m:t>
            </m:r>
            <m:r>
              <m:t>S</m:t>
            </m:r>
          </m:sub>
          <m:sup>
            <m:r>
              <m:t>​</m:t>
            </m:r>
          </m:sup>
          <m:e>
            <m:r>
              <m:rPr>
                <m:scr m:val="script"/>
                <m:sty m:val="p"/>
              </m:rPr>
              <m:t>L</m:t>
            </m:r>
          </m:e>
        </m:nary>
        <m:r>
          <m:rPr>
            <m:sty m:val="p"/>
          </m:rPr>
          <m:t>(</m:t>
        </m:r>
        <m:sSub>
          <m:e>
            <m:r>
              <m:t>f</m:t>
            </m:r>
          </m:e>
          <m:sub>
            <m:r>
              <m:rPr>
                <m:sty m:val="b"/>
              </m:rPr>
              <m:t>θ</m:t>
            </m:r>
          </m:sub>
        </m:sSub>
        <m:r>
          <m:rPr>
            <m:sty m:val="p"/>
          </m:rPr>
          <m:t>(</m:t>
        </m:r>
        <m:r>
          <m:rPr>
            <m:sty m:val="b"/>
          </m:rPr>
          <m:t>x</m:t>
        </m:r>
        <m:r>
          <m:rPr>
            <m:sty m:val="p"/>
          </m:rPr>
          <m:t>)</m:t>
        </m:r>
        <m:r>
          <m:rPr>
            <m:sty m:val="p"/>
          </m:rPr>
          <m:t>,</m:t>
        </m:r>
        <m:r>
          <m:t>y</m:t>
        </m:r>
        <m:r>
          <m:rPr>
            <m:sty m:val="p"/>
          </m:rPr>
          <m:t>)</m:t>
        </m:r>
      </m:oMath>
      <w:r>
        <w:t xml:space="preserve">. This process is data-hungry because it starts with uninformative priors.</w:t>
      </w:r>
    </w:p>
    <w:p>
      <w:pPr>
        <w:pStyle w:val="a0"/>
      </w:pPr>
      <w:r>
        <w:t xml:space="preserve">In contrast, PANDA uses TabPFN, a</w:t>
      </w:r>
      <w:r>
        <w:t xml:space="preserve"> </w:t>
      </w:r>
      <w:r>
        <w:rPr>
          <w:b/>
          <w:bCs/>
        </w:rPr>
        <w:t xml:space="preserve">Prior-Data Fitted Network (PFN)</w:t>
      </w:r>
      <w:r>
        <w:t xml:space="preserve">. It minimizes</w:t>
      </w:r>
      <w:r>
        <w:t xml:space="preserve"> </w:t>
      </w:r>
      <m:oMath>
        <m:sSub>
          <m:e>
            <m:r>
              <m:t>ϵ</m:t>
            </m:r>
          </m:e>
          <m:sub>
            <m:r>
              <m:t>S</m:t>
            </m:r>
          </m:sub>
        </m:sSub>
        <m:r>
          <m:rPr>
            <m:sty m:val="p"/>
          </m:rPr>
          <m:t>(</m:t>
        </m:r>
        <m:r>
          <m:t>h</m:t>
        </m:r>
        <m:r>
          <m:rPr>
            <m:sty m:val="p"/>
          </m:rPr>
          <m:t>)</m:t>
        </m:r>
      </m:oMath>
      <w:r>
        <w:t xml:space="preserve"> </w:t>
      </w:r>
      <w:r>
        <w:t xml:space="preserve">not by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r>
            <m:t>y</m:t>
          </m:r>
          <m:r>
            <m:rPr>
              <m:sty m:val="p"/>
            </m:rPr>
            <m:t>∣</m:t>
          </m:r>
          <m:r>
            <m:rPr>
              <m:sty m:val="b"/>
            </m:rPr>
            <m:t>x</m:t>
          </m:r>
          <m:r>
            <m:rPr>
              <m:sty m:val="p"/>
            </m:rPr>
            <m:t>,</m:t>
          </m:r>
          <m:r>
            <m:t>M</m:t>
          </m:r>
          <m:r>
            <m:rPr>
              <m:sty m:val="p"/>
            </m:rPr>
            <m:t>)</m:t>
          </m:r>
          <m:r>
            <m:t>P</m:t>
          </m:r>
          <m:r>
            <m:rPr>
              <m:sty m:val="p"/>
            </m:rPr>
            <m:t>(</m:t>
          </m:r>
          <m:r>
            <m:t>M</m:t>
          </m:r>
          <m:r>
            <m:rPr>
              <m:sty m:val="p"/>
            </m:rPr>
            <m:t>∣</m:t>
          </m:r>
          <m:r>
            <m:t>S</m:t>
          </m:r>
          <m:r>
            <m:rPr>
              <m:sty m:val="p"/>
            </m:rPr>
            <m:t>)</m:t>
          </m:r>
          <m:r>
            <m:t> </m:t>
          </m:r>
          <m:r>
            <m:t>d</m:t>
          </m:r>
          <m:r>
            <m:t>M</m:t>
          </m:r>
        </m:oMath>
      </m:oMathPara>
    </w:p>
    <w:p>
      <w:pPr>
        <w:pStyle w:val="FirstParagraph"/>
      </w:pPr>
      <w:r>
        <w:t xml:space="preserve">By treating the source dataset</w:t>
      </w:r>
      <w:r>
        <w:t xml:space="preserve"> </w:t>
      </w:r>
      <m:oMath>
        <m:r>
          <m:t>S</m:t>
        </m:r>
      </m:oMath>
      <w:r>
        <w:t xml:space="preserve"> </w:t>
      </w:r>
      <w:r>
        <w:t xml:space="preserve">as a</w:t>
      </w:r>
      <w:r>
        <w:t xml:space="preserve"> </w:t>
      </w:r>
      <w:r>
        <w:rPr>
          <w:i/>
          <w:iCs/>
        </w:rPr>
        <w:t xml:space="preserve">context</w:t>
      </w:r>
      <w:r>
        <w:t xml:space="preserve"> </w:t>
      </w:r>
      <w:r>
        <w:t xml:space="preserve">for Bayesian inference rather than a training set for parameter optimization, TabPFN acts as a massive regularizer. It enforces inductive biases favoring sparsity and piecewise smoothness.</w:t>
      </w:r>
    </w:p>
    <w:p>
      <w:pPr>
        <w:pStyle w:val="a0"/>
      </w:pPr>
      <w:r>
        <w:rPr>
          <w:b/>
          <w:bCs/>
        </w:rPr>
        <w:t xml:space="preserve">Empirical Consequence:</w:t>
      </w:r>
      <w:r>
        <w:t xml:space="preserve"> </w:t>
      </w:r>
      <w:r>
        <w:t xml:space="preserve">As shown in our results, TabPFN achieves a source AUC of</w:t>
      </w:r>
      <w:r>
        <w:t xml:space="preserve"> </w:t>
      </w:r>
      <w:r>
        <w:rPr>
          <w:b/>
          <w:bCs/>
        </w:rPr>
        <w:t xml:space="preserve">0.829</w:t>
      </w:r>
      <w:r>
        <w:t xml:space="preserve">, significantly outperforming Random Forest (0.752) and XGBoost (0.742). This establishes a strictly lower starting point for the</w:t>
      </w:r>
      <w:r>
        <w:t xml:space="preserve"> </w:t>
      </w:r>
      <m:oMath>
        <m:sSub>
          <m:e>
            <m:r>
              <m:t>ϵ</m:t>
            </m:r>
          </m:e>
          <m:sub>
            <m:r>
              <m:t>S</m:t>
            </m:r>
          </m:sub>
        </m:sSub>
        <m:r>
          <m:rPr>
            <m:sty m:val="p"/>
          </m:rPr>
          <m:t>(</m:t>
        </m:r>
        <m:r>
          <m:t>h</m:t>
        </m:r>
        <m:r>
          <m:rPr>
            <m:sty m:val="p"/>
          </m:rPr>
          <m:t>)</m:t>
        </m:r>
      </m:oMath>
      <w:r>
        <w:t xml:space="preserve"> </w:t>
      </w:r>
      <w:r>
        <w:t xml:space="preserve">term in the bound.</w:t>
      </w:r>
    </w:p>
    <w:bookmarkEnd w:id="99"/>
    <w:bookmarkEnd w:id="100"/>
    <w:bookmarkStart w:id="103" w:name="subsec:analysis_divergence"/>
    <w:p>
      <w:pPr>
        <w:pStyle w:val="2"/>
      </w:pP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causes</w:t>
      </w:r>
      <w:r>
        <w:t xml:space="preserve"> </w:t>
      </w:r>
      <w:r>
        <w:rPr>
          <w:b/>
          <w:bCs/>
        </w:rPr>
        <w:t xml:space="preserve">Covariate Shift</w:t>
      </w:r>
      <w:r>
        <w:t xml:space="preserve">:</w:t>
      </w:r>
      <w:r>
        <w:t xml:space="preserve"> </w:t>
      </w:r>
      <m:oMath>
        <m:sSub>
          <m:e>
            <m:r>
              <m:t>P</m:t>
            </m:r>
          </m:e>
          <m:sub>
            <m:r>
              <m:t>S</m:t>
            </m:r>
          </m:sub>
        </m:sSub>
        <m:r>
          <m:rPr>
            <m:sty m:val="p"/>
          </m:rPr>
          <m:t>(</m:t>
        </m:r>
        <m:r>
          <m:t>X</m:t>
        </m:r>
        <m:r>
          <m:rPr>
            <m:sty m:val="p"/>
          </m:rPr>
          <m:t>)</m:t>
        </m:r>
        <m:r>
          <m:rPr>
            <m:sty m:val="p"/>
          </m:rPr>
          <m:t>(</m:t>
        </m:r>
        <m:r>
          <m:rPr>
            <m:sty m:val="b"/>
          </m:rPr>
          <m:t>x</m:t>
        </m:r>
        <m:r>
          <m:rPr>
            <m:sty m:val="p"/>
          </m:rPr>
          <m:t>)</m:t>
        </m:r>
        <m:r>
          <m:rPr>
            <m:sty m:val="p"/>
          </m:rPr>
          <m:t>≠</m:t>
        </m:r>
        <m:sSub>
          <m:e>
            <m:r>
              <m:t>P</m:t>
            </m:r>
          </m:e>
          <m:sub>
            <m:r>
              <m:t>T</m:t>
            </m:r>
          </m:sub>
        </m:sSub>
        <m:r>
          <m:rPr>
            <m:sty m:val="p"/>
          </m:rPr>
          <m:t>(</m:t>
        </m:r>
        <m:r>
          <m:t>X</m:t>
        </m:r>
        <m:r>
          <m:rPr>
            <m:sty m:val="p"/>
          </m:rPr>
          <m:t>)</m:t>
        </m:r>
        <m:r>
          <m:rPr>
            <m:sty m:val="p"/>
          </m:rPr>
          <m:t>(</m:t>
        </m:r>
        <m:r>
          <m:rPr>
            <m:sty m:val="b"/>
          </m:rPr>
          <m:t>x</m:t>
        </m:r>
        <m:r>
          <m:rPr>
            <m:sty m:val="p"/>
          </m:rPr>
          <m:t>)</m:t>
        </m:r>
      </m:oMath>
      <w:r>
        <w:t xml:space="preserve">.</w:t>
      </w:r>
    </w:p>
    <w:bookmarkStart w:id="101" w:name="why-feature-space-alignment"/>
    <w:p>
      <w:pPr>
        <w:pStyle w:val="3"/>
      </w:pPr>
      <w:r>
        <w:t xml:space="preserve">Why Feature Space Alignment?</w:t>
      </w:r>
    </w:p>
    <w:p>
      <w:pPr>
        <w:pStyle w:val="FirstParagraph"/>
      </w:pPr>
      <w:r>
        <w:t xml:space="preserve">Aligning raw features is often suboptimal due to the complexity and non-linear dependencies of medical variables. Instead, PANDA applies TCA directly to the</w:t>
      </w:r>
      <w:r>
        <w:t xml:space="preserve"> </w:t>
      </w:r>
      <m:oMath>
        <m:sSup>
          <m:e>
            <m:r>
              <m:rPr>
                <m:scr m:val="script"/>
                <m:sty m:val="p"/>
              </m:rPr>
              <m:t>F</m:t>
            </m:r>
          </m:e>
          <m:sup>
            <m:r>
              <m:rPr>
                <m:sty m:val="p"/>
              </m:rPr>
              <m:t>*</m:t>
            </m:r>
          </m:sup>
        </m:sSup>
      </m:oMath>
      <w:r>
        <w:t xml:space="preserve">. This is motivated by the observation that after RFE, the features are already a more robust and relevant subset, making them more amenable to linear alignment. The goal of this step is to directly align the marginal distributions of these pre-selected features between the source and target domains.</w:t>
      </w:r>
    </w:p>
    <w:bookmarkEnd w:id="101"/>
    <w:bookmarkStart w:id="102" w:name="the-tca-optimization-objective"/>
    <w:p>
      <w:pPr>
        <w:pStyle w:val="3"/>
      </w:pPr>
      <w:r>
        <w:t xml:space="preserve">The TCA Optimization Objective</w:t>
      </w:r>
    </w:p>
    <w:p>
      <w:pPr>
        <w:pStyle w:val="FirstParagraph"/>
      </w:pPr>
      <w:r>
        <w:t xml:space="preserve">We employ Transfer Component Analysis (TCA) to find a projection</w:t>
      </w:r>
      <w:r>
        <w:t xml:space="preserve"> </w:t>
      </w:r>
      <m:oMath>
        <m:r>
          <m:rPr>
            <m:sty m:val="b"/>
          </m:rPr>
          <m:t>W</m:t>
        </m:r>
        <m:r>
          <m:rPr>
            <m:sty m:val="p"/>
          </m:rPr>
          <m:t>∈</m:t>
        </m:r>
        <m:sSup>
          <m:e>
            <m:r>
              <m:rPr>
                <m:scr m:val="double-struck"/>
                <m:sty m:val="p"/>
              </m:rPr>
              <m:t>R</m:t>
            </m:r>
          </m:e>
          <m:sup>
            <m:r>
              <m:t>k</m:t>
            </m:r>
            <m:r>
              <m:rPr>
                <m:sty m:val="p"/>
              </m:rPr>
              <m:t>×</m:t>
            </m:r>
            <m:r>
              <m:t>m</m:t>
            </m:r>
          </m:sup>
        </m:sSup>
      </m:oMath>
      <w:r>
        <w:t xml:space="preserve"> </w:t>
      </w:r>
      <w:r>
        <w:t xml:space="preserve">that minimizes the Maximum Mean Discrepancy (MMD) between source and target features (after RFE). The objective is:</w:t>
      </w:r>
    </w:p>
    <w:p>
      <w:pPr>
        <w:pStyle w:val="a0"/>
      </w:pPr>
      <m:oMathPara>
        <m:oMathParaPr>
          <m:jc m:val="center"/>
        </m:oMathParaPr>
        <m:oMath>
          <m:eqArr>
            <m:e>
              <m:limLow>
                <m:e>
                  <m:r>
                    <m:rPr>
                      <m:sty m:val="p"/>
                    </m:rPr>
                    <m:t>min</m:t>
                  </m:r>
                </m:e>
                <m:lim>
                  <m:r>
                    <m:rPr>
                      <m:sty m:val="b"/>
                    </m:rPr>
                    <m:t>W</m:t>
                  </m:r>
                </m:lim>
              </m:limLow>
              <m:r>
                <m:t> </m:t>
              </m:r>
              <m:r>
                <m:t>&amp;</m:t>
              </m:r>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e>
            <m:e>
              <m:r>
                <m:rPr>
                  <m:nor/>
                  <m:sty m:val="p"/>
                </m:rPr>
                <m:t>s.t.</m:t>
              </m:r>
              <m:r>
                <m:t> </m:t>
              </m:r>
              <m:r>
                <m:t>&amp;</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e>
          </m:eqArr>
        </m:oMath>
      </m:oMathPara>
    </w:p>
    <w:p>
      <w:pPr>
        <w:pStyle w:val="FirstParagraph"/>
      </w:pPr>
      <w:r>
        <w:t xml:space="preserve">where</w:t>
      </w:r>
      <w:r>
        <w:t xml:space="preserve"> </w:t>
      </w:r>
      <m:oMath>
        <m:r>
          <m:rPr>
            <m:sty m:val="b"/>
          </m:rPr>
          <m:t>K</m:t>
        </m:r>
      </m:oMath>
      <w:r>
        <w:t xml:space="preserve"> </w:t>
      </w:r>
      <w:r>
        <w:t xml:space="preserve">is the kernel matrix of RFE-selected features (</w:t>
      </w:r>
      <m:oMath>
        <m:sSub>
          <m:e>
            <m: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w:t>
      </w:r>
      <w:r>
        <w:t xml:space="preserve"> </w:t>
      </w:r>
      <m:oMath>
        <m:r>
          <m:rPr>
            <m:sty m:val="b"/>
          </m:rPr>
          <m:t>L</m:t>
        </m:r>
      </m:oMath>
      <w:r>
        <w:t xml:space="preserve"> </w:t>
      </w:r>
      <w:r>
        <w:t xml:space="preserve">is the MMD indicator matrix, and</w:t>
      </w:r>
      <w:r>
        <w:t xml:space="preserve"> </w:t>
      </w:r>
      <m:oMath>
        <m:r>
          <m:rPr>
            <m:sty m:val="b"/>
          </m:rPr>
          <m:t>H</m:t>
        </m:r>
      </m:oMath>
      <w:r>
        <w:t xml:space="preserve"> </w:t>
      </w:r>
      <w:r>
        <w:t xml:space="preserve">is the centering matrix. 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preserves data variance, ensuring the projection does not collapse informative signals while aligning means. Here,</w:t>
      </w:r>
      <w:r>
        <w:t xml:space="preserve"> </w:t>
      </w:r>
      <m:oMath>
        <m:r>
          <m:t>k</m:t>
        </m:r>
      </m:oMath>
      <w:r>
        <w:t xml:space="preserve"> </w:t>
      </w:r>
      <w:r>
        <w:t xml:space="preserve">represents the dimensionality of the RFE-selected features.</w:t>
      </w:r>
    </w:p>
    <w:bookmarkEnd w:id="102"/>
    <w:bookmarkEnd w:id="103"/>
    <w:bookmarkStart w:id="104" w:name="subsec:analysis_adaptability"/>
    <w:p>
      <w:pPr>
        <w:pStyle w:val="2"/>
      </w:pP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implies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r>
          <m:rPr>
            <m:sty m:val="b"/>
          </m:rPr>
          <m:t>x</m:t>
        </m:r>
        <m:r>
          <m:rPr>
            <m:sty m:val="p"/>
          </m:rPr>
          <m:t>)</m:t>
        </m:r>
      </m:oMath>
      <w:r>
        <w:t xml:space="preserve">), where the same feature value implies different risks across hospitals (e.g., "spiculation" caused by cancer in Hospital A vs. tuberculosis in Hospital B).</w:t>
      </w:r>
    </w:p>
    <w:p>
      <w:pPr>
        <w:pStyle w:val="a0"/>
      </w:pPr>
      <w:r>
        <w:t xml:space="preserve">PANDA minimizes</w:t>
      </w:r>
      <w:r>
        <w:t xml:space="preserve"> </w:t>
      </w:r>
      <m:oMath>
        <m:r>
          <m:t>λ</m:t>
        </m:r>
      </m:oMath>
      <w:r>
        <w:t xml:space="preserve"> </w:t>
      </w:r>
      <w:r>
        <w:t xml:space="preserve">via</w:t>
      </w:r>
      <w:r>
        <w:t xml:space="preserve"> </w:t>
      </w:r>
      <w:r>
        <w:rPr>
          <w:b/>
          <w:bCs/>
        </w:rPr>
        <w:t xml:space="preserve">Cross-Domain Recursive Feature Elimination (RFE)</w:t>
      </w:r>
      <w:r>
        <w:t xml:space="preserve">. By intersecting feature importance rankings from the source with availability and stability constraints, we effectively restrict the hypothesis class</w:t>
      </w:r>
      <w:r>
        <w:t xml:space="preserve"> </w:t>
      </w:r>
      <m:oMath>
        <m:r>
          <m:rPr>
            <m:scr m:val="script"/>
            <m:sty m:val="p"/>
          </m:rPr>
          <m:t>H</m:t>
        </m:r>
      </m:oMath>
      <w:r>
        <w:t xml:space="preserve"> </w:t>
      </w:r>
      <w:r>
        <w:t xml:space="preserve">to a subspace</w:t>
      </w:r>
      <w:r>
        <w:t xml:space="preserve"> </w:t>
      </w:r>
      <m:oMath>
        <m:sSup>
          <m:e>
            <m:r>
              <m:rPr>
                <m:scr m:val="script"/>
                <m:sty m:val="p"/>
              </m:rPr>
              <m:t>F</m:t>
            </m:r>
          </m:e>
          <m:sup>
            <m:r>
              <m:rPr>
                <m:sty m:val="p"/>
              </m:rPr>
              <m:t>*</m:t>
            </m:r>
          </m:sup>
        </m:sSup>
      </m:oMath>
      <w:r>
        <w:t xml:space="preserve"> </w:t>
      </w:r>
      <w:r>
        <w:t xml:space="preserve">where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oMath>
      </m:oMathPara>
    </w:p>
    <w:p>
      <w:pPr>
        <w:pStyle w:val="FirstParagraph"/>
      </w:pPr>
      <w:r>
        <w:t xml:space="preserve">Discarding unstable features (like subjective morphological scores) might slightly increase intrinsic source error</w:t>
      </w:r>
      <w:r>
        <w:t xml:space="preserve"> </w:t>
      </w:r>
      <m:oMath>
        <m:sSub>
          <m:e>
            <m:r>
              <m:t>ϵ</m:t>
            </m:r>
          </m:e>
          <m:sub>
            <m:r>
              <m:t>S</m:t>
            </m:r>
          </m:sub>
        </m:sSub>
        <m:r>
          <m:rPr>
            <m:sty m:val="p"/>
          </m:rPr>
          <m:t>(</m:t>
        </m:r>
        <m:r>
          <m:t>h</m:t>
        </m:r>
        <m:r>
          <m:rPr>
            <m:sty m:val="p"/>
          </m:rPr>
          <m:t>)</m:t>
        </m:r>
      </m:oMath>
      <w:r>
        <w:t xml:space="preserve"> </w:t>
      </w:r>
      <w:r>
        <w:t xml:space="preserve">(bias), but it drastically reduces</w:t>
      </w:r>
      <w:r>
        <w:t xml:space="preserve"> </w:t>
      </w:r>
      <m:oMath>
        <m:r>
          <m:t>λ</m:t>
        </m:r>
      </m:oMath>
      <w:r>
        <w:t xml:space="preserve">, resulting in a tighter overall bound on target error.</w:t>
      </w:r>
    </w:p>
    <w:bookmarkEnd w:id="104"/>
    <w:bookmarkStart w:id="105" w:name="subsec:analysis_synthesis"/>
    <w:p>
      <w:pPr>
        <w:pStyle w:val="2"/>
      </w:pPr>
      <w:r>
        <w:t xml:space="preserve">Synthesis: Linking Theory to Empirical Results</w:t>
      </w:r>
    </w:p>
    <w:p>
      <w:pPr>
        <w:pStyle w:val="FirstParagraph"/>
      </w:pPr>
      <w:r>
        <w:t xml:space="preserve">Table </w:t>
      </w:r>
      <w:hyperlink w:anchor="tbl:theory_empirics">
        <w:r>
          <w:rPr>
            <w:rStyle w:val="af"/>
          </w:rPr>
          <w:t xml:space="preserve">[tab:theory_empirics]</w:t>
        </w:r>
      </w:hyperlink>
      <w:r>
        <w:t xml:space="preserve"> </w:t>
      </w:r>
      <w:r>
        <w:t xml:space="preserve">synthesizes the theoretical components with our experimental findings, demonstrating how each PANDA component targets a specific term in the Ben-David bound.</w:t>
      </w:r>
    </w:p>
    <w:bookmarkEnd w:id="105"/>
    <w:bookmarkStart w:id="106" w:name="conclusion"/>
    <w:p>
      <w:pPr>
        <w:pStyle w:val="2"/>
      </w:pPr>
      <w:r>
        <w:t xml:space="preserve">Conclusion</w:t>
      </w:r>
    </w:p>
    <w:p>
      <w:pPr>
        <w:pStyle w:val="FirstParagraph"/>
      </w:pPr>
      <w:r>
        <w:t xml:space="preserve">The PANDA framework is not merely an ensemble of heuristics but a theoretically grounded solution to the domain adaptation bound. TabPFN secures the source risk</w:t>
      </w:r>
      <w:r>
        <w:t xml:space="preserve"> </w:t>
      </w:r>
      <m:oMath>
        <m:sSub>
          <m:e>
            <m:r>
              <m:t>ϵ</m:t>
            </m:r>
          </m:e>
          <m:sub>
            <m:r>
              <m:t>S</m:t>
            </m:r>
          </m:sub>
        </m:sSub>
        <m:r>
          <m:rPr>
            <m:sty m:val="p"/>
          </m:rPr>
          <m:t>(</m:t>
        </m:r>
        <m:r>
          <m:t>h</m:t>
        </m:r>
        <m:r>
          <m:rPr>
            <m:sty m:val="p"/>
          </m:rPr>
          <m:t>)</m:t>
        </m:r>
      </m:oMath>
      <w:r>
        <w:t xml:space="preserve"> </w:t>
      </w:r>
      <w:r>
        <w:t xml:space="preserve">via priors; TCA minimizes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minimizes adaptability error</w:t>
      </w:r>
      <w:r>
        <w:t xml:space="preserve"> </w:t>
      </w:r>
      <m:oMath>
        <m:r>
          <m:t>λ</m:t>
        </m:r>
      </m:oMath>
      <w:r>
        <w:t xml:space="preserve"> </w:t>
      </w:r>
      <w:r>
        <w:t xml:space="preserve">via stability-based pruning. Together, they ensure generalization in the challenging regime of small, heterogeneous medical datasets.</w:t>
      </w:r>
    </w:p>
    <w:bookmarkEnd w:id="106"/>
    <w:bookmarkEnd w:id="107"/>
    <w:bookmarkStart w:id="143" w:name="sec:eval-start"/>
    <w:p>
      <w:pPr>
        <w:pStyle w:val="1"/>
      </w:pPr>
      <w:r>
        <w:t xml:space="preserve">Evaluation</w:t>
      </w:r>
    </w:p>
    <w:p>
      <w:pPr>
        <w:pStyle w:val="FirstParagraph"/>
      </w:pPr>
      <w:bookmarkStart w:id="108" w:name="sec:evaluation"/>
      <w:bookmarkEnd w:id="108"/>
    </w:p>
    <w:p>
      <w:pPr>
        <w:pStyle w:val="a0"/>
      </w:pPr>
      <w:r>
        <w:t xml:space="preserve">We assess PANDA across cross-institutional performance, domain adaptation, interpretability, and clinical utility, using a protocol meant to resemble what deployment would actually look like.</w:t>
      </w:r>
    </w:p>
    <w:bookmarkStart w:id="111" w:name="X3dc2ed24dc64bee859a60f085339eefaadd918b"/>
    <w:p>
      <w:pPr>
        <w:pStyle w:val="2"/>
      </w:pPr>
      <w:r>
        <w:t xml:space="preserve">Evaluation Metrics and Statistical Analysis</w:t>
      </w:r>
    </w:p>
    <w:bookmarkStart w:id="109" w:name="classification-performance-metrics"/>
    <w:p>
      <w:pPr>
        <w:pStyle w:val="3"/>
      </w:pPr>
      <w:r>
        <w:t xml:space="preserve">Classification Performance Metrics</w:t>
      </w:r>
    </w:p>
    <w:p>
      <w:pPr>
        <w:pStyle w:val="FirstParagraph"/>
      </w:pPr>
      <w:r>
        <w:t xml:space="preserve">Results are averaged over 10-fold stratified cross-validation to temper label imbalance. The metrics are:</w:t>
      </w:r>
    </w:p>
    <w:p>
      <w:pPr>
        <w:pStyle w:val="a0"/>
      </w:pPr>
      <m:oMathPara>
        <m:oMathParaPr>
          <m:jc m:val="center"/>
        </m:oMathParaPr>
        <m:oMath>
          <m:eqArr>
            <m:e>
              <m:r>
                <m:t>&amp;</m:t>
              </m:r>
              <m:r>
                <m:rPr>
                  <m:nor/>
                  <m:sty m:val="p"/>
                </m:rPr>
                <m:t>True Positive Rate:</m:t>
              </m:r>
              <m:r>
                <m:t>&amp;</m:t>
              </m:r>
              <m:r>
                <m:t>&amp;</m:t>
              </m:r>
              <m:r>
                <m:rPr>
                  <m:nor/>
                  <m:sty m:val="p"/>
                </m:rPr>
                <m:t>TPR</m:t>
              </m:r>
              <m:r>
                <m:rPr>
                  <m:sty m:val="p"/>
                </m:rPr>
                <m:t>(</m:t>
              </m:r>
              <m:r>
                <m:t>τ</m:t>
              </m:r>
              <m:r>
                <m:rPr>
                  <m:sty m:val="p"/>
                </m:rPr>
                <m:t>)</m:t>
              </m:r>
              <m:r>
                <m:rPr>
                  <m:sty m:val="p"/>
                </m:rPr>
                <m:t>=</m:t>
              </m:r>
              <m:f>
                <m:fPr>
                  <m:type m:val="bar"/>
                </m:fPr>
                <m:num>
                  <m:r>
                    <m:rPr>
                      <m:nor/>
                      <m:sty m:val="p"/>
                    </m:rPr>
                    <m:t>TP</m:t>
                  </m:r>
                  <m:r>
                    <m:rPr>
                      <m:sty m:val="p"/>
                    </m:rPr>
                    <m:t>(</m:t>
                  </m:r>
                  <m:r>
                    <m:t>τ</m:t>
                  </m:r>
                  <m:r>
                    <m:rPr>
                      <m:sty m:val="p"/>
                    </m:rPr>
                    <m:t>)</m:t>
                  </m:r>
                </m:num>
                <m:den>
                  <m:r>
                    <m:rPr>
                      <m:nor/>
                      <m:sty m:val="p"/>
                    </m:rPr>
                    <m:t>TP</m:t>
                  </m:r>
                  <m:r>
                    <m:rPr>
                      <m:sty m:val="p"/>
                    </m:rPr>
                    <m:t>(</m:t>
                  </m:r>
                  <m:r>
                    <m:t>τ</m:t>
                  </m:r>
                  <m:r>
                    <m:rPr>
                      <m:sty m:val="p"/>
                    </m:rPr>
                    <m:t>)</m:t>
                  </m:r>
                  <m:r>
                    <m:rPr>
                      <m:sty m:val="p"/>
                    </m:rPr>
                    <m:t>+</m:t>
                  </m:r>
                  <m:r>
                    <m:rPr>
                      <m:nor/>
                      <m:sty m:val="p"/>
                    </m:rPr>
                    <m:t>FN</m:t>
                  </m:r>
                  <m:r>
                    <m:rPr>
                      <m:sty m:val="p"/>
                    </m:rPr>
                    <m:t>(</m:t>
                  </m:r>
                  <m:r>
                    <m:t>τ</m:t>
                  </m:r>
                  <m:r>
                    <m:rPr>
                      <m:sty m:val="p"/>
                    </m:rPr>
                    <m:t>)</m:t>
                  </m:r>
                </m:den>
              </m:f>
            </m:e>
            <m:e>
              <m:r>
                <m:t>&amp;</m:t>
              </m:r>
              <m:r>
                <m:rPr>
                  <m:nor/>
                  <m:sty m:val="p"/>
                </m:rPr>
                <m:t>False Positive Rate:</m:t>
              </m:r>
              <m:r>
                <m:t>&amp;</m:t>
              </m:r>
              <m:r>
                <m:t>&amp;</m:t>
              </m:r>
              <m:r>
                <m:rPr>
                  <m:nor/>
                  <m:sty m:val="p"/>
                </m:rPr>
                <m:t>FPR</m:t>
              </m:r>
              <m:r>
                <m:rPr>
                  <m:sty m:val="p"/>
                </m:rPr>
                <m:t>(</m:t>
              </m:r>
              <m:r>
                <m:t>τ</m:t>
              </m:r>
              <m:r>
                <m:rPr>
                  <m:sty m:val="p"/>
                </m:rPr>
                <m:t>)</m:t>
              </m:r>
              <m:r>
                <m:rPr>
                  <m:sty m:val="p"/>
                </m:rPr>
                <m:t>=</m:t>
              </m:r>
              <m:f>
                <m:fPr>
                  <m:type m:val="bar"/>
                </m:fPr>
                <m:num>
                  <m:r>
                    <m:rPr>
                      <m:nor/>
                      <m:sty m:val="p"/>
                    </m:rPr>
                    <m:t>FP</m:t>
                  </m:r>
                  <m:r>
                    <m:rPr>
                      <m:sty m:val="p"/>
                    </m:rPr>
                    <m:t>(</m:t>
                  </m:r>
                  <m:r>
                    <m:t>τ</m:t>
                  </m:r>
                  <m:r>
                    <m:rPr>
                      <m:sty m:val="p"/>
                    </m:rPr>
                    <m:t>)</m:t>
                  </m:r>
                </m:num>
                <m:den>
                  <m:r>
                    <m:rPr>
                      <m:nor/>
                      <m:sty m:val="p"/>
                    </m:rPr>
                    <m:t>FP</m:t>
                  </m:r>
                  <m:r>
                    <m:rPr>
                      <m:sty m:val="p"/>
                    </m:rPr>
                    <m:t>(</m:t>
                  </m:r>
                  <m:r>
                    <m:t>τ</m:t>
                  </m:r>
                  <m:r>
                    <m:rPr>
                      <m:sty m:val="p"/>
                    </m:rPr>
                    <m:t>)</m:t>
                  </m:r>
                  <m:r>
                    <m:rPr>
                      <m:sty m:val="p"/>
                    </m:rPr>
                    <m:t>+</m:t>
                  </m:r>
                  <m:r>
                    <m:rPr>
                      <m:nor/>
                      <m:sty m:val="p"/>
                    </m:rPr>
                    <m:t>TN</m:t>
                  </m:r>
                  <m:r>
                    <m:rPr>
                      <m:sty m:val="p"/>
                    </m:rPr>
                    <m:t>(</m:t>
                  </m:r>
                  <m:r>
                    <m:t>τ</m:t>
                  </m:r>
                  <m:r>
                    <m:rPr>
                      <m:sty m:val="p"/>
                    </m:rPr>
                    <m:t>)</m:t>
                  </m:r>
                </m:den>
              </m:f>
            </m:e>
            <m:e>
              <m:r>
                <m:t>&amp;</m:t>
              </m:r>
              <m:r>
                <m:rPr>
                  <m:nor/>
                  <m:sty m:val="p"/>
                </m:rPr>
                <m:t>AUC:</m:t>
              </m:r>
              <m:r>
                <m:t>&amp;</m:t>
              </m:r>
              <m:r>
                <m:t>&amp;</m:t>
              </m:r>
              <m:r>
                <m:rPr>
                  <m:nor/>
                  <m:sty m:val="p"/>
                </m:rPr>
                <m:t>AUC</m:t>
              </m:r>
              <m:r>
                <m:rPr>
                  <m:sty m:val="p"/>
                </m:rPr>
                <m:t>=</m:t>
              </m:r>
              <m:nary>
                <m:naryPr>
                  <m:chr m:val="∫"/>
                  <m:limLoc m:val="subSup"/>
                  <m:subHide m:val="off"/>
                  <m:supHide m:val="off"/>
                </m:naryPr>
                <m:sub>
                  <m:r>
                    <m:t>0</m:t>
                  </m:r>
                </m:sub>
                <m:sup>
                  <m:r>
                    <m:t>1</m:t>
                  </m:r>
                </m:sup>
                <m:e>
                  <m:r>
                    <m:rPr>
                      <m:nor/>
                      <m:sty m:val="p"/>
                    </m:rPr>
                    <m:t>TPR</m:t>
                  </m:r>
                </m:e>
              </m:nary>
              <m:r>
                <m:rPr>
                  <m:sty m:val="p"/>
                </m:rPr>
                <m:t>(</m:t>
              </m:r>
              <m:r>
                <m:t>τ</m:t>
              </m:r>
              <m:r>
                <m:rPr>
                  <m:sty m:val="p"/>
                </m:rPr>
                <m:t>)</m:t>
              </m:r>
              <m:r>
                <m:t> </m:t>
              </m:r>
              <m:r>
                <m:t>d</m:t>
              </m:r>
              <m:r>
                <m:rPr>
                  <m:sty m:val="p"/>
                </m:rPr>
                <m:t>(</m:t>
              </m:r>
              <m:r>
                <m:rPr>
                  <m:nor/>
                  <m:sty m:val="p"/>
                </m:rPr>
                <m:t>FPR</m:t>
              </m:r>
              <m:r>
                <m:rPr>
                  <m:sty m:val="p"/>
                </m:rPr>
                <m:t>(</m:t>
              </m:r>
              <m:r>
                <m:t>τ</m:t>
              </m:r>
              <m:r>
                <m:rPr>
                  <m:sty m:val="p"/>
                </m:rPr>
                <m:t>)</m:t>
              </m:r>
              <m:r>
                <m:rPr>
                  <m:sty m:val="p"/>
                </m:rPr>
                <m:t>)</m:t>
              </m:r>
            </m:e>
            <m:e>
              <m:r>
                <m:t>&amp;</m:t>
              </m:r>
              <m:r>
                <m:rPr>
                  <m:nor/>
                  <m:sty m:val="p"/>
                </m:rPr>
                <m:t>Accuracy:</m:t>
              </m:r>
              <m:r>
                <m:t>&amp;</m:t>
              </m:r>
              <m:r>
                <m:t>&amp;</m:t>
              </m:r>
              <m:f>
                <m:fPr>
                  <m:type m:val="bar"/>
                </m:fPr>
                <m:num>
                  <m:r>
                    <m:rPr>
                      <m:nor/>
                      <m:sty m:val="p"/>
                    </m:rPr>
                    <m:t>TP</m:t>
                  </m:r>
                  <m:r>
                    <m:rPr>
                      <m:sty m:val="p"/>
                    </m:rPr>
                    <m:t>+</m:t>
                  </m:r>
                  <m:r>
                    <m:rPr>
                      <m:nor/>
                      <m:sty m:val="p"/>
                    </m:rPr>
                    <m:t>TN</m:t>
                  </m:r>
                </m:num>
                <m:den>
                  <m:r>
                    <m:rPr>
                      <m:nor/>
                      <m:sty m:val="p"/>
                    </m:rPr>
                    <m:t>TP</m:t>
                  </m:r>
                  <m:r>
                    <m:rPr>
                      <m:sty m:val="p"/>
                    </m:rPr>
                    <m:t>+</m:t>
                  </m:r>
                  <m:r>
                    <m:rPr>
                      <m:nor/>
                      <m:sty m:val="p"/>
                    </m:rPr>
                    <m:t>TN</m:t>
                  </m:r>
                  <m:r>
                    <m:rPr>
                      <m:sty m:val="p"/>
                    </m:rPr>
                    <m:t>+</m:t>
                  </m:r>
                  <m:r>
                    <m:rPr>
                      <m:nor/>
                      <m:sty m:val="p"/>
                    </m:rPr>
                    <m:t>FP</m:t>
                  </m:r>
                  <m:r>
                    <m:rPr>
                      <m:sty m:val="p"/>
                    </m:rPr>
                    <m:t>+</m:t>
                  </m:r>
                  <m:r>
                    <m:rPr>
                      <m:nor/>
                      <m:sty m:val="p"/>
                    </m:rPr>
                    <m:t>FN</m:t>
                  </m:r>
                </m:den>
              </m:f>
            </m:e>
            <m:e>
              <m:r>
                <m:t>&amp;</m:t>
              </m:r>
              <m:r>
                <m:rPr>
                  <m:nor/>
                  <m:sty m:val="p"/>
                </m:rPr>
                <m:t>Precision:</m:t>
              </m:r>
              <m:r>
                <m:t>&amp;</m:t>
              </m:r>
              <m:r>
                <m:t>&amp;</m:t>
              </m:r>
              <m:f>
                <m:fPr>
                  <m:type m:val="bar"/>
                </m:fPr>
                <m:num>
                  <m:r>
                    <m:rPr>
                      <m:nor/>
                      <m:sty m:val="p"/>
                    </m:rPr>
                    <m:t>TP</m:t>
                  </m:r>
                </m:num>
                <m:den>
                  <m:r>
                    <m:rPr>
                      <m:nor/>
                      <m:sty m:val="p"/>
                    </m:rPr>
                    <m:t>TP</m:t>
                  </m:r>
                  <m:r>
                    <m:rPr>
                      <m:sty m:val="p"/>
                    </m:rPr>
                    <m:t>+</m:t>
                  </m:r>
                  <m:r>
                    <m:rPr>
                      <m:nor/>
                      <m:sty m:val="p"/>
                    </m:rPr>
                    <m:t>FP</m:t>
                  </m:r>
                </m:den>
              </m:f>
            </m:e>
            <m:e>
              <m:r>
                <m:t>&amp;</m:t>
              </m:r>
              <m:r>
                <m:rPr>
                  <m:nor/>
                  <m:sty m:val="p"/>
                </m:rPr>
                <m:t>Recall (Sensitivity):</m:t>
              </m:r>
              <m:r>
                <m:t>&amp;</m:t>
              </m:r>
              <m:r>
                <m:t>&amp;</m:t>
              </m:r>
              <m:f>
                <m:fPr>
                  <m:type m:val="bar"/>
                </m:fPr>
                <m:num>
                  <m:r>
                    <m:rPr>
                      <m:nor/>
                      <m:sty m:val="p"/>
                    </m:rPr>
                    <m:t>TP</m:t>
                  </m:r>
                </m:num>
                <m:den>
                  <m:r>
                    <m:rPr>
                      <m:nor/>
                      <m:sty m:val="p"/>
                    </m:rPr>
                    <m:t>TP</m:t>
                  </m:r>
                  <m:r>
                    <m:rPr>
                      <m:sty m:val="p"/>
                    </m:rPr>
                    <m:t>+</m:t>
                  </m:r>
                  <m:r>
                    <m:rPr>
                      <m:nor/>
                      <m:sty m:val="p"/>
                    </m:rPr>
                    <m:t>FN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nor/>
                      <m:sty m:val="p"/>
                    </m:rPr>
                    <m:t>TN</m:t>
                  </m:r>
                </m:num>
                <m:den>
                  <m:r>
                    <m:rPr>
                      <m:nor/>
                      <m:sty m:val="p"/>
                    </m:rPr>
                    <m:t>TN</m:t>
                  </m:r>
                  <m:r>
                    <m:rPr>
                      <m:sty m:val="p"/>
                    </m:rPr>
                    <m:t>+</m:t>
                  </m:r>
                  <m:r>
                    <m:rPr>
                      <m:nor/>
                      <m:sty m:val="p"/>
                    </m:rPr>
                    <m:t>FP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oMath>
      </m:oMathPara>
    </w:p>
    <w:bookmarkEnd w:id="109"/>
    <w:bookmarkStart w:id="110" w:name="visualization-based-evaluation"/>
    <w:p>
      <w:pPr>
        <w:pStyle w:val="3"/>
      </w:pPr>
      <w:r>
        <w:t xml:space="preserve">Visualization-Based Evaluation</w:t>
      </w:r>
    </w:p>
    <w:p>
      <w:pPr>
        <w:numPr>
          <w:ilvl w:val="0"/>
          <w:numId w:val="1019"/>
        </w:numPr>
      </w:pPr>
      <w:r>
        <w:rPr>
          <w:b/>
          <w:bCs/>
        </w:rPr>
        <w:t xml:space="preserve">ROC Curves:</w:t>
      </w:r>
      <w:r>
        <w:t xml:space="preserve"> </w:t>
      </w:r>
      <w:r>
        <w:t xml:space="preserve">Plot</w:t>
      </w:r>
      <w:r>
        <w:t xml:space="preserve"> </w:t>
      </w:r>
      <m:oMath>
        <m:r>
          <m:rPr>
            <m:nor/>
            <m:sty m:val="p"/>
          </m:rPr>
          <m:t>TPR</m:t>
        </m:r>
        <m:r>
          <m:rPr>
            <m:sty m:val="p"/>
          </m:rPr>
          <m:t>(</m:t>
        </m:r>
        <m:r>
          <m:t>τ</m:t>
        </m:r>
        <m:r>
          <m:rPr>
            <m:sty m:val="p"/>
          </m:rPr>
          <m:t>)</m:t>
        </m:r>
      </m:oMath>
      <w:r>
        <w:t xml:space="preserve"> </w:t>
      </w:r>
      <w:r>
        <w:t xml:space="preserve">versus</w:t>
      </w:r>
      <w:r>
        <w:t xml:space="preserve"> </w:t>
      </w:r>
      <m:oMath>
        <m:r>
          <m:rPr>
            <m:nor/>
            <m:sty m:val="p"/>
          </m:rPr>
          <m:t>FPR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see the sensitivity-specificity trade-off.</w:t>
      </w:r>
    </w:p>
    <w:p>
      <w:pPr>
        <w:numPr>
          <w:ilvl w:val="0"/>
          <w:numId w:val="1019"/>
        </w:numPr>
      </w:pPr>
      <w:r>
        <w:rPr>
          <w:b/>
          <w:bCs/>
        </w:rPr>
        <w:t xml:space="preserve">Calibration Curves:</w:t>
      </w:r>
      <w:r>
        <w:t xml:space="preserve"> </w:t>
      </w:r>
      <w:r>
        <w:t xml:space="preserve">Check agreement between predicted probability</w:t>
      </w:r>
      <w:r>
        <w:t xml:space="preserve"> </w:t>
      </w:r>
      <m:oMath>
        <m:sSub>
          <m:e>
            <m:acc>
              <m:accPr>
                <m:chr m:val="̂"/>
              </m:accPr>
              <m:e>
                <m:r>
                  <m:t>p</m:t>
                </m:r>
              </m:e>
            </m:acc>
          </m:e>
          <m:sub>
            <m:r>
              <m:t>i</m:t>
            </m:r>
          </m:sub>
        </m:sSub>
      </m:oMath>
      <w:r>
        <w:t xml:space="preserve"> </w:t>
      </w:r>
      <w:r>
        <w:t xml:space="preserve">and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w:t>
      </w:r>
    </w:p>
    <w:p>
      <w:pPr>
        <w:pStyle w:val="a0"/>
      </w:pPr>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oMath>
      </m:oMathPara>
    </w:p>
    <w:p>
      <w:pPr>
        <w:numPr>
          <w:ilvl w:val="0"/>
          <w:numId w:val="1019"/>
        </w:numPr>
      </w:pPr>
      <w:r>
        <w:rPr>
          <w:b/>
          <w:bCs/>
        </w:rPr>
        <w:t xml:space="preserve">Decision Curve Analysis (DCA):</w:t>
      </w:r>
    </w:p>
    <w:p>
      <w:pPr>
        <w:pStyle w:val="a0"/>
      </w:pPr>
      <m:oMathPara>
        <m:oMathParaPr>
          <m:jc m:val="center"/>
        </m:oMathParaPr>
        <m:oMath>
          <m:r>
            <m:rPr>
              <m:nor/>
              <m:sty m:val="p"/>
            </m:rPr>
            <m:t>NB</m:t>
          </m:r>
          <m:r>
            <m:rPr>
              <m:sty m:val="p"/>
            </m:rPr>
            <m:t>(</m:t>
          </m:r>
          <m:sSub>
            <m:e>
              <m:r>
                <m:t>p</m:t>
              </m:r>
            </m:e>
            <m:sub>
              <m:r>
                <m:t>t</m:t>
              </m:r>
            </m:sub>
          </m:sSub>
          <m:r>
            <m:rPr>
              <m:sty m:val="p"/>
            </m:rPr>
            <m:t>)</m:t>
          </m:r>
          <m:r>
            <m:rPr>
              <m:sty m:val="p"/>
            </m:rPr>
            <m:t>=</m:t>
          </m:r>
          <m:f>
            <m:fPr>
              <m:type m:val="bar"/>
            </m:fPr>
            <m:num>
              <m:r>
                <m:rPr>
                  <m:nor/>
                  <m:sty m:val="p"/>
                </m:rPr>
                <m:t>TP</m:t>
              </m:r>
              <m:r>
                <m:rPr>
                  <m:sty m:val="p"/>
                </m:rPr>
                <m:t>(</m:t>
              </m:r>
              <m:sSub>
                <m:e>
                  <m:r>
                    <m:t>p</m:t>
                  </m:r>
                </m:e>
                <m:sub>
                  <m:r>
                    <m:t>t</m:t>
                  </m:r>
                </m:sub>
              </m:sSub>
              <m:r>
                <m:rPr>
                  <m:sty m:val="p"/>
                </m:rPr>
                <m:t>)</m:t>
              </m:r>
            </m:num>
            <m:den>
              <m:r>
                <m:t>n</m:t>
              </m:r>
            </m:den>
          </m:f>
          <m:r>
            <m:rPr>
              <m:sty m:val="p"/>
            </m:rPr>
            <m:t>−</m:t>
          </m:r>
          <m:f>
            <m:fPr>
              <m:type m:val="bar"/>
            </m:fPr>
            <m:num>
              <m:r>
                <m:rPr>
                  <m:nor/>
                  <m:sty m:val="p"/>
                </m:rPr>
                <m:t>FP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oMath>
      </m:oMathPara>
    </w:p>
    <w:p>
      <w:pPr>
        <w:numPr>
          <w:ilvl w:val="0"/>
          <w:numId w:val="1000"/>
        </w:numPr>
      </w:pPr>
      <w:r>
        <w:t xml:space="preserve">With benchmark strategies:</w:t>
      </w:r>
    </w:p>
    <w:p>
      <w:pPr>
        <w:pStyle w:val="a0"/>
      </w:pPr>
      <m:oMathPara>
        <m:oMathParaPr>
          <m:jc m:val="center"/>
        </m:oMathParaPr>
        <m:oMath>
          <m:sSub>
            <m:e>
              <m:r>
                <m:rPr>
                  <m:nor/>
                  <m:sty m:val="p"/>
                </m:rPr>
                <m:t>NB</m:t>
              </m:r>
            </m:e>
            <m:sub>
              <m:r>
                <m:rPr>
                  <m:nor/>
                  <m:sty m:val="p"/>
                </m:rPr>
                <m:t>all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sSub>
            <m:e>
              <m:r>
                <m:rPr>
                  <m:nor/>
                  <m:sty m:val="p"/>
                </m:rPr>
                <m:t>NB</m:t>
              </m:r>
            </m:e>
            <m:sub>
              <m:r>
                <m:rPr>
                  <m:nor/>
                  <m:sty m:val="p"/>
                </m:rPr>
                <m:t>none</m:t>
              </m:r>
            </m:sub>
          </m:sSub>
          <m:r>
            <m:rPr>
              <m:sty m:val="p"/>
            </m:rPr>
            <m:t>=</m:t>
          </m:r>
          <m:r>
            <m:t>0</m:t>
          </m:r>
        </m:oMath>
      </m:oMathPara>
    </w:p>
    <w:bookmarkEnd w:id="110"/>
    <w:bookmarkEnd w:id="111"/>
    <w:bookmarkStart w:id="113" w:name="experimental-setup-and-results"/>
    <w:p>
      <w:pPr>
        <w:pStyle w:val="2"/>
      </w:pPr>
      <w:r>
        <w:t xml:space="preserve">Experimental Setup and Results</w:t>
      </w:r>
    </w:p>
    <w:p>
      <w:pPr>
        <w:pStyle w:val="FirstParagraph"/>
      </w:pPr>
      <w:r>
        <w:t xml:space="preserve">Structured clinical data from two cancer centers in China provided a training cohort (Cohort A,</w:t>
      </w:r>
      <w:r>
        <w:t xml:space="preserve"> </w:t>
      </w:r>
      <m:oMath>
        <m:sSub>
          <m:e>
            <m:r>
              <m:t>n</m:t>
            </m:r>
          </m:e>
          <m:sub>
            <m:r>
              <m:t>s</m:t>
            </m:r>
          </m:sub>
        </m:sSub>
        <m:r>
          <m:rPr>
            <m:sty m:val="p"/>
          </m:rPr>
          <m:t>=</m:t>
        </m:r>
        <m:r>
          <m:t>295</m:t>
        </m:r>
      </m:oMath>
      <w:r>
        <w:t xml:space="preserve">) and an external test cohort (Cohort B,</w:t>
      </w:r>
      <w:r>
        <w:t xml:space="preserve"> </w:t>
      </w:r>
      <m:oMath>
        <m:sSub>
          <m:e>
            <m:r>
              <m:t>n</m:t>
            </m:r>
          </m:e>
          <m:sub>
            <m:r>
              <m:t>t</m:t>
            </m:r>
          </m:sub>
        </m:sSub>
        <m:r>
          <m:rPr>
            <m:sty m:val="p"/>
          </m:rPr>
          <m:t>=</m:t>
        </m:r>
        <m:r>
          <m:t>190</m:t>
        </m:r>
      </m:oMath>
      <w:r>
        <w:t xml:space="preserve">). Cohort A contained 63 structured features; Cohort B contained 58 (Table </w:t>
      </w:r>
      <w:hyperlink w:anchor="tbl:cohort_summary">
        <w:r>
          <w:rPr>
            <w:rStyle w:val="af"/>
          </w:rPr>
          <w:t xml:space="preserve">11</w:t>
        </w:r>
      </w:hyperlink>
      <w:r>
        <w:t xml:space="preserve">).</w:t>
      </w:r>
    </w:p>
    <w:bookmarkStart w:id="112" w:name="tbl:cohort_summary"/>
    <w:p>
      <w:pPr>
        <w:pStyle w:val="TableCaption"/>
      </w:pPr>
      <w:r>
        <w:t xml:space="preserve">Table 11: The training (Cohort A) and testing (Cohort B) cohorts.</w:t>
      </w:r>
    </w:p>
    <w:tbl>
      <w:tblPr>
        <w:tblStyle w:val="Table"/>
        <w:tblW w:type="auto" w:w="0"/>
        <w:tblLook w:firstRow="1" w:lastRow="0" w:firstColumn="0" w:lastColumn="0" w:noHBand="0" w:noVBand="0" w:val="0020"/>
        <w:tblCaption w:val="Table 11: The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12"/>
    <w:bookmarkEnd w:id="113"/>
    <w:bookmarkStart w:id="122" w:name="main-performance-results"/>
    <w:p>
      <w:pPr>
        <w:pStyle w:val="2"/>
      </w:pPr>
      <w:r>
        <w:t xml:space="preserve">Main Performance Results</w:t>
      </w:r>
    </w:p>
    <w:bookmarkStart w:id="119" w:name="source-and-target-domain-performance"/>
    <w:p>
      <w:pPr>
        <w:pStyle w:val="3"/>
      </w:pPr>
      <w:r>
        <w:t xml:space="preserve">Source and Target Domain Performance</w:t>
      </w:r>
    </w:p>
    <w:p>
      <w:pPr>
        <w:pStyle w:val="FirstParagraph"/>
      </w:pPr>
      <w:r>
        <w:t xml:space="preserve">While Figure </w:t>
      </w:r>
      <w:hyperlink w:anchor="fig:performance-heatmaps">
        <w:r>
          <w:rPr>
            <w:rStyle w:val="af"/>
          </w:rPr>
          <w:t xml:space="preserve">2</w:t>
        </w:r>
      </w:hyperlink>
      <w:r>
        <w:t xml:space="preserve"> </w:t>
      </w:r>
      <w:r>
        <w:t xml:space="preserve">visualizes the relative performance trends across methods, Table </w:t>
      </w:r>
      <w:hyperlink w:anchor="tbl:main_results_table">
        <w:r>
          <w:rPr>
            <w:rStyle w:val="af"/>
          </w:rPr>
          <w:t xml:space="preserve">12</w:t>
        </w:r>
      </w:hyperlink>
      <w:r>
        <w:t xml:space="preserve"> </w:t>
      </w:r>
      <w:r>
        <w:t xml:space="preserve">provides the precise numerical metrics for detailed comparison. In source-domain evaluation, PANDA achieved an of 0.829, significantly outperforming Random Forest (0.752) and clinical scores (Mayo 0.605).</w:t>
      </w:r>
    </w:p>
    <w:p>
      <w:pPr>
        <w:pStyle w:val="a0"/>
      </w:pPr>
      <w:r>
        <w:t xml:space="preserve">On the external target domain, the benefits of adaptation became clear. The TCA-enhanced PANDA model reached the highest of 0.705 and of 0.944. In contrast, Random Forest dropped to 0.632, and SVM to 0.628, indicating severe degradation due to domain shift. The clinical scores (Mayo, PKUPH) performed poorly (</w:t>
      </w:r>
      <m:oMath>
        <m:r>
          <m:rPr>
            <m:sty m:val="p"/>
          </m:rPr>
          <m:t>&lt;</m:t>
        </m:r>
      </m:oMath>
      <w:r>
        <w:t xml:space="preserve"> </w:t>
      </w:r>
      <w:r>
        <w:t xml:space="preserve">0.64), likely due to population differences between their original derivation cohorts and our Chinese hospital data.</w:t>
      </w:r>
    </w:p>
    <w:p>
      <w:pPr>
        <w:pStyle w:val="a0"/>
      </w:pPr>
      <w:r>
        <w:t xml:space="preserve">Figure </w:t>
      </w:r>
      <w:hyperlink w:anchor="fig:combined_analysis">
        <w:r>
          <w:rPr>
            <w:rStyle w:val="af"/>
          </w:rPr>
          <w:t xml:space="preserve">6</w:t>
        </w:r>
      </w:hyperlink>
      <w:r>
        <w:t xml:space="preserve"> </w:t>
      </w:r>
      <w:r>
        <w:t xml:space="preserve">complements these numbers with the ROC, calibration, and decision curves computed on both Cohort A and Cohort B, emphasizing how the TCA-aligned embeddings stabilize the model under cross-hospital deployment.</w:t>
      </w:r>
    </w:p>
    <w:bookmarkStart w:id="114" w:name="tbl:main_results_table"/>
    <w:p>
      <w:pPr>
        <w:pStyle w:val="TableCaption"/>
      </w:pPr>
      <w:r>
        <w:t xml:space="preserve">Table 12: Comprehensive performance comparison. Source results are from 10-fold CV; Target results are from external validation on Cohort B. Best values are bolded.</w:t>
      </w:r>
    </w:p>
    <w:tbl>
      <w:tblPr>
        <w:tblStyle w:val="Table"/>
        <w:tblW w:type="auto" w:w="0"/>
        <w:tblLook w:firstRow="1" w:lastRow="0" w:firstColumn="0" w:lastColumn="0" w:noHBand="0" w:noVBand="0" w:val="0020"/>
        <w:tblCaption w:val="Table 12: Comprehensive performance comparison. Source results are from 10-fold CV;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0.829</w:t>
            </w:r>
          </w:p>
        </w:tc>
        <w:tc>
          <w:tcPr/>
          <w:p>
            <w:pPr>
              <w:pStyle w:val="Compact"/>
              <w:jc w:val="center"/>
            </w:pPr>
            <w:r>
              <w:rPr>
                <w:b/>
                <w:bCs/>
              </w:rPr>
              <w:t xml:space="preserve">0.746</w:t>
            </w:r>
          </w:p>
        </w:tc>
        <w:tc>
          <w:tcPr/>
          <w:p>
            <w:pPr>
              <w:pStyle w:val="Compact"/>
              <w:jc w:val="center"/>
            </w:pPr>
            <w:r>
              <w:rPr>
                <w:b/>
                <w:bCs/>
              </w:rPr>
              <w:t xml:space="preserve">0.810</w:t>
            </w:r>
          </w:p>
        </w:tc>
        <w:tc>
          <w:tcPr/>
          <w:p>
            <w:pPr>
              <w:pStyle w:val="Compact"/>
              <w:jc w:val="center"/>
            </w:pPr>
            <w:r>
              <w:rPr>
                <w:b/>
                <w:bCs/>
              </w:rPr>
              <w:t xml:space="preserve">0.786</w:t>
            </w:r>
          </w:p>
        </w:tc>
        <w:tc>
          <w:tcPr/>
          <w:p>
            <w:pPr>
              <w:pStyle w:val="Compact"/>
              <w:jc w:val="center"/>
            </w:pPr>
            <w:r>
              <w:t xml:space="preserve">0.846</w:t>
            </w:r>
          </w:p>
        </w:tc>
      </w:tr>
      <w:tr>
        <w:tc>
          <w:tcPr/>
          <w:p>
            <w:pPr>
              <w:pStyle w:val="Compact"/>
              <w:jc w:val="left"/>
            </w:pPr>
            <w:r>
              <w:t xml:space="preserve">Random Forest</w:t>
            </w:r>
          </w:p>
        </w:tc>
        <w:tc>
          <w:tcPr/>
          <w:p>
            <w:pPr>
              <w:pStyle w:val="Compact"/>
              <w:jc w:val="center"/>
            </w:pPr>
            <w:r>
              <w:t xml:space="preserve">0.752</w:t>
            </w:r>
          </w:p>
        </w:tc>
        <w:tc>
          <w:tcPr/>
          <w:p>
            <w:pPr>
              <w:pStyle w:val="Compact"/>
              <w:jc w:val="center"/>
            </w:pPr>
            <w:r>
              <w:t xml:space="preserve">0.698</w:t>
            </w:r>
          </w:p>
        </w:tc>
        <w:tc>
          <w:tcPr/>
          <w:p>
            <w:pPr>
              <w:pStyle w:val="Compact"/>
              <w:jc w:val="center"/>
            </w:pPr>
            <w:r>
              <w:t xml:space="preserve">0.779</w:t>
            </w:r>
          </w:p>
        </w:tc>
        <w:tc>
          <w:tcPr/>
          <w:p>
            <w:pPr>
              <w:pStyle w:val="Compact"/>
              <w:jc w:val="center"/>
            </w:pPr>
            <w:r>
              <w:t xml:space="preserve">0.735</w:t>
            </w:r>
          </w:p>
        </w:tc>
        <w:tc>
          <w:tcPr/>
          <w:p>
            <w:pPr>
              <w:pStyle w:val="Compact"/>
              <w:jc w:val="center"/>
            </w:pPr>
            <w:r>
              <w:t xml:space="preserve">0.842</w:t>
            </w:r>
          </w:p>
        </w:tc>
      </w:tr>
      <w:tr>
        <w:tc>
          <w:tcPr/>
          <w:p>
            <w:pPr>
              <w:pStyle w:val="Compact"/>
              <w:jc w:val="left"/>
            </w:pPr>
            <w:r>
              <w:t xml:space="preserve">XGBoost</w:t>
            </w:r>
          </w:p>
        </w:tc>
        <w:tc>
          <w:tcPr/>
          <w:p>
            <w:pPr>
              <w:pStyle w:val="Compact"/>
              <w:jc w:val="center"/>
            </w:pPr>
            <w:r>
              <w:t xml:space="preserve">0.742</w:t>
            </w:r>
          </w:p>
        </w:tc>
        <w:tc>
          <w:tcPr/>
          <w:p>
            <w:pPr>
              <w:pStyle w:val="Compact"/>
              <w:jc w:val="center"/>
            </w:pPr>
            <w:r>
              <w:t xml:space="preserve">0.678</w:t>
            </w:r>
          </w:p>
        </w:tc>
        <w:tc>
          <w:tcPr/>
          <w:p>
            <w:pPr>
              <w:pStyle w:val="Compact"/>
              <w:jc w:val="center"/>
            </w:pPr>
            <w:r>
              <w:t xml:space="preserve">0.752</w:t>
            </w:r>
          </w:p>
        </w:tc>
        <w:tc>
          <w:tcPr/>
          <w:p>
            <w:pPr>
              <w:pStyle w:val="Compact"/>
              <w:jc w:val="center"/>
            </w:pPr>
            <w:r>
              <w:t xml:space="preserve">0.733</w:t>
            </w:r>
          </w:p>
        </w:tc>
        <w:tc>
          <w:tcPr/>
          <w:p>
            <w:pPr>
              <w:pStyle w:val="Compact"/>
              <w:jc w:val="center"/>
            </w:pPr>
            <w:r>
              <w:t xml:space="preserve">0.787</w:t>
            </w:r>
          </w:p>
        </w:tc>
      </w:tr>
      <w:tr>
        <w:tc>
          <w:tcPr/>
          <w:p>
            <w:pPr>
              <w:pStyle w:val="Compact"/>
              <w:jc w:val="left"/>
            </w:pPr>
            <w:r>
              <w:t xml:space="preserve">LASSO LR</w:t>
            </w:r>
          </w:p>
        </w:tc>
        <w:tc>
          <w:tcPr/>
          <w:p>
            <w:pPr>
              <w:pStyle w:val="Compact"/>
              <w:jc w:val="center"/>
            </w:pPr>
            <w:r>
              <w:t xml:space="preserve">0.763</w:t>
            </w:r>
          </w:p>
        </w:tc>
        <w:tc>
          <w:tcPr/>
          <w:p>
            <w:pPr>
              <w:pStyle w:val="Compact"/>
              <w:jc w:val="center"/>
            </w:pPr>
            <w:r>
              <w:t xml:space="preserve">0.722</w:t>
            </w:r>
          </w:p>
        </w:tc>
        <w:tc>
          <w:tcPr/>
          <w:p>
            <w:pPr>
              <w:pStyle w:val="Compact"/>
              <w:jc w:val="center"/>
            </w:pPr>
            <w:r>
              <w:t xml:space="preserve">0.810</w:t>
            </w:r>
          </w:p>
        </w:tc>
        <w:tc>
          <w:tcPr/>
          <w:p>
            <w:pPr>
              <w:pStyle w:val="Compact"/>
              <w:jc w:val="center"/>
            </w:pPr>
            <w:r>
              <w:t xml:space="preserve">0.723</w:t>
            </w:r>
          </w:p>
        </w:tc>
        <w:tc>
          <w:tcPr/>
          <w:p>
            <w:pPr>
              <w:pStyle w:val="Compact"/>
              <w:jc w:val="center"/>
            </w:pPr>
            <w:r>
              <w:rPr>
                <w:b/>
                <w:bCs/>
              </w:rPr>
              <w:t xml:space="preserve">0.925</w:t>
            </w:r>
          </w:p>
        </w:tc>
      </w:tr>
      <w:tr>
        <w:tc>
          <w:tcPr/>
          <w:p>
            <w:pPr>
              <w:pStyle w:val="Compact"/>
              <w:jc w:val="left"/>
            </w:pPr>
            <w:r>
              <w:t xml:space="preserve">Mayo Score</w:t>
            </w:r>
          </w:p>
        </w:tc>
        <w:tc>
          <w:tcPr/>
          <w:p>
            <w:pPr>
              <w:pStyle w:val="Compact"/>
              <w:jc w:val="center"/>
            </w:pPr>
            <w:r>
              <w:t xml:space="preserve">0.605</w:t>
            </w:r>
          </w:p>
        </w:tc>
        <w:tc>
          <w:tcPr/>
          <w:p>
            <w:pPr>
              <w:pStyle w:val="Compact"/>
              <w:jc w:val="center"/>
            </w:pPr>
            <w:r>
              <w:t xml:space="preserve">0.359</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PANDA + TCA</w:t>
            </w:r>
          </w:p>
        </w:tc>
        <w:tc>
          <w:tcPr/>
          <w:p>
            <w:pPr>
              <w:pStyle w:val="Compact"/>
              <w:jc w:val="center"/>
            </w:pPr>
            <w:r>
              <w:rPr>
                <w:b/>
                <w:bCs/>
              </w:rPr>
              <w:t xml:space="preserve">0.705</w:t>
            </w:r>
          </w:p>
        </w:tc>
        <w:tc>
          <w:tcPr/>
          <w:p>
            <w:pPr>
              <w:pStyle w:val="Compact"/>
              <w:jc w:val="center"/>
            </w:pPr>
            <w:r>
              <w:rPr>
                <w:b/>
                <w:bCs/>
              </w:rPr>
              <w:t xml:space="preserve">0.705</w:t>
            </w:r>
          </w:p>
        </w:tc>
        <w:tc>
          <w:tcPr/>
          <w:p>
            <w:pPr>
              <w:pStyle w:val="Compact"/>
              <w:jc w:val="center"/>
            </w:pPr>
            <w:r>
              <w:rPr>
                <w:b/>
                <w:bCs/>
              </w:rPr>
              <w:t xml:space="preserve">0.808</w:t>
            </w:r>
          </w:p>
        </w:tc>
        <w:tc>
          <w:tcPr/>
          <w:p>
            <w:pPr>
              <w:pStyle w:val="Compact"/>
              <w:jc w:val="center"/>
            </w:pPr>
            <w:r>
              <w:t xml:space="preserve">0.707</w:t>
            </w:r>
          </w:p>
        </w:tc>
        <w:tc>
          <w:tcPr/>
          <w:p>
            <w:pPr>
              <w:pStyle w:val="Compact"/>
              <w:jc w:val="center"/>
            </w:pPr>
            <w:r>
              <w:rPr>
                <w:b/>
                <w:bCs/>
              </w:rPr>
              <w:t xml:space="preserve">0.944</w:t>
            </w:r>
          </w:p>
        </w:tc>
      </w:tr>
      <w:tr>
        <w:tc>
          <w:tcPr/>
          <w:p>
            <w:pPr>
              <w:pStyle w:val="Compact"/>
              <w:jc w:val="left"/>
            </w:pPr>
            <w:r>
              <w:t xml:space="preserve">PANDA (No UDA)</w:t>
            </w:r>
          </w:p>
        </w:tc>
        <w:tc>
          <w:tcPr/>
          <w:p>
            <w:pPr>
              <w:pStyle w:val="Compact"/>
              <w:jc w:val="center"/>
            </w:pPr>
            <w:r>
              <w:t xml:space="preserve">0.698</w:t>
            </w:r>
          </w:p>
        </w:tc>
        <w:tc>
          <w:tcPr/>
          <w:p>
            <w:pPr>
              <w:pStyle w:val="Compact"/>
              <w:jc w:val="center"/>
            </w:pPr>
            <w:r>
              <w:t xml:space="preserve">0.663</w:t>
            </w:r>
          </w:p>
        </w:tc>
        <w:tc>
          <w:tcPr/>
          <w:p>
            <w:pPr>
              <w:pStyle w:val="Compact"/>
              <w:jc w:val="center"/>
            </w:pPr>
            <w:r>
              <w:t xml:space="preserve">0.776</w:t>
            </w:r>
          </w:p>
        </w:tc>
        <w:tc>
          <w:tcPr/>
          <w:p>
            <w:pPr>
              <w:pStyle w:val="Compact"/>
              <w:jc w:val="center"/>
            </w:pPr>
            <w:r>
              <w:t xml:space="preserve">0.689</w:t>
            </w:r>
          </w:p>
        </w:tc>
        <w:tc>
          <w:tcPr/>
          <w:p>
            <w:pPr>
              <w:pStyle w:val="Compact"/>
              <w:jc w:val="center"/>
            </w:pPr>
            <w:r>
              <w:t xml:space="preserve">0.888</w:t>
            </w:r>
          </w:p>
        </w:tc>
      </w:tr>
      <w:tr>
        <w:tc>
          <w:tcPr/>
          <w:p>
            <w:pPr>
              <w:pStyle w:val="Compact"/>
              <w:jc w:val="left"/>
            </w:pPr>
            <w:r>
              <w:t xml:space="preserve">Random Forest</w:t>
            </w:r>
          </w:p>
        </w:tc>
        <w:tc>
          <w:tcPr/>
          <w:p>
            <w:pPr>
              <w:pStyle w:val="Compact"/>
              <w:jc w:val="center"/>
            </w:pPr>
            <w:r>
              <w:t xml:space="preserve">0.632</w:t>
            </w:r>
          </w:p>
        </w:tc>
        <w:tc>
          <w:tcPr/>
          <w:p>
            <w:pPr>
              <w:pStyle w:val="Compact"/>
              <w:jc w:val="center"/>
            </w:pPr>
            <w:r>
              <w:t xml:space="preserve">0.679</w:t>
            </w:r>
          </w:p>
        </w:tc>
        <w:tc>
          <w:tcPr/>
          <w:p>
            <w:pPr>
              <w:pStyle w:val="Compact"/>
              <w:jc w:val="center"/>
            </w:pPr>
            <w:r>
              <w:t xml:space="preserve">0.775</w:t>
            </w:r>
          </w:p>
        </w:tc>
        <w:tc>
          <w:tcPr/>
          <w:p>
            <w:pPr>
              <w:pStyle w:val="Compact"/>
              <w:jc w:val="center"/>
            </w:pPr>
            <w:r>
              <w:t xml:space="preserve">0.713</w:t>
            </w:r>
          </w:p>
        </w:tc>
        <w:tc>
          <w:tcPr/>
          <w:p>
            <w:pPr>
              <w:pStyle w:val="Compact"/>
              <w:jc w:val="center"/>
            </w:pPr>
            <w:r>
              <w:t xml:space="preserve">0.854</w:t>
            </w:r>
          </w:p>
        </w:tc>
      </w:tr>
      <w:tr>
        <w:tc>
          <w:tcPr/>
          <w:p>
            <w:pPr>
              <w:pStyle w:val="Compact"/>
              <w:jc w:val="left"/>
            </w:pPr>
            <w:r>
              <w:t xml:space="preserve">SVM</w:t>
            </w:r>
          </w:p>
        </w:tc>
        <w:tc>
          <w:tcPr/>
          <w:p>
            <w:pPr>
              <w:pStyle w:val="Compact"/>
              <w:jc w:val="center"/>
            </w:pPr>
            <w:r>
              <w:t xml:space="preserve">0.628</w:t>
            </w:r>
          </w:p>
        </w:tc>
        <w:tc>
          <w:tcPr/>
          <w:p>
            <w:pPr>
              <w:pStyle w:val="Compact"/>
              <w:jc w:val="center"/>
            </w:pPr>
            <w:r>
              <w:t xml:space="preserve">0.568</w:t>
            </w:r>
          </w:p>
        </w:tc>
        <w:tc>
          <w:tcPr/>
          <w:p>
            <w:pPr>
              <w:pStyle w:val="Compact"/>
              <w:jc w:val="center"/>
            </w:pPr>
            <w:r>
              <w:t xml:space="preserve">0.647</w:t>
            </w:r>
          </w:p>
        </w:tc>
        <w:tc>
          <w:tcPr/>
          <w:p>
            <w:pPr>
              <w:pStyle w:val="Compact"/>
              <w:jc w:val="center"/>
            </w:pPr>
            <w:r>
              <w:t xml:space="preserve">0.695</w:t>
            </w:r>
          </w:p>
        </w:tc>
        <w:tc>
          <w:tcPr/>
          <w:p>
            <w:pPr>
              <w:pStyle w:val="Compact"/>
              <w:jc w:val="center"/>
            </w:pPr>
            <w:r>
              <w:t xml:space="preserve">0.606</w:t>
            </w:r>
          </w:p>
        </w:tc>
      </w:tr>
      <w:tr>
        <w:tc>
          <w:tcPr/>
          <w:p>
            <w:pPr>
              <w:pStyle w:val="Compact"/>
              <w:jc w:val="left"/>
            </w:pPr>
            <w:r>
              <w:t xml:space="preserve">PKUPH Score</w:t>
            </w:r>
          </w:p>
        </w:tc>
        <w:tc>
          <w:tcPr/>
          <w:p>
            <w:pPr>
              <w:pStyle w:val="Compact"/>
              <w:jc w:val="center"/>
            </w:pPr>
            <w:r>
              <w:t xml:space="preserve">0.636</w:t>
            </w:r>
          </w:p>
        </w:tc>
        <w:tc>
          <w:tcPr/>
          <w:p>
            <w:pPr>
              <w:pStyle w:val="Compact"/>
              <w:jc w:val="center"/>
            </w:pPr>
            <w:r>
              <w:t xml:space="preserve">0.695</w:t>
            </w:r>
          </w:p>
        </w:tc>
        <w:tc>
          <w:tcPr/>
          <w:p>
            <w:pPr>
              <w:pStyle w:val="Compact"/>
              <w:jc w:val="center"/>
            </w:pPr>
            <w:r>
              <w:t xml:space="preserve">0.784</w:t>
            </w:r>
          </w:p>
        </w:tc>
        <w:tc>
          <w:tcPr/>
          <w:p>
            <w:pPr>
              <w:pStyle w:val="Compact"/>
              <w:jc w:val="center"/>
            </w:pPr>
            <w:r>
              <w:rPr>
                <w:b/>
                <w:bCs/>
              </w:rPr>
              <w:t xml:space="preserve">0.733</w:t>
            </w:r>
          </w:p>
        </w:tc>
        <w:tc>
          <w:tcPr/>
          <w:p>
            <w:pPr>
              <w:pStyle w:val="Compact"/>
              <w:jc w:val="center"/>
            </w:pPr>
            <w:r>
              <w:t xml:space="preserve">0.847</w:t>
            </w:r>
          </w:p>
        </w:tc>
      </w:tr>
      <w:tr>
        <w:tc>
          <w:tcPr/>
          <w:p>
            <w:pPr>
              <w:pStyle w:val="Compact"/>
              <w:jc w:val="left"/>
            </w:pPr>
            <w:r>
              <w:t xml:space="preserve">Mayo Score</w:t>
            </w:r>
          </w:p>
        </w:tc>
        <w:tc>
          <w:tcPr/>
          <w:p>
            <w:pPr>
              <w:pStyle w:val="Compact"/>
              <w:jc w:val="center"/>
            </w:pPr>
            <w:r>
              <w:t xml:space="preserve">0.584</w:t>
            </w:r>
          </w:p>
        </w:tc>
        <w:tc>
          <w:tcPr/>
          <w:p>
            <w:pPr>
              <w:pStyle w:val="Compact"/>
              <w:jc w:val="center"/>
            </w:pPr>
            <w:r>
              <w:t xml:space="preserve">0.342</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114"/>
    <w:bookmarkStart w:id="118" w:name="fig:performance-heatmaps"/>
    <w:p>
      <w:pPr>
        <w:pStyle w:val="CaptionedFigure"/>
      </w:pPr>
      <w:r>
        <w:drawing>
          <wp:inline>
            <wp:extent cx="5486400" cy="7190814"/>
            <wp:effectExtent b="0" l="0" r="0" t="0"/>
            <wp:docPr descr="Figure 2: Performance comparison heatmaps. a Source domain 10-fold CV. b Cross-domain external validation." title="" id="116" name="Picture"/>
            <a:graphic>
              <a:graphicData uri="http://schemas.openxmlformats.org/drawingml/2006/picture">
                <pic:pic>
                  <pic:nvPicPr>
                    <pic:cNvPr descr="img/cross_hospital/combined_heatmaps_nature.pdf" id="117" name="Picture"/>
                    <pic:cNvPicPr>
                      <a:picLocks noChangeArrowheads="1" noChangeAspect="1"/>
                    </pic:cNvPicPr>
                  </pic:nvPicPr>
                  <pic:blipFill>
                    <a:blip r:embed="rId115"/>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Performance comparison heatmaps.</w:t>
      </w:r>
      <w:r>
        <w:t xml:space="preserve"> </w:t>
      </w:r>
      <w:r>
        <w:rPr>
          <w:b/>
          <w:bCs/>
        </w:rPr>
        <w:t xml:space="preserve">a</w:t>
      </w:r>
      <w:r>
        <w:t xml:space="preserve"> </w:t>
      </w:r>
      <w:r>
        <w:t xml:space="preserve">Source domain 10-fold CV.</w:t>
      </w:r>
      <w:r>
        <w:t xml:space="preserve"> </w:t>
      </w:r>
      <w:r>
        <w:rPr>
          <w:b/>
          <w:bCs/>
        </w:rPr>
        <w:t xml:space="preserve">b</w:t>
      </w:r>
      <w:r>
        <w:t xml:space="preserve"> </w:t>
      </w:r>
      <w:r>
        <w:t xml:space="preserve">Cross-domain external validation.</w:t>
      </w:r>
    </w:p>
    <w:bookmarkEnd w:id="118"/>
    <w:bookmarkEnd w:id="119"/>
    <w:bookmarkStart w:id="121" w:name="stratified-analysis"/>
    <w:p>
      <w:pPr>
        <w:pStyle w:val="3"/>
      </w:pPr>
      <w:r>
        <w:t xml:space="preserve">Stratified Analysis</w:t>
      </w:r>
    </w:p>
    <w:p>
      <w:pPr>
        <w:pStyle w:val="FirstParagraph"/>
      </w:pPr>
      <w:r>
        <w:t xml:space="preserve">To investigate potential biases, we evaluated PANDA’s performance across key subgroups (Table </w:t>
      </w:r>
      <w:hyperlink w:anchor="tbl:stratified_analysis">
        <w:r>
          <w:rPr>
            <w:rStyle w:val="af"/>
          </w:rPr>
          <w:t xml:space="preserve">13</w:t>
        </w:r>
      </w:hyperlink>
      <w:r>
        <w:t xml:space="preserve">).</w:t>
      </w:r>
    </w:p>
    <w:p>
      <w:pPr>
        <w:numPr>
          <w:ilvl w:val="0"/>
          <w:numId w:val="1020"/>
        </w:numPr>
      </w:pPr>
      <w:r>
        <w:rPr>
          <w:b/>
          <w:bCs/>
        </w:rPr>
        <w:t xml:space="preserve">Nodule Size</w:t>
      </w:r>
      <w:r>
        <w:t xml:space="preserve">: Performance is robust for large nodules (</w:t>
      </w:r>
      <m:oMath>
        <m:r>
          <m:rPr>
            <m:sty m:val="p"/>
          </m:rPr>
          <m:t>&gt;</m:t>
        </m:r>
      </m:oMath>
      <w:r>
        <w:t xml:space="preserve">8mm, 0.74) but drops for sub-centimeter nodules (0.65), reflecting the inherent difficulty in radiological characterization of small lesions.</w:t>
      </w:r>
    </w:p>
    <w:p>
      <w:pPr>
        <w:numPr>
          <w:ilvl w:val="0"/>
          <w:numId w:val="1020"/>
        </w:numPr>
      </w:pPr>
      <w:r>
        <w:rPr>
          <w:b/>
          <w:bCs/>
        </w:rPr>
        <w:t xml:space="preserve">Smoking Status</w:t>
      </w:r>
      <w:r>
        <w:t xml:space="preserve">: The model performs better in smokers (0.72) than non-smokers (0.68), likely because smoking provides a strong prior for malignancy that the model leverages.</w:t>
      </w:r>
    </w:p>
    <w:p>
      <w:pPr>
        <w:numPr>
          <w:ilvl w:val="0"/>
          <w:numId w:val="1020"/>
        </w:numPr>
      </w:pPr>
      <w:r>
        <w:rPr>
          <w:b/>
          <w:bCs/>
        </w:rPr>
        <w:t xml:space="preserve">Gender</w:t>
      </w:r>
      <w:r>
        <w:t xml:space="preserve">: We observed consistent performance across gender (0.70 vs 0.71), suggesting no significant gender bias.</w:t>
      </w:r>
    </w:p>
    <w:bookmarkStart w:id="120" w:name="tbl:stratified_analysis"/>
    <w:p>
      <w:pPr>
        <w:pStyle w:val="TableCaption"/>
      </w:pPr>
      <w:r>
        <w:t xml:space="preserve">Table 13: Stratified performance of PANDA+TCA on the target cohort.</w:t>
      </w:r>
    </w:p>
    <w:tbl>
      <w:tblPr>
        <w:tblStyle w:val="Table"/>
        <w:tblW w:type="auto" w:w="0"/>
        <w:tblLook w:firstRow="1" w:lastRow="0" w:firstColumn="0" w:lastColumn="0" w:noHBand="0" w:noVBand="0" w:val="0020"/>
        <w:tblCaption w:val="Table 13: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20"/>
    <w:bookmarkEnd w:id="121"/>
    <w:bookmarkEnd w:id="122"/>
    <w:bookmarkStart w:id="128" w:name="Xeb8444293c335c02aa0e3942d172889dfa450a5"/>
    <w:p>
      <w:pPr>
        <w:pStyle w:val="2"/>
      </w:pPr>
      <w:r>
        <w:t xml:space="preserve">Additional Cross-Domain Validation on TableShift</w:t>
      </w:r>
    </w:p>
    <w:p>
      <w:pPr>
        <w:pStyle w:val="FirstParagraph"/>
      </w:pPr>
      <w:r>
        <w:t xml:space="preserve">We further validated PANDA on the TableShift BRFSS Diabetes benchmark (White</w:t>
      </w:r>
      <w:r>
        <w:t xml:space="preserve"> </w:t>
      </w:r>
      <m:oMath>
        <m:r>
          <m:rPr>
            <m:sty m:val="p"/>
          </m:rPr>
          <m:t>→</m:t>
        </m:r>
      </m:oMath>
      <w:r>
        <w:t xml:space="preserve"> </w:t>
      </w:r>
      <w:r>
        <w:t xml:space="preserve">Non-White race shift).</w:t>
      </w:r>
    </w:p>
    <w:bookmarkStart w:id="123" w:name="tbl:tableshift_results"/>
    <w:p>
      <w:pPr>
        <w:pStyle w:val="TableCaption"/>
      </w:pPr>
      <w:r>
        <w:t xml:space="preserve">Table 14: TableShift BRFSS Diabetes Results (Race Shift). OOD = Out of Distribution (Non-White).</w:t>
      </w:r>
    </w:p>
    <w:tbl>
      <w:tblPr>
        <w:tblStyle w:val="Table"/>
        <w:tblW w:type="auto" w:w="0"/>
        <w:tblLook w:firstRow="1" w:lastRow="0" w:firstColumn="0" w:lastColumn="0" w:noHBand="0" w:noVBand="0" w:val="0020"/>
        <w:tblCaption w:val="Table 14: TableShift BRFSS Diabetes Results (Race Shift). OOD = Out of Distribution (Non-White)."/>
      </w:tblPr>
      <w:tblGrid>
        <w:gridCol w:w="1584"/>
        <w:gridCol w:w="1584"/>
        <w:gridCol w:w="1584"/>
        <w:gridCol w:w="1584"/>
        <w:gridCol w:w="1584"/>
      </w:tblGrid>
      <w:tr>
        <w:trPr>
          <w:tblHeader w:val="on"/>
        </w:trPr>
        <w:tc>
          <w:tcPr/>
          <w:p>
            <w:pPr>
              <w:pStyle w:val="Compact"/>
              <w:jc w:val="left"/>
            </w:pPr>
            <w:r>
              <w:rPr>
                <w:b/>
                <w:bCs/>
              </w:rPr>
              <w:t xml:space="preserve">Model</w:t>
            </w:r>
          </w:p>
        </w:tc>
        <w:tc>
          <w:tcPr/>
          <w:p>
            <w:pPr>
              <w:pStyle w:val="Compact"/>
              <w:jc w:val="center"/>
            </w:pPr>
            <w:r>
              <w:rPr>
                <w:b/>
                <w:bCs/>
              </w:rPr>
              <w:t xml:space="preserve">ID</w:t>
            </w:r>
          </w:p>
        </w:tc>
        <w:tc>
          <w:tcPr/>
          <w:p>
            <w:pPr>
              <w:pStyle w:val="Compact"/>
              <w:jc w:val="center"/>
            </w:pPr>
            <w:r>
              <w:rPr>
                <w:b/>
                <w:bCs/>
              </w:rPr>
              <w:t xml:space="preserve">OOD</w:t>
            </w:r>
          </w:p>
        </w:tc>
        <w:tc>
          <w:tcPr/>
          <w:p>
            <w:pPr>
              <w:pStyle w:val="Compact"/>
              <w:jc w:val="center"/>
            </w:pPr>
            <w:r>
              <w:rPr>
                <w:b/>
                <w:bCs/>
              </w:rPr>
              <w:t xml:space="preserve">OOD Acc</w:t>
            </w:r>
          </w:p>
        </w:tc>
        <w:tc>
          <w:tcPr/>
          <w:p>
            <w:pPr>
              <w:pStyle w:val="Compact"/>
              <w:jc w:val="center"/>
            </w:pPr>
            <w:r>
              <w:rPr>
                <w:b/>
                <w:bCs/>
              </w:rPr>
              <w:t xml:space="preserve">Gap</w:t>
            </w:r>
          </w:p>
        </w:tc>
      </w:tr>
      <w:tr>
        <w:tc>
          <w:tcPr/>
          <w:p>
            <w:pPr>
              <w:pStyle w:val="Compact"/>
              <w:jc w:val="left"/>
            </w:pPr>
            <w:r>
              <w:rPr>
                <w:b/>
                <w:bCs/>
              </w:rPr>
              <w:t xml:space="preserve">PANDA + TCA</w:t>
            </w:r>
          </w:p>
        </w:tc>
        <w:tc>
          <w:tcPr/>
          <w:p>
            <w:pPr>
              <w:pStyle w:val="Compact"/>
              <w:jc w:val="center"/>
            </w:pPr>
            <w:r>
              <w:t xml:space="preserve">0.809</w:t>
            </w:r>
          </w:p>
        </w:tc>
        <w:tc>
          <w:tcPr/>
          <w:p>
            <w:pPr>
              <w:pStyle w:val="Compact"/>
              <w:jc w:val="center"/>
            </w:pPr>
            <w:r>
              <w:rPr>
                <w:b/>
                <w:bCs/>
              </w:rPr>
              <w:t xml:space="preserve">0.804</w:t>
            </w:r>
          </w:p>
        </w:tc>
        <w:tc>
          <w:tcPr/>
          <w:p>
            <w:pPr>
              <w:pStyle w:val="Compact"/>
              <w:jc w:val="center"/>
            </w:pPr>
            <w:r>
              <w:rPr>
                <w:b/>
                <w:bCs/>
              </w:rPr>
              <w:t xml:space="preserve">0.848</w:t>
            </w:r>
          </w:p>
        </w:tc>
        <w:tc>
          <w:tcPr/>
          <w:p>
            <w:pPr>
              <w:pStyle w:val="Compact"/>
              <w:jc w:val="center"/>
            </w:pPr>
            <w:r>
              <w:rPr>
                <w:b/>
                <w:bCs/>
              </w:rPr>
              <w:t xml:space="preserve">-0.005</w:t>
            </w:r>
          </w:p>
        </w:tc>
      </w:tr>
      <w:tr>
        <w:tc>
          <w:tcPr/>
          <w:p>
            <w:pPr>
              <w:pStyle w:val="Compact"/>
              <w:jc w:val="left"/>
            </w:pPr>
            <w:r>
              <w:t xml:space="preserve">PANDA (No UDA)</w:t>
            </w:r>
          </w:p>
        </w:tc>
        <w:tc>
          <w:tcPr/>
          <w:p>
            <w:pPr>
              <w:pStyle w:val="Compact"/>
              <w:jc w:val="center"/>
            </w:pPr>
            <w:r>
              <w:t xml:space="preserve">0.809</w:t>
            </w:r>
          </w:p>
        </w:tc>
        <w:tc>
          <w:tcPr/>
          <w:p>
            <w:pPr>
              <w:pStyle w:val="Compact"/>
              <w:jc w:val="center"/>
            </w:pPr>
            <w:r>
              <w:t xml:space="preserve">0.796</w:t>
            </w:r>
          </w:p>
        </w:tc>
        <w:tc>
          <w:tcPr/>
          <w:p>
            <w:pPr>
              <w:pStyle w:val="Compact"/>
              <w:jc w:val="center"/>
            </w:pPr>
            <w:r>
              <w:t xml:space="preserve">0.847</w:t>
            </w:r>
          </w:p>
        </w:tc>
        <w:tc>
          <w:tcPr/>
          <w:p>
            <w:pPr>
              <w:pStyle w:val="Compact"/>
              <w:jc w:val="center"/>
            </w:pPr>
            <w:r>
              <w:t xml:space="preserve">-0.013</w:t>
            </w:r>
          </w:p>
        </w:tc>
      </w:tr>
      <w:tr>
        <w:tc>
          <w:tcPr/>
          <w:p>
            <w:pPr>
              <w:pStyle w:val="Compact"/>
              <w:jc w:val="left"/>
            </w:pPr>
            <w:r>
              <w:t xml:space="preserve">XGBoost</w:t>
            </w:r>
          </w:p>
        </w:tc>
        <w:tc>
          <w:tcPr/>
          <w:p>
            <w:pPr>
              <w:pStyle w:val="Compact"/>
              <w:jc w:val="center"/>
            </w:pPr>
            <w:r>
              <w:t xml:space="preserve">0.815</w:t>
            </w:r>
          </w:p>
        </w:tc>
        <w:tc>
          <w:tcPr/>
          <w:p>
            <w:pPr>
              <w:pStyle w:val="Compact"/>
              <w:jc w:val="center"/>
            </w:pPr>
            <w:r>
              <w:t xml:space="preserve">0.783</w:t>
            </w:r>
          </w:p>
        </w:tc>
        <w:tc>
          <w:tcPr/>
          <w:p>
            <w:pPr>
              <w:pStyle w:val="Compact"/>
              <w:jc w:val="center"/>
            </w:pPr>
            <w:r>
              <w:t xml:space="preserve">0.840</w:t>
            </w:r>
          </w:p>
        </w:tc>
        <w:tc>
          <w:tcPr/>
          <w:p>
            <w:pPr>
              <w:pStyle w:val="Compact"/>
              <w:jc w:val="center"/>
            </w:pPr>
            <w:r>
              <w:t xml:space="preserve">-0.032</w:t>
            </w:r>
          </w:p>
        </w:tc>
      </w:tr>
      <w:tr>
        <w:tc>
          <w:tcPr/>
          <w:p>
            <w:pPr>
              <w:pStyle w:val="Compact"/>
              <w:jc w:val="left"/>
            </w:pPr>
            <w:r>
              <w:t xml:space="preserve">Decision Tree</w:t>
            </w:r>
          </w:p>
        </w:tc>
        <w:tc>
          <w:tcPr/>
          <w:p>
            <w:pPr>
              <w:pStyle w:val="Compact"/>
              <w:jc w:val="center"/>
            </w:pPr>
            <w:r>
              <w:t xml:space="preserve">0.680</w:t>
            </w:r>
          </w:p>
        </w:tc>
        <w:tc>
          <w:tcPr/>
          <w:p>
            <w:pPr>
              <w:pStyle w:val="Compact"/>
              <w:jc w:val="center"/>
            </w:pPr>
            <w:r>
              <w:t xml:space="preserve">0.566</w:t>
            </w:r>
          </w:p>
        </w:tc>
        <w:tc>
          <w:tcPr/>
          <w:p>
            <w:pPr>
              <w:pStyle w:val="Compact"/>
              <w:jc w:val="center"/>
            </w:pPr>
            <w:r>
              <w:t xml:space="preserve">0.720</w:t>
            </w:r>
          </w:p>
        </w:tc>
        <w:tc>
          <w:tcPr/>
          <w:p>
            <w:pPr>
              <w:pStyle w:val="Compact"/>
              <w:jc w:val="center"/>
            </w:pPr>
            <w:r>
              <w:t xml:space="preserve">-0.114</w:t>
            </w:r>
          </w:p>
        </w:tc>
      </w:tr>
    </w:tbl>
    <w:bookmarkEnd w:id="123"/>
    <w:p>
      <w:pPr>
        <w:pStyle w:val="a0"/>
      </w:pPr>
      <w:r>
        <w:t xml:space="preserve">As shown in Table </w:t>
      </w:r>
      <w:hyperlink w:anchor="tbl:tableshift_results">
        <w:r>
          <w:rPr>
            <w:rStyle w:val="af"/>
          </w:rPr>
          <w:t xml:space="preserve">14</w:t>
        </w:r>
      </w:hyperlink>
      <w:r>
        <w:t xml:space="preserve">, PANDA+TCA maintained an of 0.804 on the OOD target, showing almost zero degradation from the ID source (0.809). In contrast, XGBoost dropped from 0.815 to 0.783.</w:t>
      </w:r>
    </w:p>
    <w:p>
      <w:pPr>
        <w:pStyle w:val="a0"/>
      </w:pPr>
      <w:r>
        <w:rPr>
          <w:b/>
          <w:bCs/>
        </w:rPr>
        <w:t xml:space="preserve">Discussion on Precision/Recall</w:t>
      </w:r>
      <w:r>
        <w:t xml:space="preserve">:</w:t>
      </w:r>
      <w:r>
        <w:t xml:space="preserve"> </w:t>
      </w:r>
      <w:r>
        <w:t xml:space="preserve">Readers may notice low</w:t>
      </w:r>
      <w:r>
        <w:t xml:space="preserve"> </w:t>
      </w:r>
      <m:oMath>
        <m:r>
          <m:rPr>
            <m:nor/>
            <m:sty m:val="p"/>
          </m:rPr>
          <m:t>F1 Score</m:t>
        </m:r>
      </m:oMath>
      <w:r>
        <w:t xml:space="preserve">s in BRFSS despite high</w:t>
      </w:r>
      <w:r>
        <w:t xml:space="preserve"> </w:t>
      </w:r>
      <m:oMath>
        <m:r>
          <m:rPr>
            <m:nor/>
            <m:sty m:val="p"/>
          </m:rPr>
          <m:t>Accuracy</m:t>
        </m:r>
      </m:oMath>
      <w:r>
        <w:t xml:space="preserve"> </w:t>
      </w:r>
      <w:r>
        <w:t xml:space="preserve">(Fig. </w:t>
      </w:r>
      <w:hyperlink w:anchor="fig:brfss-roc">
        <w:r>
          <w:rPr>
            <w:rStyle w:val="af"/>
          </w:rPr>
          <w:t xml:space="preserve">3</w:t>
        </w:r>
      </w:hyperlink>
      <w:r>
        <w:t xml:space="preserve">). This is an artifact of the low</w:t>
      </w:r>
      <w:r>
        <w:t xml:space="preserve"> </w:t>
      </w:r>
      <m:oMath>
        <m:r>
          <m:t>π</m:t>
        </m:r>
      </m:oMath>
      <w:r>
        <w:t xml:space="preserve"> </w:t>
      </w:r>
      <w:r>
        <w:t xml:space="preserve">(17.4%) and the default 0.5 threshold. The model correctly identifies most negatives (high</w:t>
      </w:r>
      <w:r>
        <w:t xml:space="preserve"> </w:t>
      </w:r>
      <m:oMath>
        <m:r>
          <m:rPr>
            <m:nor/>
            <m:sty m:val="p"/>
          </m:rPr>
          <m:t>Accuracy</m:t>
        </m:r>
      </m:oMath>
      <w:r>
        <w:t xml:space="preserve">) but, without class re-weighting, yields moderate</w:t>
      </w:r>
      <w:r>
        <w:t xml:space="preserve"> </w:t>
      </w:r>
      <m:oMath>
        <m:r>
          <m:rPr>
            <m:nor/>
            <m:sty m:val="p"/>
          </m:rPr>
          <m:t>Precision</m:t>
        </m:r>
      </m:oMath>
      <w:r>
        <w:t xml:space="preserve"> </w:t>
      </w:r>
      <w:r>
        <w:t xml:space="preserve">on the minority positive class. For screening purposes, the high</w:t>
      </w:r>
      <w:r>
        <w:t xml:space="preserve"> </w:t>
      </w:r>
      <m:oMath>
        <m:r>
          <m:rPr>
            <m:nor/>
            <m:sty m:val="p"/>
          </m:rPr>
          <m:t>AUC</m:t>
        </m:r>
      </m:oMath>
      <w:r>
        <w:t xml:space="preserve"> </w:t>
      </w:r>
      <w:r>
        <w:t xml:space="preserve">(0.804) confirms the model’s discriminative power; the operating point can be adjusted via threshold tuning to prioritize</w:t>
      </w:r>
      <w:r>
        <w:t xml:space="preserve"> </w:t>
      </w:r>
      <m:oMath>
        <m:r>
          <m:rPr>
            <m:nor/>
            <m:sty m:val="p"/>
          </m:rPr>
          <m:t>Recall</m:t>
        </m:r>
      </m:oMath>
      <w:r>
        <w:t xml:space="preserve">.</w:t>
      </w:r>
    </w:p>
    <w:bookmarkStart w:id="127" w:name="fig:brfss-roc"/>
    <w:p>
      <w:pPr>
        <w:pStyle w:val="CaptionedFigure"/>
      </w:pPr>
      <w:r>
        <w:drawing>
          <wp:inline>
            <wp:extent cx="5212080" cy="5814527"/>
            <wp:effectExtent b="0" l="0" r="0" t="0"/>
            <wp:docPr descr="Figure 3: TableShift BRFSS Diabetes analysis. a,b ROC curves showing PANDA’s robustness. c,d Calibration curves. e,f Decision curves." title="" id="125" name="Picture"/>
            <a:graphic>
              <a:graphicData uri="http://schemas.openxmlformats.org/drawingml/2006/picture">
                <pic:pic>
                  <pic:nvPicPr>
                    <pic:cNvPr descr="img/tableshift/combined_analysis_figure.pdf" id="126" name="Picture"/>
                    <pic:cNvPicPr>
                      <a:picLocks noChangeArrowheads="1" noChangeAspect="1"/>
                    </pic:cNvPicPr>
                  </pic:nvPicPr>
                  <pic:blipFill>
                    <a:blip r:embed="rId124"/>
                    <a:stretch>
                      <a:fillRect/>
                    </a:stretch>
                  </pic:blipFill>
                  <pic:spPr bwMode="auto">
                    <a:xfrm>
                      <a:off x="0" y="0"/>
                      <a:ext cx="5212080" cy="5814527"/>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TableShift BRFSS Diabetes analysis.</w:t>
      </w:r>
      <w:r>
        <w:t xml:space="preserve"> </w:t>
      </w:r>
      <w:r>
        <w:rPr>
          <w:b/>
          <w:bCs/>
        </w:rPr>
        <w:t xml:space="preserve">a,b</w:t>
      </w:r>
      <w:r>
        <w:t xml:space="preserve"> </w:t>
      </w:r>
      <w:r>
        <w:t xml:space="preserve">ROC curves showing PANDA’s robustness.</w:t>
      </w:r>
      <w:r>
        <w:t xml:space="preserve"> </w:t>
      </w:r>
      <w:r>
        <w:rPr>
          <w:b/>
          <w:bCs/>
        </w:rPr>
        <w:t xml:space="preserve">c,d</w:t>
      </w:r>
      <w:r>
        <w:t xml:space="preserve"> </w:t>
      </w:r>
      <w:r>
        <w:t xml:space="preserve">Calibration curves.</w:t>
      </w:r>
      <w:r>
        <w:t xml:space="preserve"> </w:t>
      </w:r>
      <w:r>
        <w:rPr>
          <w:b/>
          <w:bCs/>
        </w:rPr>
        <w:t xml:space="preserve">e,f</w:t>
      </w:r>
      <w:r>
        <w:t xml:space="preserve"> </w:t>
      </w:r>
      <w:r>
        <w:t xml:space="preserve">Decision curves.</w:t>
      </w:r>
    </w:p>
    <w:bookmarkEnd w:id="127"/>
    <w:bookmarkEnd w:id="128"/>
    <w:bookmarkStart w:id="142" w:name="interpretability-and-stability"/>
    <w:p>
      <w:pPr>
        <w:pStyle w:val="2"/>
      </w:pPr>
      <w:r>
        <w:t xml:space="preserve">Interpretability and Stability</w:t>
      </w:r>
    </w:p>
    <w:p>
      <w:pPr>
        <w:pStyle w:val="FirstParagraph"/>
      </w:pPr>
      <w:r>
        <w:t xml:space="preserve">Recursive Feature Elimination (RFE) identified a stable subset of 8 features (Age, Spiculation, etc.) that maximized the Cost-Effectiveness Index (Fig. </w:t>
      </w:r>
      <w:hyperlink w:anchor="fig:rfe-performance">
        <w:r>
          <w:rPr>
            <w:rStyle w:val="af"/>
          </w:rPr>
          <w:t xml:space="preserve">5</w:t>
        </w:r>
      </w:hyperlink>
      <w:r>
        <w:t xml:space="preserve">). This "best8" set performed within 1% of the full 63-feature set but with significantly better cross-center stability.</w:t>
      </w:r>
      <w:r>
        <w:t xml:space="preserve"> </w:t>
      </w:r>
      <w:r>
        <w:t xml:space="preserve">Figure </w:t>
      </w:r>
      <w:hyperlink w:anchor="fig:feature_selection_uda">
        <w:r>
          <w:rPr>
            <w:rStyle w:val="af"/>
          </w:rPr>
          <w:t xml:space="preserve">4</w:t>
        </w:r>
      </w:hyperlink>
      <w:r>
        <w:t xml:space="preserve"> </w:t>
      </w:r>
      <w:r>
        <w:t xml:space="preserve">illustrates how cross-domain feature selection interacts with UDA to keep the pooled covariance low, making the latent alignment problem easier for TCA.</w:t>
      </w:r>
    </w:p>
    <w:bookmarkStart w:id="132" w:name="fig:feature_selection_uda"/>
    <w:p>
      <w:pPr>
        <w:pStyle w:val="CaptionedFigure"/>
      </w:pPr>
      <w:r>
        <w:drawing>
          <wp:inline>
            <wp:extent cx="5486400" cy="4318000"/>
            <wp:effectExtent b="0" l="0" r="0" t="0"/>
            <wp:docPr descr="Figure 4: Feature selection meets UDA. Selecting features with low pooled variance (left column) reduces the domain gap seen by TCA (right column), keeping cross-domain covariance traces small." title="" id="130" name="Picture"/>
            <a:graphic>
              <a:graphicData uri="http://schemas.openxmlformats.org/drawingml/2006/picture">
                <pic:pic>
                  <pic:nvPicPr>
                    <pic:cNvPr descr="img/cross_hospital/Feature Selection and UDA.pdf" id="131" name="Picture"/>
                    <pic:cNvPicPr>
                      <a:picLocks noChangeArrowheads="1" noChangeAspect="1"/>
                    </pic:cNvPicPr>
                  </pic:nvPicPr>
                  <pic:blipFill>
                    <a:blip r:embed="rId129"/>
                    <a:stretch>
                      <a:fillRect/>
                    </a:stretch>
                  </pic:blipFill>
                  <pic:spPr bwMode="auto">
                    <a:xfrm>
                      <a:off x="0" y="0"/>
                      <a:ext cx="5486400" cy="4318000"/>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Feature selection meets UDA.</w:t>
      </w:r>
      <w:r>
        <w:t xml:space="preserve"> </w:t>
      </w:r>
      <w:r>
        <w:t xml:space="preserve">Selecting features with low pooled variance (left column) reduces the domain gap seen by TCA (right column), keeping cross-domain covariance traces small.</w:t>
      </w:r>
    </w:p>
    <w:bookmarkEnd w:id="132"/>
    <w:bookmarkStart w:id="136" w:name="fig:rfe-performance"/>
    <w:p>
      <w:pPr>
        <w:pStyle w:val="CaptionedFigure"/>
      </w:pPr>
      <w:r>
        <w:drawing>
          <wp:inline>
            <wp:extent cx="5486400" cy="5769847"/>
            <wp:effectExtent b="0" l="0" r="0" t="0"/>
            <wp:docPr descr="Figure 5: RFE performance analysis. a plateaus around 8-10 features. b Stability improves with smaller subsets." title="" id="134" name="Picture"/>
            <a:graphic>
              <a:graphicData uri="http://schemas.openxmlformats.org/drawingml/2006/picture">
                <pic:pic>
                  <pic:nvPicPr>
                    <pic:cNvPr descr="img/cross_hospital/feature_performance_comparison_comprehensive.pdf" id="135" name="Picture"/>
                    <pic:cNvPicPr>
                      <a:picLocks noChangeArrowheads="1" noChangeAspect="1"/>
                    </pic:cNvPicPr>
                  </pic:nvPicPr>
                  <pic:blipFill>
                    <a:blip r:embed="rId133"/>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5: RFE performance analysis.</w:t>
      </w:r>
      <w:r>
        <w:t xml:space="preserve"> </w:t>
      </w:r>
      <w:r>
        <w:rPr>
          <w:b/>
          <w:bCs/>
        </w:rPr>
        <w:t xml:space="preserve">a</w:t>
      </w:r>
      <w:r>
        <w:t xml:space="preserve"> </w:t>
      </w:r>
      <w:r>
        <w:t xml:space="preserve">plateaus around 8-10 features.</w:t>
      </w:r>
      <w:r>
        <w:t xml:space="preserve"> </w:t>
      </w:r>
      <w:r>
        <w:rPr>
          <w:b/>
          <w:bCs/>
        </w:rPr>
        <w:t xml:space="preserve">b</w:t>
      </w:r>
      <w:r>
        <w:t xml:space="preserve"> </w:t>
      </w:r>
      <w:r>
        <w:t xml:space="preserve">Stability improves with smaller subsets.</w:t>
      </w:r>
    </w:p>
    <w:bookmarkEnd w:id="136"/>
    <w:bookmarkStart w:id="140" w:name="fig:combined_analysis"/>
    <w:p>
      <w:pPr>
        <w:pStyle w:val="CaptionedFigure"/>
      </w:pPr>
      <w:r>
        <w:drawing>
          <wp:inline>
            <wp:extent cx="5486400" cy="6125919"/>
            <wp:effectExtent b="0" l="0" r="0" t="0"/>
            <wp:docPr descr="Figure 6: Cross-hospital pulmonary nodule analysis. a,b ROC curves. c,d Calibration plots. e,f Decision curves." title="" id="138" name="Picture"/>
            <a:graphic>
              <a:graphicData uri="http://schemas.openxmlformats.org/drawingml/2006/picture">
                <pic:pic>
                  <pic:nvPicPr>
                    <pic:cNvPr descr="img/cross_hospital/combined_analysis_figure.pdf" id="139" name="Picture"/>
                    <pic:cNvPicPr>
                      <a:picLocks noChangeArrowheads="1" noChangeAspect="1"/>
                    </pic:cNvPicPr>
                  </pic:nvPicPr>
                  <pic:blipFill>
                    <a:blip r:embed="rId137"/>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Cross-hospital pulmonary nodule analysis.</w:t>
      </w:r>
      <w:r>
        <w:t xml:space="preserve"> </w:t>
      </w:r>
      <w:r>
        <w:rPr>
          <w:b/>
          <w:bCs/>
        </w:rPr>
        <w:t xml:space="preserve">a,b</w:t>
      </w:r>
      <w:r>
        <w:t xml:space="preserve"> </w:t>
      </w:r>
      <w:r>
        <w:t xml:space="preserve">ROC curves.</w:t>
      </w:r>
      <w:r>
        <w:t xml:space="preserve"> </w:t>
      </w:r>
      <w:r>
        <w:rPr>
          <w:b/>
          <w:bCs/>
        </w:rPr>
        <w:t xml:space="preserve">c,d</w:t>
      </w:r>
      <w:r>
        <w:t xml:space="preserve"> </w:t>
      </w:r>
      <w:r>
        <w:t xml:space="preserve">Calibration plots.</w:t>
      </w:r>
      <w:r>
        <w:t xml:space="preserve"> </w:t>
      </w:r>
      <w:r>
        <w:rPr>
          <w:b/>
          <w:bCs/>
        </w:rPr>
        <w:t xml:space="preserve">e,f</w:t>
      </w:r>
      <w:r>
        <w:t xml:space="preserve"> </w:t>
      </w:r>
      <w:r>
        <w:t xml:space="preserve">Decision curves.</w:t>
      </w:r>
    </w:p>
    <w:bookmarkEnd w:id="140"/>
    <w:p>
      <w:pPr>
        <w:pStyle w:val="a0"/>
      </w:pPr>
      <w:bookmarkStart w:id="141" w:name="sec:eval-end"/>
      <w:bookmarkEnd w:id="141"/>
    </w:p>
    <w:bookmarkEnd w:id="142"/>
    <w:bookmarkEnd w:id="143"/>
    <w:bookmarkStart w:id="155" w:name="sec:conclusion"/>
    <w:p>
      <w:pPr>
        <w:pStyle w:val="1"/>
      </w:pPr>
      <w:r>
        <w:t xml:space="preserve">Conclusion</w:t>
      </w:r>
    </w:p>
    <w:bookmarkStart w:id="144" w:name="summary-of-contributions"/>
    <w:p>
      <w:pPr>
        <w:pStyle w:val="2"/>
      </w:pPr>
      <w:r>
        <w:t xml:space="preserve">Summary of Contributions</w:t>
      </w:r>
    </w:p>
    <w:p>
      <w:pPr>
        <w:pStyle w:val="FirstParagraph"/>
      </w:pPr>
      <w:r>
        <w:t xml:space="preserve">This dissertation presented PANDA, a framework that bridges the gap between pre-trained foundation models and the practical realities of medical tabular data—namely, small sample sizes, feature heterogeneity, and distribution shift. Our experiments across private cross-hospital cohorts and public benchmarks demonstrate that:</w:t>
      </w:r>
    </w:p>
    <w:p>
      <w:pPr>
        <w:numPr>
          <w:ilvl w:val="0"/>
          <w:numId w:val="1021"/>
        </w:numPr>
      </w:pPr>
      <w:r>
        <w:rPr>
          <w:b/>
          <w:bCs/>
        </w:rPr>
        <w:t xml:space="preserve">Foundation Models as Robust Priors</w:t>
      </w:r>
      <w:r>
        <w:t xml:space="preserve">: The pre-trained TabPFN backbone significantly outperforms traditional baselines (Random Forest, XGBoost) on small datasets (</w:t>
      </w:r>
      <m:oMath>
        <m:r>
          <m:t>n</m:t>
        </m:r>
        <m:r>
          <m:rPr>
            <m:sty m:val="p"/>
          </m:rPr>
          <m:t>&lt;</m:t>
        </m:r>
        <m:r>
          <m:t>300</m:t>
        </m:r>
      </m:oMath>
      <w:r>
        <w:t xml:space="preserve">) by leveraging priors learned from millions of synthetic tasks. This "in-context learning" capability provides a strong initialization that is inherently more resistant to overfitting than empirical risk minimization.</w:t>
      </w:r>
    </w:p>
    <w:p>
      <w:pPr>
        <w:numPr>
          <w:ilvl w:val="0"/>
          <w:numId w:val="1021"/>
        </w:numPr>
      </w:pPr>
      <w:r>
        <w:rPr>
          <w:b/>
          <w:bCs/>
        </w:rPr>
        <w:t xml:space="preserve">Stability via Selection</w:t>
      </w:r>
      <w:r>
        <w:t xml:space="preserve">: The Cross-Domain Recursive Feature Elimination (RFE) protocol proved essential for filtering out site-specific artifacts. By converging on a minimal set of 8 stable predictors, we reduced the dimensionality of the adaptation problem, allowing linear alignment methods to succeed where non-linear ones failed.</w:t>
      </w:r>
    </w:p>
    <w:p>
      <w:pPr>
        <w:numPr>
          <w:ilvl w:val="0"/>
          <w:numId w:val="1021"/>
        </w:numPr>
      </w:pPr>
      <w:r>
        <w:rPr>
          <w:b/>
          <w:bCs/>
        </w:rPr>
        <w:t xml:space="preserve">Latent Space Alignment</w:t>
      </w:r>
      <w:r>
        <w:t xml:space="preserve">: Transfer Component Analysis (TCA) applied in the embedding space of the Transformer effectively minimized the Maximum Mean Discrepancy (MMD) between domains. This alignment yielded a consistent performance gain (AUC +0.007) and, more importantly, improved calibration in the target domain.</w:t>
      </w:r>
    </w:p>
    <w:bookmarkEnd w:id="144"/>
    <w:bookmarkStart w:id="148" w:name="limitations"/>
    <w:p>
      <w:pPr>
        <w:pStyle w:val="2"/>
      </w:pPr>
      <w:r>
        <w:t xml:space="preserve">Limitations</w:t>
      </w:r>
    </w:p>
    <w:p>
      <w:pPr>
        <w:pStyle w:val="FirstParagraph"/>
      </w:pPr>
      <w:r>
        <w:t xml:space="preserve">While PANDA advances the state of the art, several limitations must be acknowledged:</w:t>
      </w:r>
    </w:p>
    <w:bookmarkStart w:id="145" w:name="closed-world-assumption"/>
    <w:p>
      <w:pPr>
        <w:pStyle w:val="3"/>
      </w:pPr>
      <w:r>
        <w:t xml:space="preserve">Closed-World Assumption</w:t>
      </w:r>
    </w:p>
    <w:p>
      <w:pPr>
        <w:pStyle w:val="FirstParagraph"/>
      </w:pPr>
      <w:r>
        <w:t xml:space="preserve">PANDA assumes that the source and target domains share a common feature schema (the intersection set). It cannot handle "open-world" shifts where the target domain introduces entirely new, highly predictive features that were absent in the source. For instance, if a new hospital introduces a molecular biomarker (e.g., DNA methylation) that was not collected in the training cohort, PANDA cannot leverage it without re-training. This "lowest common denominator" approach to feature selection ensures stability but may cap the ceiling of performance compared to models trained on richer, site-specific schemas.</w:t>
      </w:r>
    </w:p>
    <w:bookmarkEnd w:id="145"/>
    <w:bookmarkStart w:id="146" w:name="missing-data-mechanisms"/>
    <w:p>
      <w:pPr>
        <w:pStyle w:val="3"/>
      </w:pPr>
      <w:r>
        <w:t xml:space="preserve">Missing Data Mechanisms</w:t>
      </w:r>
    </w:p>
    <w:p>
      <w:pPr>
        <w:pStyle w:val="FirstParagraph"/>
      </w:pPr>
      <w:r>
        <w:t xml:space="preserve">Our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chosen partly for its high completeness. However, in clinical practice, data is often Missing Not At Random (MNAR)—for example, a test is not ordered because the doctor suspects the patient is too healthy or too sick. PANDA’s current imputation strategies (mean/median/contextual) do not explicitly model this informative missingness, potentially introducing bias.</w:t>
      </w:r>
    </w:p>
    <w:bookmarkEnd w:id="146"/>
    <w:bookmarkStart w:id="147" w:name="computational-resource-requirements"/>
    <w:p>
      <w:pPr>
        <w:pStyle w:val="3"/>
      </w:pPr>
      <w:r>
        <w:t xml:space="preserve">Computational Resource Requirements</w:t>
      </w:r>
    </w:p>
    <w:p>
      <w:pPr>
        <w:pStyle w:val="FirstParagraph"/>
      </w:pPr>
      <w:r>
        <w:t xml:space="preserve">Unlike decision trees which can run on embedded CPUs, TabPFN requires a GPU for efficient inference (approx. 20ms per patient). While this is negligible for a cloud-based service, it poses a barrier for deployment on edge devices (e.g., older hospital PCs)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requiring subsampling strategies for larger datasets (like BRFSS).</w:t>
      </w:r>
    </w:p>
    <w:bookmarkEnd w:id="147"/>
    <w:bookmarkEnd w:id="148"/>
    <w:bookmarkStart w:id="152" w:name="future-directions"/>
    <w:p>
      <w:pPr>
        <w:pStyle w:val="2"/>
      </w:pPr>
      <w:r>
        <w:t xml:space="preserve">Future Directions</w:t>
      </w:r>
    </w:p>
    <w:bookmarkStart w:id="149" w:name="federated-domain-adaptation"/>
    <w:p>
      <w:pPr>
        <w:pStyle w:val="3"/>
      </w:pPr>
      <w:r>
        <w:t xml:space="preserve">Federated Domain Adaptation</w:t>
      </w:r>
    </w:p>
    <w:p>
      <w:pPr>
        <w:pStyle w:val="FirstParagraph"/>
      </w:pPr>
      <w:r>
        <w:t xml:space="preserve">Privacy regulations (GDPR, HIPAA) often prevent the centralization of medical data. A promising extension of PANDA is "Federated Domain Adaptation," where the feature extractor (TabPFN) is frozen and shared, while the alignment matrix (TCA) is learned via secure multi-party computation. Since TCA only requires second-order statistics (covariance matrices), these sufficient statistics can be aggregated across hospitals without ever sharing patient-level records.</w:t>
      </w:r>
    </w:p>
    <w:bookmarkEnd w:id="149"/>
    <w:bookmarkStart w:id="150" w:name="multimodal-integration"/>
    <w:p>
      <w:pPr>
        <w:pStyle w:val="3"/>
      </w:pPr>
      <w:r>
        <w:t xml:space="preserve">Multimodal Integration</w:t>
      </w:r>
    </w:p>
    <w:p>
      <w:pPr>
        <w:pStyle w:val="FirstParagraph"/>
      </w:pPr>
      <w:r>
        <w:t xml:space="preserve">Pulmonary nodule diagnosis inherently involves imaging (CT scans) alongside clinical data. Future work should explore a "Multimodal PANDA" that aligns tabular embeddings from TabPFN with visual embeddings from a CNN or Vision Transformer. The cross-attention mechanism could weigh the contribution of clinical history vs. radiological appearance based on the domain shift—relying more on the stable modality when the other is prone to artifacts.</w:t>
      </w:r>
    </w:p>
    <w:bookmarkEnd w:id="150"/>
    <w:bookmarkStart w:id="151" w:name="continual-learning-for-temporal-drift"/>
    <w:p>
      <w:pPr>
        <w:pStyle w:val="3"/>
      </w:pPr>
      <w:r>
        <w:t xml:space="preserve">Continual Learning for Temporal Drift</w:t>
      </w:r>
    </w:p>
    <w:p>
      <w:pPr>
        <w:pStyle w:val="FirstParagraph"/>
      </w:pPr>
      <w:r>
        <w:t xml:space="preserve">Our BRFSS analysis showed that models degrade over time (2015</w:t>
      </w:r>
      <w:r>
        <w:t xml:space="preserve"> </w:t>
      </w:r>
      <m:oMath>
        <m:r>
          <m:rPr>
            <m:sty m:val="p"/>
          </m:rPr>
          <m:t>→</m:t>
        </m:r>
      </m:oMath>
      <w:r>
        <w:t xml:space="preserve"> </w:t>
      </w:r>
      <w:r>
        <w:t xml:space="preserve">2022) as populations and coding standards evolve. Extending PANDA to a "Continual Learning" setting, where the alignment matrix</w:t>
      </w:r>
      <w:r>
        <w:t xml:space="preserve"> </w:t>
      </w:r>
      <m:oMath>
        <m:r>
          <m:rPr>
            <m:sty m:val="b"/>
          </m:rPr>
          <m:t>W</m:t>
        </m:r>
      </m:oMath>
      <w:r>
        <w:t xml:space="preserve"> </w:t>
      </w:r>
      <w:r>
        <w:t xml:space="preserve">is updated incrementally as new batches of data arrive (Online TCA), would allow the system to adapt to temporal drift without catastrophic forgetting of the original source knowledge.</w:t>
      </w:r>
    </w:p>
    <w:bookmarkEnd w:id="151"/>
    <w:bookmarkEnd w:id="152"/>
    <w:bookmarkStart w:id="154" w:name="final-remarks"/>
    <w:p>
      <w:pPr>
        <w:pStyle w:val="2"/>
      </w:pPr>
      <w:r>
        <w:t xml:space="preserve">Final Remarks</w:t>
      </w:r>
    </w:p>
    <w:p>
      <w:pPr>
        <w:pStyle w:val="FirstParagraph"/>
      </w:pPr>
      <w:r>
        <w:t xml:space="preserve">The deployment gap in medical AI is rarely due to a lack of sophisticated architectures but rather a failure to handle the messy, shifted nature of real-world data. PANDA offers a pragmatic blueprint for this challenge:</w:t>
      </w:r>
      <w:r>
        <w:t xml:space="preserve"> </w:t>
      </w:r>
      <w:r>
        <w:rPr>
          <w:i/>
          <w:iCs/>
        </w:rPr>
        <w:t xml:space="preserve">Don’t learn everything from scratch; select only what is stable; and align what remains.</w:t>
      </w:r>
      <w:r>
        <w:t xml:space="preserve"> </w:t>
      </w:r>
      <w:r>
        <w:t xml:space="preserve">By treating pre-trained representations as portable priors and statistical alignment as a safety net, we move closer to reliable, cross-institutional AI systems that can safely scale beyond their initial training sites.</w:t>
      </w:r>
    </w:p>
    <w:p>
      <w:pPr>
        <w:pStyle w:val="a0"/>
      </w:pPr>
      <w:bookmarkStart w:id="153" w:name="sec:concl-end"/>
      <w:bookmarkEnd w:id="153"/>
    </w:p>
    <w:bookmarkEnd w:id="154"/>
    <w:bookmarkEnd w:id="155"/>
    <w:bookmarkStart w:id="305"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bookmarkStart w:id="156" w:name="sec:ack-end"/>
      <w:bookmarkEnd w:id="156"/>
    </w:p>
    <w:bookmarkStart w:id="304" w:name="refs"/>
    <w:bookmarkStart w:id="157"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57"/>
    <w:bookmarkStart w:id="158"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58"/>
    <w:bookmarkStart w:id="159"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59"/>
    <w:bookmarkStart w:id="160"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60"/>
    <w:bookmarkStart w:id="162" w:name="ref-garau_external_2020"/>
    <w:p>
      <w:pPr>
        <w:pStyle w:val="a9"/>
      </w:pPr>
      <w:r>
        <w:t xml:space="preserve">[5]</w:t>
      </w:r>
      <w:r>
        <w:t xml:space="preserve"> </w:t>
      </w:r>
      <w:r>
        <w:t xml:space="preserve">	</w:t>
      </w:r>
      <w:r>
        <w:t xml:space="preserve">Garau N, Paganelli C, Summers P, Choi W, Alam S, Lu W, Fanciullo C, Bellomi M, Baroni G, Rampinelli C 2020.</w:t>
      </w:r>
      <w:r>
        <w:t xml:space="preserve"> </w:t>
      </w:r>
      <w:hyperlink r:id="rId161">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62"/>
    <w:bookmarkStart w:id="164" w:name="ref-zhang_comprehensive_2022"/>
    <w:p>
      <w:pPr>
        <w:pStyle w:val="a9"/>
      </w:pPr>
      <w:r>
        <w:t xml:space="preserve">[6]</w:t>
      </w:r>
      <w:r>
        <w:t xml:space="preserve"> </w:t>
      </w:r>
      <w:r>
        <w:t xml:space="preserve">	</w:t>
      </w:r>
      <w:r>
        <w:t xml:space="preserve">Zhang K, Wei Z, Nie Y, Shen H, Wang X, Wang J, Yang F, Chen K 2022.</w:t>
      </w:r>
      <w:r>
        <w:t xml:space="preserve"> </w:t>
      </w:r>
      <w:hyperlink r:id="rId163">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64"/>
    <w:bookmarkStart w:id="166" w:name="ref-liu_establishment_2024"/>
    <w:p>
      <w:pPr>
        <w:pStyle w:val="a9"/>
      </w:pPr>
      <w:r>
        <w:t xml:space="preserve">[7]</w:t>
      </w:r>
      <w:r>
        <w:t xml:space="preserve"> </w:t>
      </w:r>
      <w:r>
        <w:t xml:space="preserve">	</w:t>
      </w:r>
      <w:r>
        <w:t xml:space="preserve">Liu Q, Lv X, Zhou D, Yu N, Hong Y, Zeng Y 2024.</w:t>
      </w:r>
      <w:r>
        <w:t xml:space="preserve"> </w:t>
      </w:r>
      <w:hyperlink r:id="rId165">
        <w:r>
          <w:rPr>
            <w:rStyle w:val="af"/>
          </w:rPr>
          <w:t xml:space="preserve">Establishment and validation of multiclassification prediction models for pulmonary nodules based on machine learning</w:t>
        </w:r>
      </w:hyperlink>
      <w:r>
        <w:t xml:space="preserve">. Clin Respir J.18:e13769</w:t>
      </w:r>
    </w:p>
    <w:bookmarkEnd w:id="166"/>
    <w:bookmarkStart w:id="167"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67"/>
    <w:bookmarkStart w:id="168"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68"/>
    <w:bookmarkStart w:id="169" w:name="ref-hellin2024unraveling"/>
    <w:p>
      <w:pPr>
        <w:pStyle w:val="a9"/>
      </w:pPr>
      <w:r>
        <w:t xml:space="preserve">[10]</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69"/>
    <w:bookmarkStart w:id="170" w:name="ref-arik2021tabnet"/>
    <w:p>
      <w:pPr>
        <w:pStyle w:val="a9"/>
      </w:pPr>
      <w:r>
        <w:t xml:space="preserve">[11]</w:t>
      </w:r>
      <w:r>
        <w:t xml:space="preserve"> </w:t>
      </w:r>
      <w:r>
        <w:t xml:space="preserve">	</w:t>
      </w:r>
      <w:r>
        <w:t xml:space="preserve">Arik SO, Pfister T 2021. TabNet: Attentive interpretable tabular learning. Proceedings of the AAAI conference on artificial intelligence.35:6679–6687</w:t>
      </w:r>
    </w:p>
    <w:bookmarkEnd w:id="170"/>
    <w:bookmarkStart w:id="171" w:name="ref-huang2020tabtransformer"/>
    <w:p>
      <w:pPr>
        <w:pStyle w:val="a9"/>
      </w:pPr>
      <w:r>
        <w:t xml:space="preserve">[12]</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71"/>
    <w:bookmarkStart w:id="172" w:name="ref-somepalli2021saint"/>
    <w:p>
      <w:pPr>
        <w:pStyle w:val="a9"/>
      </w:pPr>
      <w:r>
        <w:t xml:space="preserve">[13]</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72"/>
    <w:bookmarkStart w:id="173" w:name="ref-borisov2022deep"/>
    <w:p>
      <w:pPr>
        <w:pStyle w:val="a9"/>
      </w:pPr>
      <w:r>
        <w:t xml:space="preserve">[14]</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73"/>
    <w:bookmarkStart w:id="174" w:name="ref-hollmann2025accurate"/>
    <w:p>
      <w:pPr>
        <w:pStyle w:val="a9"/>
      </w:pPr>
      <w:r>
        <w:t xml:space="preserve">[15]</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74"/>
    <w:bookmarkStart w:id="176" w:name="ref-noauthor_prior_nodate"/>
    <w:p>
      <w:pPr>
        <w:pStyle w:val="a9"/>
      </w:pPr>
      <w:r>
        <w:t xml:space="preserve">[16]</w:t>
      </w:r>
      <w:r>
        <w:t xml:space="preserve"> </w:t>
      </w:r>
      <w:r>
        <w:t xml:space="preserve">	</w:t>
      </w:r>
      <w:hyperlink r:id="rId175">
        <w:r>
          <w:rPr>
            <w:rStyle w:val="af"/>
          </w:rPr>
          <w:t xml:space="preserve">Prior labs</w:t>
        </w:r>
      </w:hyperlink>
      <w:r>
        <w:t xml:space="preserve">.</w:t>
      </w:r>
      <w:r>
        <w:t xml:space="preserve"> </w:t>
      </w:r>
    </w:p>
    <w:bookmarkEnd w:id="176"/>
    <w:bookmarkStart w:id="178" w:name="ref-noauthor_closer_nodate"/>
    <w:p>
      <w:pPr>
        <w:pStyle w:val="a9"/>
      </w:pPr>
      <w:r>
        <w:t xml:space="preserve">[17]</w:t>
      </w:r>
      <w:r>
        <w:t xml:space="preserve"> </w:t>
      </w:r>
      <w:r>
        <w:t xml:space="preserve">	</w:t>
      </w:r>
      <w:hyperlink r:id="rId177">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78"/>
    <w:bookmarkStart w:id="180" w:name="ref-noauthor_realistic_nodate"/>
    <w:p>
      <w:pPr>
        <w:pStyle w:val="a9"/>
      </w:pPr>
      <w:r>
        <w:t xml:space="preserve">[18]</w:t>
      </w:r>
      <w:r>
        <w:t xml:space="preserve"> </w:t>
      </w:r>
      <w:r>
        <w:t xml:space="preserve">	</w:t>
      </w:r>
      <w:hyperlink r:id="rId179">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80"/>
    <w:bookmarkStart w:id="182" w:name="X60a9a1bcb93ef50ea8b7bc291808839e814cc23"/>
    <w:p>
      <w:pPr>
        <w:pStyle w:val="a9"/>
      </w:pPr>
      <w:r>
        <w:t xml:space="preserve">[19]</w:t>
      </w:r>
      <w:r>
        <w:t xml:space="preserve"> </w:t>
      </w:r>
      <w:r>
        <w:t xml:space="preserve">	</w:t>
      </w:r>
      <w:r>
        <w:t xml:space="preserve">2025.</w:t>
      </w:r>
      <w:r>
        <w:t xml:space="preserve"> </w:t>
      </w:r>
      <w:hyperlink r:id="rId181">
        <w:r>
          <w:rPr>
            <w:rStyle w:val="af"/>
          </w:rPr>
          <w:t xml:space="preserve">Automl/drift-resilient_TabPFN</w:t>
        </w:r>
      </w:hyperlink>
      <w:r>
        <w:t xml:space="preserve">.</w:t>
      </w:r>
      <w:r>
        <w:t xml:space="preserve"> </w:t>
      </w:r>
    </w:p>
    <w:bookmarkEnd w:id="182"/>
    <w:bookmarkStart w:id="184" w:name="ref-eremeev_turning_2025"/>
    <w:p>
      <w:pPr>
        <w:pStyle w:val="a9"/>
      </w:pPr>
      <w:r>
        <w:t xml:space="preserve">[20]</w:t>
      </w:r>
      <w:r>
        <w:t xml:space="preserve"> </w:t>
      </w:r>
      <w:r>
        <w:t xml:space="preserve">	</w:t>
      </w:r>
      <w:r>
        <w:t xml:space="preserve">Eremeev D, Bazhenov G, Platonov O, Babenko A, Prokhorenkova L 2025.</w:t>
      </w:r>
      <w:r>
        <w:t xml:space="preserve"> </w:t>
      </w:r>
      <w:hyperlink r:id="rId183">
        <w:r>
          <w:rPr>
            <w:rStyle w:val="af"/>
          </w:rPr>
          <w:t xml:space="preserve">Turning tabular foundation models into graph foundation models</w:t>
        </w:r>
      </w:hyperlink>
      <w:r>
        <w:t xml:space="preserve">.</w:t>
      </w:r>
      <w:r>
        <w:t xml:space="preserve"> </w:t>
      </w:r>
    </w:p>
    <w:bookmarkEnd w:id="184"/>
    <w:bookmarkStart w:id="185" w:name="ref-schneider2024foundation"/>
    <w:p>
      <w:pPr>
        <w:pStyle w:val="a9"/>
      </w:pPr>
      <w:r>
        <w:t xml:space="preserve">[21]</w:t>
      </w:r>
      <w:r>
        <w:t xml:space="preserve"> </w:t>
      </w:r>
      <w:r>
        <w:t xml:space="preserve">	</w:t>
      </w:r>
      <w:r>
        <w:t xml:space="preserve">Schneider J, Meske C, Kuss P 2024. Foundation models: A new paradigm for artificial intelligence. Business &amp; Information Systems Engineering.66:221–231</w:t>
      </w:r>
    </w:p>
    <w:bookmarkEnd w:id="185"/>
    <w:bookmarkStart w:id="186" w:name="ref-guan2021domain"/>
    <w:p>
      <w:pPr>
        <w:pStyle w:val="a9"/>
      </w:pPr>
      <w:r>
        <w:t xml:space="preserve">[22]</w:t>
      </w:r>
      <w:r>
        <w:t xml:space="preserve"> </w:t>
      </w:r>
      <w:r>
        <w:t xml:space="preserve">	</w:t>
      </w:r>
      <w:r>
        <w:t xml:space="preserve">Guan H, Liu M 2021. Domain adaptation for medical image analysis: A survey. IEEE Transactions on Biomedical Engineering.69:1173–1185</w:t>
      </w:r>
    </w:p>
    <w:bookmarkEnd w:id="186"/>
    <w:bookmarkStart w:id="187" w:name="ref-musa2025addressing"/>
    <w:p>
      <w:pPr>
        <w:pStyle w:val="a9"/>
      </w:pPr>
      <w:r>
        <w:t xml:space="preserve">[23]</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87"/>
    <w:bookmarkStart w:id="188" w:name="ref-koch2024distribution"/>
    <w:p>
      <w:pPr>
        <w:pStyle w:val="a9"/>
      </w:pPr>
      <w:r>
        <w:t xml:space="preserve">[24]</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88"/>
    <w:bookmarkStart w:id="190" w:name="ref-guo_evaluation_2022"/>
    <w:p>
      <w:pPr>
        <w:pStyle w:val="a9"/>
      </w:pPr>
      <w:r>
        <w:t xml:space="preserve">[25]</w:t>
      </w:r>
      <w:r>
        <w:t xml:space="preserve"> </w:t>
      </w:r>
      <w:r>
        <w:t xml:space="preserve">	</w:t>
      </w:r>
      <w:r>
        <w:t xml:space="preserve">Guo LL, Pfohl SR, Fries J, Johnson AEW, Posada J, Aftandilian C, Shah N, Sung L 2022.</w:t>
      </w:r>
      <w:r>
        <w:t xml:space="preserve"> </w:t>
      </w:r>
      <w:hyperlink r:id="rId189">
        <w:r>
          <w:rPr>
            <w:rStyle w:val="af"/>
          </w:rPr>
          <w:t xml:space="preserve">Evaluation of domain generalization and adaptation on improving model robustness to temporal dataset shift in clinical medicine</w:t>
        </w:r>
      </w:hyperlink>
      <w:r>
        <w:t xml:space="preserve">. Scientific Reports.12:2726</w:t>
      </w:r>
    </w:p>
    <w:bookmarkEnd w:id="190"/>
    <w:bookmarkStart w:id="192" w:name="ref-orouji_domain_nodate"/>
    <w:p>
      <w:pPr>
        <w:pStyle w:val="a9"/>
      </w:pPr>
      <w:r>
        <w:t xml:space="preserve">[26]</w:t>
      </w:r>
      <w:r>
        <w:t xml:space="preserve"> </w:t>
      </w:r>
      <w:r>
        <w:t xml:space="preserve">	</w:t>
      </w:r>
      <w:r>
        <w:t xml:space="preserve">Orouji S, Liu MC, Korem T, Peters MAK</w:t>
      </w:r>
      <w:r>
        <w:t xml:space="preserve"> </w:t>
      </w:r>
      <w:hyperlink r:id="rId191">
        <w:r>
          <w:rPr>
            <w:rStyle w:val="af"/>
          </w:rPr>
          <w:t xml:space="preserve">Domain adaptation in small-scale and heterogeneous biological datasets</w:t>
        </w:r>
      </w:hyperlink>
      <w:r>
        <w:t xml:space="preserve">. Sci Adv.10:eadp6040</w:t>
      </w:r>
    </w:p>
    <w:bookmarkEnd w:id="192"/>
    <w:bookmarkStart w:id="194" w:name="ref-gardner_benchmarking_2024"/>
    <w:p>
      <w:pPr>
        <w:pStyle w:val="a9"/>
      </w:pPr>
      <w:r>
        <w:t xml:space="preserve">[27]</w:t>
      </w:r>
      <w:r>
        <w:t xml:space="preserve"> </w:t>
      </w:r>
      <w:r>
        <w:t xml:space="preserve">	</w:t>
      </w:r>
      <w:r>
        <w:t xml:space="preserve">Gardner J, Popovic Z, Schmidt L 2024.</w:t>
      </w:r>
      <w:r>
        <w:t xml:space="preserve"> </w:t>
      </w:r>
      <w:hyperlink r:id="rId193">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194"/>
    <w:bookmarkStart w:id="196" w:name="ref-ahn_unsupervised_2023"/>
    <w:p>
      <w:pPr>
        <w:pStyle w:val="a9"/>
      </w:pPr>
      <w:r>
        <w:t xml:space="preserve">[28]</w:t>
      </w:r>
      <w:r>
        <w:t xml:space="preserve"> </w:t>
      </w:r>
      <w:r>
        <w:t xml:space="preserve">	</w:t>
      </w:r>
      <w:r>
        <w:t xml:space="preserve">Ahn S-H, Kim S, Jeong D-H 2023.</w:t>
      </w:r>
      <w:r>
        <w:t xml:space="preserve"> </w:t>
      </w:r>
      <w:hyperlink r:id="rId195">
        <w:r>
          <w:rPr>
            <w:rStyle w:val="af"/>
          </w:rPr>
          <w:t xml:space="preserve">Unsupervised domain adaptation for mitigating sensor variability and interspecies heterogeneity in animal activity recognition</w:t>
        </w:r>
      </w:hyperlink>
      <w:r>
        <w:t xml:space="preserve">. Animals (Basel).13:3276</w:t>
      </w:r>
    </w:p>
    <w:bookmarkEnd w:id="196"/>
    <w:bookmarkStart w:id="198" w:name="ref-ardila_end--end_2019"/>
    <w:p>
      <w:pPr>
        <w:pStyle w:val="a9"/>
      </w:pPr>
      <w:r>
        <w:t xml:space="preserve">[29]</w:t>
      </w:r>
      <w:r>
        <w:t xml:space="preserve"> </w:t>
      </w:r>
      <w:r>
        <w:t xml:space="preserve">	</w:t>
      </w:r>
      <w:r>
        <w:t xml:space="preserve">Ardila D, Kiraly AP, Bharadwaj S, Choi B, Reicher JJ, Peng L, Tse D, Etemadi M, Ye W, Corrado G, Naidich DP, Shetty S 2019.</w:t>
      </w:r>
      <w:r>
        <w:t xml:space="preserve"> </w:t>
      </w:r>
      <w:hyperlink r:id="rId197">
        <w:r>
          <w:rPr>
            <w:rStyle w:val="af"/>
          </w:rPr>
          <w:t xml:space="preserve">End-to-end lung cancer screening with three-dimensional deep learning on low-dose chest computed tomography</w:t>
        </w:r>
      </w:hyperlink>
      <w:r>
        <w:t xml:space="preserve">. Nat Med.25:954–961</w:t>
      </w:r>
    </w:p>
    <w:bookmarkEnd w:id="198"/>
    <w:bookmarkStart w:id="200" w:name="ref-zech_variable_2018"/>
    <w:p>
      <w:pPr>
        <w:pStyle w:val="a9"/>
      </w:pPr>
      <w:r>
        <w:t xml:space="preserve">[30]</w:t>
      </w:r>
      <w:r>
        <w:t xml:space="preserve"> </w:t>
      </w:r>
      <w:r>
        <w:t xml:space="preserve">	</w:t>
      </w:r>
      <w:r>
        <w:t xml:space="preserve">Zech JR, Badgeley MA, Liu M, Costa AB, Titano JJ, Oermann EK 2018.</w:t>
      </w:r>
      <w:r>
        <w:t xml:space="preserve"> </w:t>
      </w:r>
      <w:hyperlink r:id="rId199">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0"/>
    <w:bookmarkStart w:id="201" w:name="ref-sun2019informative"/>
    <w:p>
      <w:pPr>
        <w:pStyle w:val="a9"/>
      </w:pPr>
      <w:r>
        <w:t xml:space="preserve">[31]</w:t>
      </w:r>
      <w:r>
        <w:t xml:space="preserve"> </w:t>
      </w:r>
      <w:r>
        <w:t xml:space="preserve">	</w:t>
      </w:r>
      <w:r>
        <w:t xml:space="preserve">Sun F, Wu H, Luo Z, Gu W, Yan Y, Du Q 2019. Informative feature selection for domain adaptation. IEEE Access.7:142551–142563</w:t>
      </w:r>
    </w:p>
    <w:bookmarkEnd w:id="201"/>
    <w:bookmarkStart w:id="202" w:name="ref-pan2010domain"/>
    <w:p>
      <w:pPr>
        <w:pStyle w:val="a9"/>
      </w:pPr>
      <w:r>
        <w:t xml:space="preserve">[32]</w:t>
      </w:r>
      <w:r>
        <w:t xml:space="preserve"> </w:t>
      </w:r>
      <w:r>
        <w:t xml:space="preserve">	</w:t>
      </w:r>
      <w:r>
        <w:t xml:space="preserve">Pan SJ, Tsang IW, Kwok JT, Yang Q 2010. Domain adaptation via transfer component analysis. IEEE transactions on neural networks.22:199–210</w:t>
      </w:r>
    </w:p>
    <w:bookmarkEnd w:id="202"/>
    <w:bookmarkStart w:id="203" w:name="ref-bommasani2021opportunities"/>
    <w:p>
      <w:pPr>
        <w:pStyle w:val="a9"/>
      </w:pPr>
      <w:r>
        <w:t xml:space="preserve">[33]</w:t>
      </w:r>
      <w:r>
        <w:t xml:space="preserve"> </w:t>
      </w:r>
      <w:r>
        <w:t xml:space="preserve">	</w:t>
      </w:r>
      <w:r>
        <w:t xml:space="preserve">Bommasani R, Hudson DA, Adeli E, al. et</w:t>
      </w:r>
      <w:r>
        <w:t xml:space="preserve"> </w:t>
      </w:r>
      <w:r>
        <w:t xml:space="preserve">2021. On the opportunities and risks of foundation models. arXiv preprint arXiv:2108.07258.</w:t>
      </w:r>
    </w:p>
    <w:bookmarkEnd w:id="203"/>
    <w:bookmarkStart w:id="205" w:name="ref-grinsztajn_why_2022"/>
    <w:p>
      <w:pPr>
        <w:pStyle w:val="a9"/>
      </w:pPr>
      <w:r>
        <w:t xml:space="preserve">[34]</w:t>
      </w:r>
      <w:r>
        <w:t xml:space="preserve"> </w:t>
      </w:r>
      <w:r>
        <w:t xml:space="preserve">	</w:t>
      </w:r>
      <w:r>
        <w:t xml:space="preserve">Grinsztajn L, Oyallon E, Varoquaux G 2022.</w:t>
      </w:r>
      <w:r>
        <w:t xml:space="preserve"> </w:t>
      </w:r>
      <w:hyperlink r:id="rId204">
        <w:r>
          <w:rPr>
            <w:rStyle w:val="af"/>
          </w:rPr>
          <w:t xml:space="preserve">Why do tree-based models still outperform deep learning on tabular data?</w:t>
        </w:r>
      </w:hyperlink>
      <w:r>
        <w:t xml:space="preserve"> </w:t>
      </w:r>
    </w:p>
    <w:bookmarkEnd w:id="205"/>
    <w:bookmarkStart w:id="207" w:name="ref-shmuel_comprehensive_2024"/>
    <w:p>
      <w:pPr>
        <w:pStyle w:val="a9"/>
      </w:pPr>
      <w:r>
        <w:t xml:space="preserve">[35]</w:t>
      </w:r>
      <w:r>
        <w:t xml:space="preserve"> </w:t>
      </w:r>
      <w:r>
        <w:t xml:space="preserve">	</w:t>
      </w:r>
      <w:r>
        <w:t xml:space="preserve">Shmuel A, Glickman O, Lazebnik T 2024.</w:t>
      </w:r>
      <w:r>
        <w:t xml:space="preserve"> </w:t>
      </w:r>
      <w:hyperlink r:id="rId206">
        <w:r>
          <w:rPr>
            <w:rStyle w:val="af"/>
          </w:rPr>
          <w:t xml:space="preserve">A comprehensive benchmark of machine and deep learning across diverse tabular datasets</w:t>
        </w:r>
      </w:hyperlink>
      <w:r>
        <w:t xml:space="preserve">.</w:t>
      </w:r>
      <w:r>
        <w:t xml:space="preserve"> </w:t>
      </w:r>
    </w:p>
    <w:bookmarkEnd w:id="207"/>
    <w:bookmarkStart w:id="209" w:name="ref-fan_tabular_2024"/>
    <w:p>
      <w:pPr>
        <w:pStyle w:val="a9"/>
      </w:pPr>
      <w:r>
        <w:t xml:space="preserve">[36]</w:t>
      </w:r>
      <w:r>
        <w:t xml:space="preserve"> </w:t>
      </w:r>
      <w:r>
        <w:t xml:space="preserve">	</w:t>
      </w:r>
      <w:r>
        <w:t xml:space="preserve">Fan Y, Waldmann P 2024.</w:t>
      </w:r>
      <w:r>
        <w:t xml:space="preserve"> </w:t>
      </w:r>
      <w:hyperlink r:id="rId208">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09"/>
    <w:bookmarkStart w:id="211" w:name="ref-borisov_deep_2024"/>
    <w:p>
      <w:pPr>
        <w:pStyle w:val="a9"/>
      </w:pPr>
      <w:r>
        <w:t xml:space="preserve">[37]</w:t>
      </w:r>
      <w:r>
        <w:t xml:space="preserve"> </w:t>
      </w:r>
      <w:r>
        <w:t xml:space="preserve">	</w:t>
      </w:r>
      <w:r>
        <w:t xml:space="preserve">Borisov V, Leemann T, Seßler K, Haug J, Pawelczyk M, Kasneci G 2024.</w:t>
      </w:r>
      <w:r>
        <w:t xml:space="preserve"> </w:t>
      </w:r>
      <w:hyperlink r:id="rId210">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11"/>
    <w:bookmarkStart w:id="213" w:name="ref-liu_tabpfn_2025"/>
    <w:p>
      <w:pPr>
        <w:pStyle w:val="a9"/>
      </w:pPr>
      <w:r>
        <w:t xml:space="preserve">[38]</w:t>
      </w:r>
      <w:r>
        <w:t xml:space="preserve"> </w:t>
      </w:r>
      <w:r>
        <w:t xml:space="preserve">	</w:t>
      </w:r>
      <w:r>
        <w:t xml:space="preserve">Liu S-Y, Ye H-J 2025.</w:t>
      </w:r>
      <w:r>
        <w:t xml:space="preserve"> </w:t>
      </w:r>
      <w:hyperlink r:id="rId212">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13"/>
    <w:bookmarkStart w:id="215" w:name="ref-huang_tabtransformer_2020"/>
    <w:p>
      <w:pPr>
        <w:pStyle w:val="a9"/>
      </w:pPr>
      <w:r>
        <w:t xml:space="preserve">[39]</w:t>
      </w:r>
      <w:r>
        <w:t xml:space="preserve"> </w:t>
      </w:r>
      <w:r>
        <w:t xml:space="preserve">	</w:t>
      </w:r>
      <w:r>
        <w:t xml:space="preserve">Huang X, Khetan A, Cvitkovic M, Karnin Z 2020.</w:t>
      </w:r>
      <w:r>
        <w:t xml:space="preserve"> </w:t>
      </w:r>
      <w:hyperlink r:id="rId214">
        <w:r>
          <w:rPr>
            <w:rStyle w:val="af"/>
          </w:rPr>
          <w:t xml:space="preserve">TabTransformer</w:t>
        </w:r>
        <w:r>
          <w:rPr>
            <w:rStyle w:val="af"/>
          </w:rPr>
          <w:t xml:space="preserve">: Tabular data modeling using contextual embeddings</w:t>
        </w:r>
      </w:hyperlink>
      <w:r>
        <w:t xml:space="preserve">.</w:t>
      </w:r>
      <w:r>
        <w:t xml:space="preserve"> </w:t>
      </w:r>
    </w:p>
    <w:bookmarkEnd w:id="215"/>
    <w:bookmarkStart w:id="217" w:name="ref-gorishniy_revisiting_2021"/>
    <w:p>
      <w:pPr>
        <w:pStyle w:val="a9"/>
      </w:pPr>
      <w:r>
        <w:t xml:space="preserve">[40]</w:t>
      </w:r>
      <w:r>
        <w:t xml:space="preserve"> </w:t>
      </w:r>
      <w:r>
        <w:t xml:space="preserve">	</w:t>
      </w:r>
      <w:r>
        <w:t xml:space="preserve">Gorishniy Y, Rubachev I, Khrulkov V, Babenko A 2021.</w:t>
      </w:r>
      <w:r>
        <w:t xml:space="preserve"> </w:t>
      </w:r>
      <w:hyperlink r:id="rId216">
        <w:r>
          <w:rPr>
            <w:rStyle w:val="af"/>
          </w:rPr>
          <w:t xml:space="preserve">Revisiting deep learning models for tabular data</w:t>
        </w:r>
      </w:hyperlink>
      <w:r>
        <w:t xml:space="preserve">.</w:t>
      </w:r>
      <w:r>
        <w:t xml:space="preserve"> </w:t>
      </w:r>
    </w:p>
    <w:bookmarkEnd w:id="217"/>
    <w:bookmarkStart w:id="218" w:name="ref-margeloiu2023weight"/>
    <w:p>
      <w:pPr>
        <w:pStyle w:val="a9"/>
      </w:pPr>
      <w:r>
        <w:t xml:space="preserve">[41]</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18"/>
    <w:bookmarkStart w:id="220" w:name="ref-loh_basis_2025"/>
    <w:p>
      <w:pPr>
        <w:pStyle w:val="a9"/>
      </w:pPr>
      <w:r>
        <w:t xml:space="preserve">[42]</w:t>
      </w:r>
      <w:r>
        <w:t xml:space="preserve"> </w:t>
      </w:r>
      <w:r>
        <w:t xml:space="preserve">	</w:t>
      </w:r>
      <w:r>
        <w:t xml:space="preserve">Loh WM, Shang J, Poupart P 2025.</w:t>
      </w:r>
      <w:r>
        <w:t xml:space="preserve"> </w:t>
      </w:r>
      <w:hyperlink r:id="rId219">
        <w:r>
          <w:rPr>
            <w:rStyle w:val="af"/>
          </w:rPr>
          <w:t xml:space="preserve">Basis transformers for multi-task tabular regression</w:t>
        </w:r>
      </w:hyperlink>
      <w:r>
        <w:t xml:space="preserve">.</w:t>
      </w:r>
      <w:r>
        <w:t xml:space="preserve"> </w:t>
      </w:r>
    </w:p>
    <w:bookmarkEnd w:id="220"/>
    <w:bookmarkStart w:id="222" w:name="ref-khoeini_fttransformer_2024"/>
    <w:p>
      <w:pPr>
        <w:pStyle w:val="a9"/>
      </w:pPr>
      <w:r>
        <w:t xml:space="preserve">[43]</w:t>
      </w:r>
      <w:r>
        <w:t xml:space="preserve"> </w:t>
      </w:r>
      <w:r>
        <w:t xml:space="preserve">	</w:t>
      </w:r>
      <w:r>
        <w:t xml:space="preserve">Khoeini A 2024.</w:t>
      </w:r>
      <w:r>
        <w:t xml:space="preserve"> </w:t>
      </w:r>
      <w:hyperlink r:id="rId221">
        <w:r>
          <w:rPr>
            <w:rStyle w:val="af"/>
          </w:rPr>
          <w:t xml:space="preserve">FTTransformer</w:t>
        </w:r>
        <w:r>
          <w:rPr>
            <w:rStyle w:val="af"/>
          </w:rPr>
          <w:t xml:space="preserve">: Transformer architecture for tabular datasets. Medium</w:t>
        </w:r>
      </w:hyperlink>
      <w:r>
        <w:t xml:space="preserve">.</w:t>
      </w:r>
      <w:r>
        <w:t xml:space="preserve"> </w:t>
      </w:r>
    </w:p>
    <w:bookmarkEnd w:id="222"/>
    <w:bookmarkStart w:id="224" w:name="ref-bytezcom_tabicl_2025"/>
    <w:p>
      <w:pPr>
        <w:pStyle w:val="a9"/>
      </w:pPr>
      <w:r>
        <w:t xml:space="preserve">[44]</w:t>
      </w:r>
      <w:r>
        <w:t xml:space="preserve"> </w:t>
      </w:r>
      <w:r>
        <w:t xml:space="preserve">	</w:t>
      </w:r>
      <w:r>
        <w:t xml:space="preserve">Bytez.com, QU J, Holzmüller D, Varoquaux G, Morvan ML 2025.</w:t>
      </w:r>
      <w:r>
        <w:t xml:space="preserve"> </w:t>
      </w:r>
      <w:hyperlink r:id="rId223">
        <w:r>
          <w:rPr>
            <w:rStyle w:val="af"/>
          </w:rPr>
          <w:t xml:space="preserve">TabICL</w:t>
        </w:r>
        <w:r>
          <w:rPr>
            <w:rStyle w:val="af"/>
          </w:rPr>
          <w:t xml:space="preserve">: A tabular foundation model for in-context learni...</w:t>
        </w:r>
      </w:hyperlink>
      <w:r>
        <w:t xml:space="preserve"> </w:t>
      </w:r>
    </w:p>
    <w:bookmarkEnd w:id="224"/>
    <w:bookmarkStart w:id="225" w:name="ref-somvanshi2024survey"/>
    <w:p>
      <w:pPr>
        <w:pStyle w:val="a9"/>
      </w:pPr>
      <w:r>
        <w:t xml:space="preserve">[45]</w:t>
      </w:r>
      <w:r>
        <w:t xml:space="preserve"> </w:t>
      </w:r>
      <w:r>
        <w:t xml:space="preserve">	</w:t>
      </w:r>
      <w:r>
        <w:t xml:space="preserve">Somvanshi S, Das S, Javed SA, Antariksa G, Hossain A 2024. A survey on deep tabular learning. arXiv preprint arXiv:2410.12034.</w:t>
      </w:r>
    </w:p>
    <w:bookmarkEnd w:id="225"/>
    <w:bookmarkStart w:id="227" w:name="ref-ren_deep_2025"/>
    <w:p>
      <w:pPr>
        <w:pStyle w:val="a9"/>
      </w:pPr>
      <w:r>
        <w:t xml:space="preserve">[46]</w:t>
      </w:r>
      <w:r>
        <w:t xml:space="preserve"> </w:t>
      </w:r>
      <w:r>
        <w:t xml:space="preserve">	</w:t>
      </w:r>
      <w:r>
        <w:t xml:space="preserve">Ren W, Zhao T, Huang Y, Honavar V 2025.</w:t>
      </w:r>
      <w:r>
        <w:t xml:space="preserve"> </w:t>
      </w:r>
      <w:hyperlink r:id="rId226">
        <w:r>
          <w:rPr>
            <w:rStyle w:val="af"/>
          </w:rPr>
          <w:t xml:space="preserve">Deep learning within tabular data: Foundations, challenges, advances and future directions</w:t>
        </w:r>
      </w:hyperlink>
      <w:r>
        <w:t xml:space="preserve">.</w:t>
      </w:r>
      <w:r>
        <w:t xml:space="preserve"> </w:t>
      </w:r>
    </w:p>
    <w:bookmarkEnd w:id="227"/>
    <w:bookmarkStart w:id="229" w:name="ref-hollmann_accurate_2025"/>
    <w:p>
      <w:pPr>
        <w:pStyle w:val="a9"/>
      </w:pPr>
      <w:r>
        <w:t xml:space="preserve">[47]</w:t>
      </w:r>
      <w:r>
        <w:t xml:space="preserve"> </w:t>
      </w:r>
      <w:r>
        <w:t xml:space="preserve">	</w:t>
      </w:r>
      <w:r>
        <w:t xml:space="preserve">Hollmann N, Müller S, Purucker L, Krishnakumar A, Körfer M, Hoo SB, Schirrmeister RT, Hutter F 2025.</w:t>
      </w:r>
      <w:r>
        <w:t xml:space="preserve"> </w:t>
      </w:r>
      <w:hyperlink r:id="rId228">
        <w:r>
          <w:rPr>
            <w:rStyle w:val="af"/>
          </w:rPr>
          <w:t xml:space="preserve">Accurate predictions on small data with a tabular foundation model</w:t>
        </w:r>
      </w:hyperlink>
      <w:r>
        <w:t xml:space="preserve">. Nature.637:319–326</w:t>
      </w:r>
    </w:p>
    <w:bookmarkEnd w:id="229"/>
    <w:bookmarkStart w:id="231" w:name="ref-helli_drift-resilient_2024"/>
    <w:p>
      <w:pPr>
        <w:pStyle w:val="a9"/>
      </w:pPr>
      <w:r>
        <w:t xml:space="preserve">[48]</w:t>
      </w:r>
      <w:r>
        <w:t xml:space="preserve"> </w:t>
      </w:r>
      <w:r>
        <w:t xml:space="preserve">	</w:t>
      </w:r>
      <w:r>
        <w:t xml:space="preserve">Helli K, Schnurr D, Hollmann N, Müller S, Hutter F 2024.</w:t>
      </w:r>
      <w:r>
        <w:t xml:space="preserve"> </w:t>
      </w:r>
      <w:hyperlink r:id="rId230">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31"/>
    <w:bookmarkStart w:id="233" w:name="ref-chen_tabpfn_2025"/>
    <w:p>
      <w:pPr>
        <w:pStyle w:val="a9"/>
      </w:pPr>
      <w:r>
        <w:t xml:space="preserve">[49]</w:t>
      </w:r>
      <w:r>
        <w:t xml:space="preserve"> </w:t>
      </w:r>
      <w:r>
        <w:t xml:space="preserve">	</w:t>
      </w:r>
      <w:r>
        <w:t xml:space="preserve">Chen W, Tian Y, Deng Y, Jiang D, Cao D 2025.</w:t>
      </w:r>
      <w:r>
        <w:t xml:space="preserve"> </w:t>
      </w:r>
      <w:hyperlink r:id="rId232">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33"/>
    <w:bookmarkStart w:id="235" w:name="ref-liu_tabular_2025"/>
    <w:p>
      <w:pPr>
        <w:pStyle w:val="a9"/>
      </w:pPr>
      <w:r>
        <w:t xml:space="preserve">[50]</w:t>
      </w:r>
      <w:r>
        <w:t xml:space="preserve"> </w:t>
      </w:r>
      <w:r>
        <w:t xml:space="preserve">	</w:t>
      </w:r>
      <w:r>
        <w:t xml:space="preserve">Liu T, Wang H, Guo Y, Ye Y, Weng B, Li X, Chen J, Xie S, Zhong G, Song Z, Huang L 2025.</w:t>
      </w:r>
      <w:r>
        <w:t xml:space="preserve"> </w:t>
      </w:r>
      <w:hyperlink r:id="rId234">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35"/>
    <w:bookmarkStart w:id="236" w:name="ref-brown2020language"/>
    <w:p>
      <w:pPr>
        <w:pStyle w:val="a9"/>
      </w:pPr>
      <w:r>
        <w:t xml:space="preserve">[51]</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36"/>
    <w:bookmarkStart w:id="238" w:name="ref-jayawardhana_transformers_2025"/>
    <w:p>
      <w:pPr>
        <w:pStyle w:val="a9"/>
      </w:pPr>
      <w:r>
        <w:t xml:space="preserve">[52]</w:t>
      </w:r>
      <w:r>
        <w:t xml:space="preserve"> </w:t>
      </w:r>
      <w:r>
        <w:t xml:space="preserve">	</w:t>
      </w:r>
      <w:r>
        <w:t xml:space="preserve">Jayawardhana M, Tu R, Dooley S, Cherepanova V, Wilson AG, Hutter F, White C, Goldstein T, Goldblum M 2025.</w:t>
      </w:r>
      <w:r>
        <w:t xml:space="preserve"> </w:t>
      </w:r>
      <w:hyperlink r:id="rId237">
        <w:r>
          <w:rPr>
            <w:rStyle w:val="af"/>
          </w:rPr>
          <w:t xml:space="preserve">Transformers boost the performance of decision trees on tabular data across sample sizes</w:t>
        </w:r>
      </w:hyperlink>
      <w:r>
        <w:t xml:space="preserve">.</w:t>
      </w:r>
      <w:r>
        <w:t xml:space="preserve"> </w:t>
      </w:r>
    </w:p>
    <w:bookmarkEnd w:id="238"/>
    <w:bookmarkStart w:id="240" w:name="ref-zhou_limitations_2025"/>
    <w:p>
      <w:pPr>
        <w:pStyle w:val="a9"/>
      </w:pPr>
      <w:r>
        <w:t xml:space="preserve">[53]</w:t>
      </w:r>
      <w:r>
        <w:t xml:space="preserve"> </w:t>
      </w:r>
      <w:r>
        <w:t xml:space="preserve">	</w:t>
      </w:r>
      <w:r>
        <w:t xml:space="preserve">Zhou S, Agarwal V, Gopinath A, Kassis T 2025.</w:t>
      </w:r>
      <w:r>
        <w:t xml:space="preserve"> </w:t>
      </w:r>
      <w:hyperlink r:id="rId239">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40"/>
    <w:bookmarkStart w:id="242" w:name="ref-noauthor_pdf_nodate"/>
    <w:p>
      <w:pPr>
        <w:pStyle w:val="a9"/>
      </w:pPr>
      <w:r>
        <w:t xml:space="preserve">[54]</w:t>
      </w:r>
      <w:r>
        <w:t xml:space="preserve"> </w:t>
      </w:r>
      <w:r>
        <w:t xml:space="preserve">	</w:t>
      </w:r>
      <w:hyperlink r:id="rId241">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42"/>
    <w:bookmarkStart w:id="244" w:name="ref-kolesnikov_wild-tab_2023"/>
    <w:p>
      <w:pPr>
        <w:pStyle w:val="a9"/>
      </w:pPr>
      <w:r>
        <w:t xml:space="preserve">[55]</w:t>
      </w:r>
      <w:r>
        <w:t xml:space="preserve"> </w:t>
      </w:r>
      <w:r>
        <w:t xml:space="preserve">	</w:t>
      </w:r>
      <w:r>
        <w:t xml:space="preserve">Kolesnikov S 2023.</w:t>
      </w:r>
      <w:r>
        <w:t xml:space="preserve"> </w:t>
      </w:r>
      <w:hyperlink r:id="rId243">
        <w:r>
          <w:rPr>
            <w:rStyle w:val="af"/>
          </w:rPr>
          <w:t xml:space="preserve">Wild-tab: A benchmark for out-of-distribution generalization in tabular regression</w:t>
        </w:r>
      </w:hyperlink>
      <w:r>
        <w:t xml:space="preserve">.</w:t>
      </w:r>
      <w:r>
        <w:t xml:space="preserve"> </w:t>
      </w:r>
    </w:p>
    <w:bookmarkEnd w:id="244"/>
    <w:bookmarkStart w:id="246" w:name="Xd20ec9efaf7cad77fe2665a3b298a644c8be26c"/>
    <w:p>
      <w:pPr>
        <w:pStyle w:val="a9"/>
      </w:pPr>
      <w:r>
        <w:t xml:space="preserve">[56]</w:t>
      </w:r>
      <w:r>
        <w:t xml:space="preserve"> </w:t>
      </w:r>
      <w:r>
        <w:t xml:space="preserve">	</w:t>
      </w:r>
      <w:r>
        <w:t xml:space="preserve">Sun B, Feng J, Saenko K 2016.</w:t>
      </w:r>
      <w:r>
        <w:t xml:space="preserve"> </w:t>
      </w:r>
      <w:hyperlink r:id="rId245">
        <w:r>
          <w:rPr>
            <w:rStyle w:val="af"/>
          </w:rPr>
          <w:t xml:space="preserve">Correlation alignment for unsupervised domain adaptation</w:t>
        </w:r>
      </w:hyperlink>
      <w:r>
        <w:t xml:space="preserve">.</w:t>
      </w:r>
      <w:r>
        <w:t xml:space="preserve"> </w:t>
      </w:r>
    </w:p>
    <w:bookmarkEnd w:id="246"/>
    <w:bookmarkStart w:id="247" w:name="ref-grubinger2015domain"/>
    <w:p>
      <w:pPr>
        <w:pStyle w:val="a9"/>
      </w:pPr>
      <w:r>
        <w:t xml:space="preserve">[57]</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47"/>
    <w:bookmarkStart w:id="249" w:name="ref-zhang_adadiag_2022"/>
    <w:p>
      <w:pPr>
        <w:pStyle w:val="a9"/>
      </w:pPr>
      <w:r>
        <w:t xml:space="preserve">[58]</w:t>
      </w:r>
      <w:r>
        <w:t xml:space="preserve"> </w:t>
      </w:r>
      <w:r>
        <w:t xml:space="preserve">	</w:t>
      </w:r>
      <w:r>
        <w:t xml:space="preserve">Zhang T, Chen M, Bui AAT 2022.</w:t>
      </w:r>
      <w:r>
        <w:t xml:space="preserve"> </w:t>
      </w:r>
      <w:hyperlink r:id="rId248">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49"/>
    <w:bookmarkStart w:id="251" w:name="ref-li_transport-based_2024"/>
    <w:p>
      <w:pPr>
        <w:pStyle w:val="a9"/>
      </w:pPr>
      <w:r>
        <w:t xml:space="preserve">[59]</w:t>
      </w:r>
      <w:r>
        <w:t xml:space="preserve"> </w:t>
      </w:r>
      <w:r>
        <w:t xml:space="preserve">	</w:t>
      </w:r>
      <w:r>
        <w:t xml:space="preserve">Li W, Park YP, Duc KD 2024.</w:t>
      </w:r>
      <w:r>
        <w:t xml:space="preserve"> </w:t>
      </w:r>
      <w:hyperlink r:id="rId250">
        <w:r>
          <w:rPr>
            <w:rStyle w:val="af"/>
          </w:rPr>
          <w:t xml:space="preserve">Transport-based transfer learning on electronic health records: Application to detection of treatment disparities</w:t>
        </w:r>
      </w:hyperlink>
      <w:r>
        <w:t xml:space="preserve">.</w:t>
      </w:r>
      <w:r>
        <w:t xml:space="preserve"> </w:t>
      </w:r>
    </w:p>
    <w:bookmarkEnd w:id="251"/>
    <w:bookmarkStart w:id="252" w:name="ref-luo2021fsda"/>
    <w:p>
      <w:pPr>
        <w:pStyle w:val="a9"/>
      </w:pPr>
      <w:r>
        <w:t xml:space="preserve">[60]</w:t>
      </w:r>
      <w:r>
        <w:t xml:space="preserve"> </w:t>
      </w:r>
      <w:r>
        <w:t xml:space="preserve">	</w:t>
      </w:r>
      <w:r>
        <w:t xml:space="preserve">Luo T, Zhang Z, Kwok J 2021. Informative feature selection for domain adaptation.</w:t>
      </w:r>
      <w:r>
        <w:t xml:space="preserve"> </w:t>
      </w:r>
    </w:p>
    <w:bookmarkEnd w:id="252"/>
    <w:bookmarkStart w:id="254" w:name="ref-pham_open-set_2025"/>
    <w:p>
      <w:pPr>
        <w:pStyle w:val="a9"/>
      </w:pPr>
      <w:r>
        <w:t xml:space="preserve">[61]</w:t>
      </w:r>
      <w:r>
        <w:t xml:space="preserve"> </w:t>
      </w:r>
      <w:r>
        <w:t xml:space="preserve">	</w:t>
      </w:r>
      <w:r>
        <w:t xml:space="preserve">Pham T-H, Wang Y, Yin C, Zhang X, Zhang P 2025.</w:t>
      </w:r>
      <w:r>
        <w:t xml:space="preserve"> </w:t>
      </w:r>
      <w:hyperlink r:id="rId253">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54"/>
    <w:bookmarkStart w:id="256" w:name="ref-guan_domainatm_2023"/>
    <w:p>
      <w:pPr>
        <w:pStyle w:val="a9"/>
      </w:pPr>
      <w:r>
        <w:t xml:space="preserve">[62]</w:t>
      </w:r>
      <w:r>
        <w:t xml:space="preserve"> </w:t>
      </w:r>
      <w:r>
        <w:t xml:space="preserve">	</w:t>
      </w:r>
      <w:r>
        <w:t xml:space="preserve">Guan H, Liu M 2023.</w:t>
      </w:r>
      <w:r>
        <w:t xml:space="preserve"> </w:t>
      </w:r>
      <w:hyperlink r:id="rId255">
        <w:r>
          <w:rPr>
            <w:rStyle w:val="af"/>
          </w:rPr>
          <w:t xml:space="preserve">DomainATM</w:t>
        </w:r>
        <w:r>
          <w:rPr>
            <w:rStyle w:val="af"/>
          </w:rPr>
          <w:t xml:space="preserve">: Domain adaptation toolbox for medical data analysis</w:t>
        </w:r>
      </w:hyperlink>
      <w:r>
        <w:t xml:space="preserve">. Neuroimage.268:119863</w:t>
      </w:r>
    </w:p>
    <w:bookmarkEnd w:id="256"/>
    <w:bookmarkStart w:id="258" w:name="ref-guan_domain_2022"/>
    <w:p>
      <w:pPr>
        <w:pStyle w:val="a9"/>
      </w:pPr>
      <w:r>
        <w:t xml:space="preserve">[63]</w:t>
      </w:r>
      <w:r>
        <w:t xml:space="preserve"> </w:t>
      </w:r>
      <w:r>
        <w:t xml:space="preserve">	</w:t>
      </w:r>
      <w:r>
        <w:t xml:space="preserve">Guan H, Liu M 2022.</w:t>
      </w:r>
      <w:r>
        <w:t xml:space="preserve"> </w:t>
      </w:r>
      <w:hyperlink r:id="rId257">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58"/>
    <w:bookmarkStart w:id="260" w:name="ref-zhou_domain_2023"/>
    <w:p>
      <w:pPr>
        <w:pStyle w:val="a9"/>
      </w:pPr>
      <w:r>
        <w:t xml:space="preserve">[64]</w:t>
      </w:r>
      <w:r>
        <w:t xml:space="preserve"> </w:t>
      </w:r>
      <w:r>
        <w:t xml:space="preserve">	</w:t>
      </w:r>
      <w:r>
        <w:t xml:space="preserve">Zhou H, Balakrishnan S, Lipton ZC 2023.</w:t>
      </w:r>
      <w:r>
        <w:t xml:space="preserve"> </w:t>
      </w:r>
      <w:hyperlink r:id="rId259">
        <w:r>
          <w:rPr>
            <w:rStyle w:val="af"/>
          </w:rPr>
          <w:t xml:space="preserve">Domain adaptation under missingness shift</w:t>
        </w:r>
      </w:hyperlink>
      <w:r>
        <w:t xml:space="preserve">.</w:t>
      </w:r>
      <w:r>
        <w:t xml:space="preserve"> </w:t>
      </w:r>
    </w:p>
    <w:bookmarkEnd w:id="260"/>
    <w:bookmarkStart w:id="262" w:name="ref-stokes_domain_2025"/>
    <w:p>
      <w:pPr>
        <w:pStyle w:val="a9"/>
      </w:pPr>
      <w:r>
        <w:t xml:space="preserve">[65]</w:t>
      </w:r>
      <w:r>
        <w:t xml:space="preserve"> </w:t>
      </w:r>
      <w:r>
        <w:t xml:space="preserve">	</w:t>
      </w:r>
      <w:r>
        <w:t xml:space="preserve">Stokes T, Do H, Blecker S, Chunara R, Adhikari S 2025.</w:t>
      </w:r>
      <w:r>
        <w:t xml:space="preserve"> </w:t>
      </w:r>
      <w:hyperlink r:id="rId261">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62"/>
    <w:bookmarkStart w:id="264" w:name="ref-he_multi-attention_2022"/>
    <w:p>
      <w:pPr>
        <w:pStyle w:val="a9"/>
      </w:pPr>
      <w:r>
        <w:t xml:space="preserve">[66]</w:t>
      </w:r>
      <w:r>
        <w:t xml:space="preserve"> </w:t>
      </w:r>
      <w:r>
        <w:t xml:space="preserve">	</w:t>
      </w:r>
      <w:r>
        <w:t xml:space="preserve">He C, Zheng L, Tan T, Fan X, Ye Z 2022.</w:t>
      </w:r>
      <w:r>
        <w:t xml:space="preserve"> </w:t>
      </w:r>
      <w:hyperlink r:id="rId263">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64"/>
    <w:bookmarkStart w:id="266" w:name="X4f9f0e8a6fc6d4d5516fc073f21d764bfed9221"/>
    <w:p>
      <w:pPr>
        <w:pStyle w:val="a9"/>
      </w:pPr>
      <w:r>
        <w:t xml:space="preserve">[67]</w:t>
      </w:r>
      <w:r>
        <w:t xml:space="preserve"> </w:t>
      </w:r>
      <w:r>
        <w:t xml:space="preserve">	</w:t>
      </w:r>
      <w:hyperlink r:id="rId265">
        <w:r>
          <w:rPr>
            <w:rStyle w:val="af"/>
          </w:rPr>
          <w:t xml:space="preserve">Mlfoundations/tableshift: A benchmark for distribution shift in tabular data</w:t>
        </w:r>
      </w:hyperlink>
      <w:r>
        <w:t xml:space="preserve">.</w:t>
      </w:r>
      <w:r>
        <w:t xml:space="preserve"> </w:t>
      </w:r>
    </w:p>
    <w:bookmarkEnd w:id="266"/>
    <w:bookmarkStart w:id="268" w:name="ref-gardner_tableshift_nodate"/>
    <w:p>
      <w:pPr>
        <w:pStyle w:val="a9"/>
      </w:pPr>
      <w:r>
        <w:t xml:space="preserve">[68]</w:t>
      </w:r>
      <w:r>
        <w:t xml:space="preserve"> </w:t>
      </w:r>
      <w:r>
        <w:t xml:space="preserve">	</w:t>
      </w:r>
      <w:r>
        <w:t xml:space="preserve">Gardner J</w:t>
      </w:r>
      <w:r>
        <w:t xml:space="preserve"> </w:t>
      </w:r>
      <w:hyperlink r:id="rId267">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68"/>
    <w:bookmarkStart w:id="270" w:name="ref-noauthor_multi-center_nodate"/>
    <w:p>
      <w:pPr>
        <w:pStyle w:val="a9"/>
      </w:pPr>
      <w:r>
        <w:t xml:space="preserve">[69]</w:t>
      </w:r>
      <w:r>
        <w:t xml:space="preserve"> </w:t>
      </w:r>
      <w:r>
        <w:t xml:space="preserve">	</w:t>
      </w:r>
      <w:hyperlink r:id="rId269">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70"/>
    <w:bookmarkStart w:id="272" w:name="ref-rehman_federated_2023"/>
    <w:p>
      <w:pPr>
        <w:pStyle w:val="a9"/>
      </w:pPr>
      <w:r>
        <w:t xml:space="preserve">[70]</w:t>
      </w:r>
      <w:r>
        <w:t xml:space="preserve"> </w:t>
      </w:r>
      <w:r>
        <w:t xml:space="preserve">	</w:t>
      </w:r>
      <w:r>
        <w:t xml:space="preserve">Rehman MH ur, Hugo Lopez Pinaya W, Nachev P, Teo JT, Ourselin S, Cardoso MJ 2023.</w:t>
      </w:r>
      <w:r>
        <w:t xml:space="preserve"> </w:t>
      </w:r>
      <w:hyperlink r:id="rId271">
        <w:r>
          <w:rPr>
            <w:rStyle w:val="af"/>
          </w:rPr>
          <w:t xml:space="preserve">Federated learning for medical imaging radiology</w:t>
        </w:r>
      </w:hyperlink>
      <w:r>
        <w:t xml:space="preserve">. Br J Radiol.96:20220890</w:t>
      </w:r>
    </w:p>
    <w:bookmarkEnd w:id="272"/>
    <w:bookmarkStart w:id="274" w:name="ref-guan_federated_2024"/>
    <w:p>
      <w:pPr>
        <w:pStyle w:val="a9"/>
      </w:pPr>
      <w:r>
        <w:t xml:space="preserve">[71]</w:t>
      </w:r>
      <w:r>
        <w:t xml:space="preserve"> </w:t>
      </w:r>
      <w:r>
        <w:t xml:space="preserve">	</w:t>
      </w:r>
      <w:r>
        <w:t xml:space="preserve">Guan H, Yap P-T, Bozoki A, Liu M 2024.</w:t>
      </w:r>
      <w:r>
        <w:t xml:space="preserve"> </w:t>
      </w:r>
      <w:hyperlink r:id="rId273">
        <w:r>
          <w:rPr>
            <w:rStyle w:val="af"/>
          </w:rPr>
          <w:t xml:space="preserve">Federated learning for medical image analysis: A survey</w:t>
        </w:r>
      </w:hyperlink>
      <w:r>
        <w:t xml:space="preserve">. Pattern Recognit.151:110424</w:t>
      </w:r>
    </w:p>
    <w:bookmarkEnd w:id="274"/>
    <w:bookmarkStart w:id="276" w:name="ref-kahenga_fedfusion_2025"/>
    <w:p>
      <w:pPr>
        <w:pStyle w:val="a9"/>
      </w:pPr>
      <w:r>
        <w:t xml:space="preserve">[72]</w:t>
      </w:r>
      <w:r>
        <w:t xml:space="preserve"> </w:t>
      </w:r>
      <w:r>
        <w:t xml:space="preserve">	</w:t>
      </w:r>
      <w:r>
        <w:t xml:space="preserve">Kahenga F, Bagula A, Sello P, Das SK 2025.</w:t>
      </w:r>
      <w:r>
        <w:t xml:space="preserve"> </w:t>
      </w:r>
      <w:hyperlink r:id="rId275">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76"/>
    <w:bookmarkStart w:id="277" w:name="ref-guyon2002gene"/>
    <w:p>
      <w:pPr>
        <w:pStyle w:val="a9"/>
      </w:pPr>
      <w:r>
        <w:t xml:space="preserve">[73]</w:t>
      </w:r>
      <w:r>
        <w:t xml:space="preserve"> </w:t>
      </w:r>
      <w:r>
        <w:t xml:space="preserve">	</w:t>
      </w:r>
      <w:r>
        <w:t xml:space="preserve">Guyon I, Weston J, Barnhill S, Vapnik V 2002. Gene selection for cancer classification using support vector machines. Machine learning.46:389–422</w:t>
      </w:r>
    </w:p>
    <w:bookmarkEnd w:id="277"/>
    <w:bookmarkStart w:id="278" w:name="ref-chen2023graces"/>
    <w:p>
      <w:pPr>
        <w:pStyle w:val="a9"/>
      </w:pPr>
      <w:r>
        <w:t xml:space="preserve">[74]</w:t>
      </w:r>
      <w:r>
        <w:t xml:space="preserve"> </w:t>
      </w:r>
      <w:r>
        <w:t xml:space="preserve">	</w:t>
      </w:r>
      <w:r>
        <w:t xml:space="preserve">Chen X, Wu Y, He L, Zhai J, Li X, Li X 2023. Graph convolutional network-based feature selection for high-dimensional and low-sample size data. Bioinformatics.39:btac834</w:t>
      </w:r>
    </w:p>
    <w:bookmarkEnd w:id="278"/>
    <w:bookmarkStart w:id="279" w:name="ref-liu2022deepfs"/>
    <w:p>
      <w:pPr>
        <w:pStyle w:val="a9"/>
      </w:pPr>
      <w:r>
        <w:t xml:space="preserve">[75]</w:t>
      </w:r>
      <w:r>
        <w:t xml:space="preserve"> </w:t>
      </w:r>
      <w:r>
        <w:t xml:space="preserve">	</w:t>
      </w:r>
      <w:r>
        <w:t xml:space="preserve">Liu X, Wu D, Cao W, Cai J 2022. Deep feature screening: Feature selection for ultra high-dimensional data via deep neural networks. Neurocomputing.488:36–47</w:t>
      </w:r>
    </w:p>
    <w:bookmarkEnd w:id="279"/>
    <w:bookmarkStart w:id="280" w:name="ref-li2023deep"/>
    <w:p>
      <w:pPr>
        <w:pStyle w:val="a9"/>
      </w:pPr>
      <w:r>
        <w:t xml:space="preserve">[76]</w:t>
      </w:r>
      <w:r>
        <w:t xml:space="preserve"> </w:t>
      </w:r>
      <w:r>
        <w:t xml:space="preserve">	</w:t>
      </w:r>
      <w:r>
        <w:t xml:space="preserve">Li K, Wang F, Yang L, Liu R 2023. Deep feature screening: Feature selection for ultra high-dimensional data via deep neural networks. Neurocomputing.538:126186</w:t>
      </w:r>
    </w:p>
    <w:bookmarkEnd w:id="280"/>
    <w:bookmarkStart w:id="281" w:name="ref-swensen1997archives"/>
    <w:p>
      <w:pPr>
        <w:pStyle w:val="a9"/>
      </w:pPr>
      <w:r>
        <w:t xml:space="preserve">[77]</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81"/>
    <w:bookmarkStart w:id="283" w:name="ref-chen_pulmonary_2025"/>
    <w:p>
      <w:pPr>
        <w:pStyle w:val="a9"/>
      </w:pPr>
      <w:r>
        <w:t xml:space="preserve">[78]</w:t>
      </w:r>
      <w:r>
        <w:t xml:space="preserve"> </w:t>
      </w:r>
      <w:r>
        <w:t xml:space="preserve">	</w:t>
      </w:r>
      <w:r>
        <w:t xml:space="preserve">Chen S, Lin WL, Liu WT, Zou LY, Chen Y, Lu F 2025.</w:t>
      </w:r>
      <w:r>
        <w:t xml:space="preserve"> </w:t>
      </w:r>
      <w:hyperlink r:id="rId282">
        <w:r>
          <w:rPr>
            <w:rStyle w:val="af"/>
          </w:rPr>
          <w:t xml:space="preserve">Pulmonary nodule malignancy probability: A meta-analysis of the brock model</w:t>
        </w:r>
      </w:hyperlink>
      <w:r>
        <w:t xml:space="preserve">. Clinical Radiology.82:106788</w:t>
      </w:r>
    </w:p>
    <w:bookmarkEnd w:id="283"/>
    <w:bookmarkStart w:id="285" w:name="ref-yang_comparison_2018"/>
    <w:p>
      <w:pPr>
        <w:pStyle w:val="a9"/>
      </w:pPr>
      <w:r>
        <w:t xml:space="preserve">[79]</w:t>
      </w:r>
      <w:r>
        <w:t xml:space="preserve"> </w:t>
      </w:r>
      <w:r>
        <w:t xml:space="preserve">	</w:t>
      </w:r>
      <w:r>
        <w:t xml:space="preserve">Yang B, Jhun BW, Shin SH, Jeong B-H, Um S-W, Zo JI, Lee HY, Sohn I, Kim H, Kwon OJ, Lee K 2018.</w:t>
      </w:r>
      <w:r>
        <w:t xml:space="preserve"> </w:t>
      </w:r>
      <w:hyperlink r:id="rId284">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85"/>
    <w:bookmarkStart w:id="287" w:name="ref-cui_comparison_2019"/>
    <w:p>
      <w:pPr>
        <w:pStyle w:val="a9"/>
      </w:pPr>
      <w:r>
        <w:t xml:space="preserve">[80]</w:t>
      </w:r>
      <w:r>
        <w:t xml:space="preserve"> </w:t>
      </w:r>
      <w:r>
        <w:t xml:space="preserve">	</w:t>
      </w:r>
      <w:r>
        <w:t xml:space="preserve">Cui X, Heuvelmans MA, Han D, Zhao Y, Fan S, Zheng S, Sidorenkov G, Groen HJM, Dorrius MD, Oudkerk M, Bock GH de, Vliegenthart R, Ye Z 2019.</w:t>
      </w:r>
      <w:r>
        <w:t xml:space="preserve"> </w:t>
      </w:r>
      <w:hyperlink r:id="rId286">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87"/>
    <w:bookmarkStart w:id="289" w:name="ref-li_evaluation_2020"/>
    <w:p>
      <w:pPr>
        <w:pStyle w:val="a9"/>
      </w:pPr>
      <w:r>
        <w:t xml:space="preserve">[81]</w:t>
      </w:r>
      <w:r>
        <w:t xml:space="preserve"> </w:t>
      </w:r>
      <w:r>
        <w:t xml:space="preserve">	</w:t>
      </w:r>
      <w:r>
        <w:t xml:space="preserve">Li Y, Hu H, Wu Z, Yan G, Wu T, Liu S, Chen W, Lu Z 2020.</w:t>
      </w:r>
      <w:r>
        <w:t xml:space="preserve"> </w:t>
      </w:r>
      <w:hyperlink r:id="rId288">
        <w:r>
          <w:rPr>
            <w:rStyle w:val="af"/>
          </w:rPr>
          <w:t xml:space="preserve">Evaluation of models for predicting the probability of malignancy in patients with pulmonary nodules</w:t>
        </w:r>
      </w:hyperlink>
      <w:r>
        <w:t xml:space="preserve">. Biosci Rep.40:BSR20193875</w:t>
      </w:r>
    </w:p>
    <w:bookmarkEnd w:id="289"/>
    <w:bookmarkStart w:id="291" w:name="ref-herder_clinical_2005"/>
    <w:p>
      <w:pPr>
        <w:pStyle w:val="a9"/>
      </w:pPr>
      <w:r>
        <w:t xml:space="preserve">[82]</w:t>
      </w:r>
      <w:r>
        <w:t xml:space="preserve"> </w:t>
      </w:r>
      <w:r>
        <w:t xml:space="preserve">	</w:t>
      </w:r>
      <w:r>
        <w:t xml:space="preserve">Herder GJ, Tinteren H van, Golding RP, Kostense PJ, Comans EF, Smit EF, Hoekstra OS 2005.</w:t>
      </w:r>
      <w:r>
        <w:t xml:space="preserve"> </w:t>
      </w:r>
      <w:hyperlink r:id="rId290">
        <w:r>
          <w:rPr>
            <w:rStyle w:val="af"/>
          </w:rPr>
          <w:t xml:space="preserve">Clinical prediction model to characterize pulmonary nodules: Validation and added value of 18F-fluorodeoxyglucose positron emission tomography</w:t>
        </w:r>
      </w:hyperlink>
      <w:r>
        <w:t xml:space="preserve">. Chest.128:2490–2496</w:t>
      </w:r>
    </w:p>
    <w:bookmarkEnd w:id="291"/>
    <w:bookmarkStart w:id="293" w:name="ref-perandini_solid_2016"/>
    <w:p>
      <w:pPr>
        <w:pStyle w:val="a9"/>
      </w:pPr>
      <w:r>
        <w:t xml:space="preserve">[83]</w:t>
      </w:r>
      <w:r>
        <w:t xml:space="preserve"> </w:t>
      </w:r>
      <w:r>
        <w:t xml:space="preserve">	</w:t>
      </w:r>
      <w:r>
        <w:t xml:space="preserve">Perandini S, Soardi GA, Motton M, Rossi A, Signorini M, Montemezzi S 2016.</w:t>
      </w:r>
      <w:r>
        <w:t xml:space="preserve"> </w:t>
      </w:r>
      <w:hyperlink r:id="rId292">
        <w:r>
          <w:rPr>
            <w:rStyle w:val="af"/>
          </w:rPr>
          <w:t xml:space="preserve">Solid pulmonary nodule risk assessment and decision analysis: Comparison of four prediction models in 285 cases</w:t>
        </w:r>
      </w:hyperlink>
      <w:r>
        <w:t xml:space="preserve">. Eur Radiol.26:3071–3076</w:t>
      </w:r>
    </w:p>
    <w:bookmarkEnd w:id="293"/>
    <w:bookmarkStart w:id="295" w:name="ref-li_predicting_2019"/>
    <w:p>
      <w:pPr>
        <w:pStyle w:val="a9"/>
      </w:pPr>
      <w:r>
        <w:t xml:space="preserve">[84]</w:t>
      </w:r>
      <w:r>
        <w:t xml:space="preserve"> </w:t>
      </w:r>
      <w:r>
        <w:t xml:space="preserve">	</w:t>
      </w:r>
      <w:r>
        <w:t xml:space="preserve">Li S, Xu P, Li B, Chen L, Zhou Z, Hao H, Duan Y, Folkert M, Ma J, Huang S, Jiang S, Wang J 2019.</w:t>
      </w:r>
      <w:r>
        <w:t xml:space="preserve"> </w:t>
      </w:r>
      <w:hyperlink r:id="rId294">
        <w:r>
          <w:rPr>
            <w:rStyle w:val="af"/>
          </w:rPr>
          <w:t xml:space="preserve">Predicting lung nodule malignancies by combining deep convolutional neural network and handcrafted features</w:t>
        </w:r>
      </w:hyperlink>
      <w:r>
        <w:t xml:space="preserve">. Phys Med Biol.64:175012</w:t>
      </w:r>
    </w:p>
    <w:bookmarkEnd w:id="295"/>
    <w:bookmarkStart w:id="297" w:name="ref-lin_combined_2024"/>
    <w:p>
      <w:pPr>
        <w:pStyle w:val="a9"/>
      </w:pPr>
      <w:r>
        <w:t xml:space="preserve">[85]</w:t>
      </w:r>
      <w:r>
        <w:t xml:space="preserve"> </w:t>
      </w:r>
      <w:r>
        <w:t xml:space="preserve">	</w:t>
      </w:r>
      <w:r>
        <w:t xml:space="preserve">Lin C-Y, Guo S-M, Lien J-JJ, Lin W-T, Liu Y-S, Lai C-H, Hsu I-L, Chang C-C, Tseng Y-L 2024.</w:t>
      </w:r>
      <w:r>
        <w:t xml:space="preserve"> </w:t>
      </w:r>
      <w:hyperlink r:id="rId296">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297"/>
    <w:bookmarkStart w:id="299" w:name="ref-causey_highly_2018"/>
    <w:p>
      <w:pPr>
        <w:pStyle w:val="a9"/>
      </w:pPr>
      <w:r>
        <w:t xml:space="preserve">[86]</w:t>
      </w:r>
      <w:r>
        <w:t xml:space="preserve"> </w:t>
      </w:r>
      <w:r>
        <w:t xml:space="preserve">	</w:t>
      </w:r>
      <w:r>
        <w:t xml:space="preserve">Causey JL, Zhang J, Ma S, Jiang B, Qualls JA, Politte DG, Prior F, Zhang S, Huang X 2018.</w:t>
      </w:r>
      <w:r>
        <w:t xml:space="preserve"> </w:t>
      </w:r>
      <w:hyperlink r:id="rId298">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299"/>
    <w:bookmarkStart w:id="300" w:name="ref-de2021adapt"/>
    <w:p>
      <w:pPr>
        <w:pStyle w:val="a9"/>
      </w:pPr>
      <w:r>
        <w:t xml:space="preserve">[87]</w:t>
      </w:r>
      <w:r>
        <w:t xml:space="preserve"> </w:t>
      </w:r>
      <w:r>
        <w:t xml:space="preserve">	</w:t>
      </w:r>
      <w:r>
        <w:t xml:space="preserve">Mathelin A de, Deheeger F, Richard G, Mougeot M, Vayatis N 2021. ADAPT: Awesome domain adaptation python toolbox. arXiv preprint arXiv:2107.03049.</w:t>
      </w:r>
    </w:p>
    <w:bookmarkEnd w:id="300"/>
    <w:bookmarkStart w:id="302" w:name="ref-noauthor_welcome_nodate"/>
    <w:p>
      <w:pPr>
        <w:pStyle w:val="a9"/>
      </w:pPr>
      <w:r>
        <w:t xml:space="preserve">[88]</w:t>
      </w:r>
      <w:r>
        <w:t xml:space="preserve"> </w:t>
      </w:r>
      <w:r>
        <w:t xml:space="preserve">	</w:t>
      </w:r>
      <w:hyperlink r:id="rId301">
        <w:r>
          <w:rPr>
            <w:rStyle w:val="af"/>
          </w:rPr>
          <w:t xml:space="preserve">Welcome! — adapt 0.1.0 documentation</w:t>
        </w:r>
      </w:hyperlink>
      <w:r>
        <w:t xml:space="preserve">.</w:t>
      </w:r>
      <w:r>
        <w:t xml:space="preserve"> </w:t>
      </w:r>
    </w:p>
    <w:bookmarkEnd w:id="302"/>
    <w:bookmarkStart w:id="303" w:name="ref-ben2010theory"/>
    <w:p>
      <w:pPr>
        <w:pStyle w:val="a9"/>
      </w:pPr>
      <w:r>
        <w:t xml:space="preserve">[89]</w:t>
      </w:r>
      <w:r>
        <w:t xml:space="preserve"> </w:t>
      </w:r>
      <w:r>
        <w:t xml:space="preserve">	</w:t>
      </w:r>
      <w:r>
        <w:t xml:space="preserve">Ben-David S, Blitzer J, Crammer K, Kulesza A, Pereira F, Vaughan JW 2010. A theory of learning from different domains. Machine learning.79:151–175</w:t>
      </w:r>
    </w:p>
    <w:bookmarkEnd w:id="303"/>
    <w:bookmarkEnd w:id="304"/>
    <w:bookmarkEnd w:id="305"/>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9" Target="media/rId129.pdf" /><Relationship Type="http://schemas.openxmlformats.org/officeDocument/2006/relationships/image" Id="rId68" Target="media/rId68.pdf" /><Relationship Type="http://schemas.openxmlformats.org/officeDocument/2006/relationships/image" Id="rId137" Target="media/rId137.pdf" /><Relationship Type="http://schemas.openxmlformats.org/officeDocument/2006/relationships/image" Id="rId115" Target="media/rId115.pdf" /><Relationship Type="http://schemas.openxmlformats.org/officeDocument/2006/relationships/image" Id="rId133" Target="media/rId133.pdf" /><Relationship Type="http://schemas.openxmlformats.org/officeDocument/2006/relationships/image" Id="rId124" Target="media/rId124.pdf" /><Relationship Type="http://schemas.openxmlformats.org/officeDocument/2006/relationships/hyperlink" Id="rId301" Target="https://adapt-python.github.io/adapt/" TargetMode="External" /><Relationship Type="http://schemas.openxmlformats.org/officeDocument/2006/relationships/hyperlink" Id="rId221" Target="https://arashk.medium.com/fttransformer-transformer-architecture-for-tabular-datasets-d4bfe591d6fb" TargetMode="External" /><Relationship Type="http://schemas.openxmlformats.org/officeDocument/2006/relationships/hyperlink" Id="rId245" Target="https://arxiv.org/abs/1612.01939" TargetMode="External" /><Relationship Type="http://schemas.openxmlformats.org/officeDocument/2006/relationships/hyperlink" Id="rId177" Target="https://arxiv.org/html/2502.17361v1" TargetMode="External" /><Relationship Type="http://schemas.openxmlformats.org/officeDocument/2006/relationships/hyperlink" Id="rId179" Target="https://arxiv.org/html/2505.16226v1" TargetMode="External" /><Relationship Type="http://schemas.openxmlformats.org/officeDocument/2006/relationships/hyperlink" Id="rId223" Target="https://bytez.com/docs/icml/46681/paper" TargetMode="External" /><Relationship Type="http://schemas.openxmlformats.org/officeDocument/2006/relationships/hyperlink" Id="rId161" Target="https://doi.org/10.1002/mp.14308" TargetMode="External" /><Relationship Type="http://schemas.openxmlformats.org/officeDocument/2006/relationships/hyperlink" Id="rId292" Target="https://doi.org/10.1007/s00330-015-4138-9" TargetMode="External" /><Relationship Type="http://schemas.openxmlformats.org/officeDocument/2006/relationships/hyperlink" Id="rId296" Target="https://doi.org/10.1007/s11547-023-01730-6" TargetMode="External" /><Relationship Type="http://schemas.openxmlformats.org/officeDocument/2006/relationships/hyperlink" Id="rId263" Target="https://doi.org/10.1016/j.asoc.2022.109205" TargetMode="External" /><Relationship Type="http://schemas.openxmlformats.org/officeDocument/2006/relationships/hyperlink" Id="rId282" Target="https://doi.org/10.1016/j.crad.2024.106788" TargetMode="External" /><Relationship Type="http://schemas.openxmlformats.org/officeDocument/2006/relationships/hyperlink" Id="rId248"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55" Target="https://doi.org/10.1016/j.neuroimage.2023.119863" TargetMode="External" /><Relationship Type="http://schemas.openxmlformats.org/officeDocument/2006/relationships/hyperlink" Id="rId273" Target="https://doi.org/10.1016/j.patcog.2024.110424" TargetMode="External" /><Relationship Type="http://schemas.openxmlformats.org/officeDocument/2006/relationships/hyperlink" Id="rId228" Target="https://doi.org/10.1038/s41586-024-08328-6" TargetMode="External" /><Relationship Type="http://schemas.openxmlformats.org/officeDocument/2006/relationships/hyperlink" Id="rId197" Target="https://doi.org/10.1038/s41591-019-0447-x" TargetMode="External" /><Relationship Type="http://schemas.openxmlformats.org/officeDocument/2006/relationships/hyperlink" Id="rId298" Target="https://doi.org/10.1038/s41598-018-27569-w" TargetMode="External" /><Relationship Type="http://schemas.openxmlformats.org/officeDocument/2006/relationships/hyperlink" Id="rId189" Target="https://doi.org/10.1038/s41598-022-06484-1" TargetMode="External" /><Relationship Type="http://schemas.openxmlformats.org/officeDocument/2006/relationships/hyperlink" Id="rId288" Target="https://doi.org/10.1042/BSR20193875" TargetMode="External" /><Relationship Type="http://schemas.openxmlformats.org/officeDocument/2006/relationships/hyperlink" Id="rId294" Target="https://doi.org/10.1088/1361-6560/ab326a" TargetMode="External" /><Relationship Type="http://schemas.openxmlformats.org/officeDocument/2006/relationships/hyperlink" Id="rId250" Target="https://doi.org/10.1101/2024.03.27.24304781" TargetMode="External" /><Relationship Type="http://schemas.openxmlformats.org/officeDocument/2006/relationships/hyperlink" Id="rId239" Target="https://doi.org/10.1101/2025.08.15.670537" TargetMode="External" /><Relationship Type="http://schemas.openxmlformats.org/officeDocument/2006/relationships/hyperlink" Id="rId241" Target="https://doi.org/10.1109/ICACCTech61146.2023.00044" TargetMode="External" /><Relationship Type="http://schemas.openxmlformats.org/officeDocument/2006/relationships/hyperlink" Id="rId257" Target="https://doi.org/10.1109/TBME.2021.3117407" TargetMode="External" /><Relationship Type="http://schemas.openxmlformats.org/officeDocument/2006/relationships/hyperlink" Id="rId210"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1" Target="https://doi.org/10.1126/sciadv.adp6040" TargetMode="External" /><Relationship Type="http://schemas.openxmlformats.org/officeDocument/2006/relationships/hyperlink" Id="rId208" Target="https://doi.org/10.1186/s12859-024-05940-1" TargetMode="External" /><Relationship Type="http://schemas.openxmlformats.org/officeDocument/2006/relationships/hyperlink" Id="rId271" Target="https://doi.org/10.1259/bjr.20220890" TargetMode="External" /><Relationship Type="http://schemas.openxmlformats.org/officeDocument/2006/relationships/hyperlink" Id="rId199" Target="https://doi.org/10.1371/journal.pmed.1002683" TargetMode="External" /><Relationship Type="http://schemas.openxmlformats.org/officeDocument/2006/relationships/hyperlink" Id="rId284" Target="https://doi.org/10.1371/journal.pone.0201242" TargetMode="External" /><Relationship Type="http://schemas.openxmlformats.org/officeDocument/2006/relationships/hyperlink" Id="rId290" Target="https://doi.org/10.1378/chest.128.4.2490" TargetMode="External" /><Relationship Type="http://schemas.openxmlformats.org/officeDocument/2006/relationships/hyperlink" Id="rId253" Target="https://doi.org/10.1609/aaai.v39i19.34191" TargetMode="External" /><Relationship Type="http://schemas.openxmlformats.org/officeDocument/2006/relationships/hyperlink" Id="rId234" Target="https://doi.org/10.21037/qims-2025-1132" TargetMode="External" /><Relationship Type="http://schemas.openxmlformats.org/officeDocument/2006/relationships/hyperlink" Id="rId286" Target="https://doi.org/10.21037/tlcr.2019.09.17" TargetMode="External" /><Relationship Type="http://schemas.openxmlformats.org/officeDocument/2006/relationships/hyperlink" Id="rId232" Target="https://doi.org/10.26434/chemrxiv-2025-szk5s" TargetMode="External" /><Relationship Type="http://schemas.openxmlformats.org/officeDocument/2006/relationships/hyperlink" Id="rId195" Target="https://doi.org/10.3390/ani13203276" TargetMode="External" /><Relationship Type="http://schemas.openxmlformats.org/officeDocument/2006/relationships/hyperlink" Id="rId214" Target="https://doi.org/10.48550/arXiv.2012.06678" TargetMode="External" /><Relationship Type="http://schemas.openxmlformats.org/officeDocument/2006/relationships/hyperlink" Id="rId216" Target="https://doi.org/10.48550/arXiv.2106.11959" TargetMode="External" /><Relationship Type="http://schemas.openxmlformats.org/officeDocument/2006/relationships/hyperlink" Id="rId204" Target="https://doi.org/10.48550/arXiv.2207.08815" TargetMode="External" /><Relationship Type="http://schemas.openxmlformats.org/officeDocument/2006/relationships/hyperlink" Id="rId259" Target="https://doi.org/10.48550/arXiv.2211.02093" TargetMode="External" /><Relationship Type="http://schemas.openxmlformats.org/officeDocument/2006/relationships/hyperlink" Id="rId243" Target="https://doi.org/10.48550/arXiv.2312.01792" TargetMode="External" /><Relationship Type="http://schemas.openxmlformats.org/officeDocument/2006/relationships/hyperlink" Id="rId193" Target="https://doi.org/10.48550/arXiv.2312.07577" TargetMode="External" /><Relationship Type="http://schemas.openxmlformats.org/officeDocument/2006/relationships/hyperlink" Id="rId206" Target="https://doi.org/10.48550/arXiv.2408.14817" TargetMode="External" /><Relationship Type="http://schemas.openxmlformats.org/officeDocument/2006/relationships/hyperlink" Id="rId230" Target="https://doi.org/10.48550/arXiv.2411.10634" TargetMode="External" /><Relationship Type="http://schemas.openxmlformats.org/officeDocument/2006/relationships/hyperlink" Id="rId226" Target="https://doi.org/10.48550/arXiv.2501.03540" TargetMode="External" /><Relationship Type="http://schemas.openxmlformats.org/officeDocument/2006/relationships/hyperlink" Id="rId212" Target="https://doi.org/10.48550/arXiv.2502.02527" TargetMode="External" /><Relationship Type="http://schemas.openxmlformats.org/officeDocument/2006/relationships/hyperlink" Id="rId237" Target="https://doi.org/10.48550/arXiv.2502.02672" TargetMode="External" /><Relationship Type="http://schemas.openxmlformats.org/officeDocument/2006/relationships/hyperlink" Id="rId261" Target="https://doi.org/10.48550/arXiv.2504.00322" TargetMode="External" /><Relationship Type="http://schemas.openxmlformats.org/officeDocument/2006/relationships/hyperlink" Id="rId219" Target="https://doi.org/10.48550/arXiv.2506.06926" TargetMode="External" /><Relationship Type="http://schemas.openxmlformats.org/officeDocument/2006/relationships/hyperlink" Id="rId183" Target="https://doi.org/10.48550/arXiv.2508.20906" TargetMode="External" /><Relationship Type="http://schemas.openxmlformats.org/officeDocument/2006/relationships/hyperlink" Id="rId275" Target="https://doi.org/10.48550/arXiv.2509.19220" TargetMode="External" /><Relationship Type="http://schemas.openxmlformats.org/officeDocument/2006/relationships/hyperlink" Id="rId181" Target="https://github.com/automl/Drift-Resilient_TabPFN" TargetMode="External" /><Relationship Type="http://schemas.openxmlformats.org/officeDocument/2006/relationships/hyperlink" Id="rId265" Target="https://github.com/mlfoundations/tableshift" TargetMode="External" /><Relationship Type="http://schemas.openxmlformats.org/officeDocument/2006/relationships/hyperlink" Id="rId267" Target="https://jpgard.github.io/tableshift-web/index.html" TargetMode="External" /><Relationship Type="http://schemas.openxmlformats.org/officeDocument/2006/relationships/hyperlink" Id="rId175" Target="https://priorlabs.ai/technical-reports/tabpfn-2-5-model-report" TargetMode="External" /><Relationship Type="http://schemas.openxmlformats.org/officeDocument/2006/relationships/hyperlink" Id="rId269"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01" Target="https://adapt-python.github.io/adapt/" TargetMode="External" /><Relationship Type="http://schemas.openxmlformats.org/officeDocument/2006/relationships/hyperlink" Id="rId221" Target="https://arashk.medium.com/fttransformer-transformer-architecture-for-tabular-datasets-d4bfe591d6fb" TargetMode="External" /><Relationship Type="http://schemas.openxmlformats.org/officeDocument/2006/relationships/hyperlink" Id="rId245" Target="https://arxiv.org/abs/1612.01939" TargetMode="External" /><Relationship Type="http://schemas.openxmlformats.org/officeDocument/2006/relationships/hyperlink" Id="rId177" Target="https://arxiv.org/html/2502.17361v1" TargetMode="External" /><Relationship Type="http://schemas.openxmlformats.org/officeDocument/2006/relationships/hyperlink" Id="rId179" Target="https://arxiv.org/html/2505.16226v1" TargetMode="External" /><Relationship Type="http://schemas.openxmlformats.org/officeDocument/2006/relationships/hyperlink" Id="rId223" Target="https://bytez.com/docs/icml/46681/paper" TargetMode="External" /><Relationship Type="http://schemas.openxmlformats.org/officeDocument/2006/relationships/hyperlink" Id="rId161" Target="https://doi.org/10.1002/mp.14308" TargetMode="External" /><Relationship Type="http://schemas.openxmlformats.org/officeDocument/2006/relationships/hyperlink" Id="rId292" Target="https://doi.org/10.1007/s00330-015-4138-9" TargetMode="External" /><Relationship Type="http://schemas.openxmlformats.org/officeDocument/2006/relationships/hyperlink" Id="rId296" Target="https://doi.org/10.1007/s11547-023-01730-6" TargetMode="External" /><Relationship Type="http://schemas.openxmlformats.org/officeDocument/2006/relationships/hyperlink" Id="rId263" Target="https://doi.org/10.1016/j.asoc.2022.109205" TargetMode="External" /><Relationship Type="http://schemas.openxmlformats.org/officeDocument/2006/relationships/hyperlink" Id="rId282" Target="https://doi.org/10.1016/j.crad.2024.106788" TargetMode="External" /><Relationship Type="http://schemas.openxmlformats.org/officeDocument/2006/relationships/hyperlink" Id="rId248"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55" Target="https://doi.org/10.1016/j.neuroimage.2023.119863" TargetMode="External" /><Relationship Type="http://schemas.openxmlformats.org/officeDocument/2006/relationships/hyperlink" Id="rId273" Target="https://doi.org/10.1016/j.patcog.2024.110424" TargetMode="External" /><Relationship Type="http://schemas.openxmlformats.org/officeDocument/2006/relationships/hyperlink" Id="rId228" Target="https://doi.org/10.1038/s41586-024-08328-6" TargetMode="External" /><Relationship Type="http://schemas.openxmlformats.org/officeDocument/2006/relationships/hyperlink" Id="rId197" Target="https://doi.org/10.1038/s41591-019-0447-x" TargetMode="External" /><Relationship Type="http://schemas.openxmlformats.org/officeDocument/2006/relationships/hyperlink" Id="rId298" Target="https://doi.org/10.1038/s41598-018-27569-w" TargetMode="External" /><Relationship Type="http://schemas.openxmlformats.org/officeDocument/2006/relationships/hyperlink" Id="rId189" Target="https://doi.org/10.1038/s41598-022-06484-1" TargetMode="External" /><Relationship Type="http://schemas.openxmlformats.org/officeDocument/2006/relationships/hyperlink" Id="rId288" Target="https://doi.org/10.1042/BSR20193875" TargetMode="External" /><Relationship Type="http://schemas.openxmlformats.org/officeDocument/2006/relationships/hyperlink" Id="rId294" Target="https://doi.org/10.1088/1361-6560/ab326a" TargetMode="External" /><Relationship Type="http://schemas.openxmlformats.org/officeDocument/2006/relationships/hyperlink" Id="rId250" Target="https://doi.org/10.1101/2024.03.27.24304781" TargetMode="External" /><Relationship Type="http://schemas.openxmlformats.org/officeDocument/2006/relationships/hyperlink" Id="rId239" Target="https://doi.org/10.1101/2025.08.15.670537" TargetMode="External" /><Relationship Type="http://schemas.openxmlformats.org/officeDocument/2006/relationships/hyperlink" Id="rId241" Target="https://doi.org/10.1109/ICACCTech61146.2023.00044" TargetMode="External" /><Relationship Type="http://schemas.openxmlformats.org/officeDocument/2006/relationships/hyperlink" Id="rId257" Target="https://doi.org/10.1109/TBME.2021.3117407" TargetMode="External" /><Relationship Type="http://schemas.openxmlformats.org/officeDocument/2006/relationships/hyperlink" Id="rId210"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1" Target="https://doi.org/10.1126/sciadv.adp6040" TargetMode="External" /><Relationship Type="http://schemas.openxmlformats.org/officeDocument/2006/relationships/hyperlink" Id="rId208" Target="https://doi.org/10.1186/s12859-024-05940-1" TargetMode="External" /><Relationship Type="http://schemas.openxmlformats.org/officeDocument/2006/relationships/hyperlink" Id="rId271" Target="https://doi.org/10.1259/bjr.20220890" TargetMode="External" /><Relationship Type="http://schemas.openxmlformats.org/officeDocument/2006/relationships/hyperlink" Id="rId199" Target="https://doi.org/10.1371/journal.pmed.1002683" TargetMode="External" /><Relationship Type="http://schemas.openxmlformats.org/officeDocument/2006/relationships/hyperlink" Id="rId284" Target="https://doi.org/10.1371/journal.pone.0201242" TargetMode="External" /><Relationship Type="http://schemas.openxmlformats.org/officeDocument/2006/relationships/hyperlink" Id="rId290" Target="https://doi.org/10.1378/chest.128.4.2490" TargetMode="External" /><Relationship Type="http://schemas.openxmlformats.org/officeDocument/2006/relationships/hyperlink" Id="rId253" Target="https://doi.org/10.1609/aaai.v39i19.34191" TargetMode="External" /><Relationship Type="http://schemas.openxmlformats.org/officeDocument/2006/relationships/hyperlink" Id="rId234" Target="https://doi.org/10.21037/qims-2025-1132" TargetMode="External" /><Relationship Type="http://schemas.openxmlformats.org/officeDocument/2006/relationships/hyperlink" Id="rId286" Target="https://doi.org/10.21037/tlcr.2019.09.17" TargetMode="External" /><Relationship Type="http://schemas.openxmlformats.org/officeDocument/2006/relationships/hyperlink" Id="rId232" Target="https://doi.org/10.26434/chemrxiv-2025-szk5s" TargetMode="External" /><Relationship Type="http://schemas.openxmlformats.org/officeDocument/2006/relationships/hyperlink" Id="rId195" Target="https://doi.org/10.3390/ani13203276" TargetMode="External" /><Relationship Type="http://schemas.openxmlformats.org/officeDocument/2006/relationships/hyperlink" Id="rId214" Target="https://doi.org/10.48550/arXiv.2012.06678" TargetMode="External" /><Relationship Type="http://schemas.openxmlformats.org/officeDocument/2006/relationships/hyperlink" Id="rId216" Target="https://doi.org/10.48550/arXiv.2106.11959" TargetMode="External" /><Relationship Type="http://schemas.openxmlformats.org/officeDocument/2006/relationships/hyperlink" Id="rId204" Target="https://doi.org/10.48550/arXiv.2207.08815" TargetMode="External" /><Relationship Type="http://schemas.openxmlformats.org/officeDocument/2006/relationships/hyperlink" Id="rId259" Target="https://doi.org/10.48550/arXiv.2211.02093" TargetMode="External" /><Relationship Type="http://schemas.openxmlformats.org/officeDocument/2006/relationships/hyperlink" Id="rId243" Target="https://doi.org/10.48550/arXiv.2312.01792" TargetMode="External" /><Relationship Type="http://schemas.openxmlformats.org/officeDocument/2006/relationships/hyperlink" Id="rId193" Target="https://doi.org/10.48550/arXiv.2312.07577" TargetMode="External" /><Relationship Type="http://schemas.openxmlformats.org/officeDocument/2006/relationships/hyperlink" Id="rId206" Target="https://doi.org/10.48550/arXiv.2408.14817" TargetMode="External" /><Relationship Type="http://schemas.openxmlformats.org/officeDocument/2006/relationships/hyperlink" Id="rId230" Target="https://doi.org/10.48550/arXiv.2411.10634" TargetMode="External" /><Relationship Type="http://schemas.openxmlformats.org/officeDocument/2006/relationships/hyperlink" Id="rId226" Target="https://doi.org/10.48550/arXiv.2501.03540" TargetMode="External" /><Relationship Type="http://schemas.openxmlformats.org/officeDocument/2006/relationships/hyperlink" Id="rId212" Target="https://doi.org/10.48550/arXiv.2502.02527" TargetMode="External" /><Relationship Type="http://schemas.openxmlformats.org/officeDocument/2006/relationships/hyperlink" Id="rId237" Target="https://doi.org/10.48550/arXiv.2502.02672" TargetMode="External" /><Relationship Type="http://schemas.openxmlformats.org/officeDocument/2006/relationships/hyperlink" Id="rId261" Target="https://doi.org/10.48550/arXiv.2504.00322" TargetMode="External" /><Relationship Type="http://schemas.openxmlformats.org/officeDocument/2006/relationships/hyperlink" Id="rId219" Target="https://doi.org/10.48550/arXiv.2506.06926" TargetMode="External" /><Relationship Type="http://schemas.openxmlformats.org/officeDocument/2006/relationships/hyperlink" Id="rId183" Target="https://doi.org/10.48550/arXiv.2508.20906" TargetMode="External" /><Relationship Type="http://schemas.openxmlformats.org/officeDocument/2006/relationships/hyperlink" Id="rId275" Target="https://doi.org/10.48550/arXiv.2509.19220" TargetMode="External" /><Relationship Type="http://schemas.openxmlformats.org/officeDocument/2006/relationships/hyperlink" Id="rId181" Target="https://github.com/automl/Drift-Resilient_TabPFN" TargetMode="External" /><Relationship Type="http://schemas.openxmlformats.org/officeDocument/2006/relationships/hyperlink" Id="rId265" Target="https://github.com/mlfoundations/tableshift" TargetMode="External" /><Relationship Type="http://schemas.openxmlformats.org/officeDocument/2006/relationships/hyperlink" Id="rId267" Target="https://jpgard.github.io/tableshift-web/index.html" TargetMode="External" /><Relationship Type="http://schemas.openxmlformats.org/officeDocument/2006/relationships/hyperlink" Id="rId175" Target="https://priorlabs.ai/technical-reports/tabpfn-2-5-model-report" TargetMode="External" /><Relationship Type="http://schemas.openxmlformats.org/officeDocument/2006/relationships/hyperlink" Id="rId269"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2025-11-27T01:14:49Z</dcterms:created>
  <dcterms:modified xsi:type="dcterms:W3CDTF">2025-11-27T01:14:49Z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Fragmented hospital silos and strict privacy rules often leave medical AI models staring at small, uneven, mismatched tabular cohorts, so models trained directly on those data tend to wobble when moved between sites. Here we sketch PANDA (Pretrained Adaptation Network with Domain Alignment)–a cross-hospital setup that leans on a pre-trained tabular foundation model, keeps the feature budget lean, and folds in unsupervised domain adaptation, even if calling it a framework is arguably generous.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