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867B" w14:textId="77777777" w:rsidR="0055206D" w:rsidRPr="005F2829" w:rsidRDefault="00000000">
      <w:pPr>
        <w:pStyle w:val="a4"/>
      </w:pPr>
      <w:r w:rsidRPr="005F2829">
        <w:t>PANDA: Pretrained Adaptation Network with Domain Alignment for Feature-Efficient Cross-Hospital Pulmonary Nodule Classification</w:t>
      </w:r>
    </w:p>
    <w:p w14:paraId="55C3E464" w14:textId="77777777" w:rsidR="0055206D" w:rsidRPr="005F2829" w:rsidRDefault="00000000">
      <w:pPr>
        <w:pStyle w:val="Author"/>
      </w:pPr>
      <w:r w:rsidRPr="005F2829">
        <w:t>Qingyuan Liu</w:t>
      </w:r>
      <w:r w:rsidRPr="005F2829">
        <w:rPr>
          <w:vertAlign w:val="superscript"/>
        </w:rPr>
        <w:t>1</w:t>
      </w:r>
    </w:p>
    <w:p w14:paraId="571DA3A6" w14:textId="77777777" w:rsidR="0055206D" w:rsidRPr="005F2829" w:rsidRDefault="00000000">
      <w:pPr>
        <w:pStyle w:val="a8"/>
      </w:pPr>
      <w:r w:rsidRPr="005F2829">
        <w:t xml:space="preserve"> </w:t>
      </w:r>
      <w:r w:rsidRPr="005F2829">
        <w:rPr>
          <w:vertAlign w:val="superscript"/>
        </w:rPr>
        <w:t>1</w:t>
      </w:r>
      <w:r w:rsidRPr="005F2829">
        <w:t xml:space="preserve">Department of Computing, The Hong Kong Polytechnic University, Hong Kong SAR, China </w:t>
      </w:r>
    </w:p>
    <w:p w14:paraId="271BF08C" w14:textId="77777777" w:rsidR="0055206D" w:rsidRPr="005F2829" w:rsidRDefault="00000000">
      <w:pPr>
        <w:pStyle w:val="AbstractTitle"/>
      </w:pPr>
      <w:r w:rsidRPr="005F2829">
        <w:t>Abstract</w:t>
      </w:r>
    </w:p>
    <w:p w14:paraId="75E7EB25" w14:textId="77777777" w:rsidR="0055206D" w:rsidRPr="005F2829" w:rsidRDefault="00000000">
      <w:pPr>
        <w:pStyle w:val="Abstract"/>
      </w:pPr>
      <w:r w:rsidRPr="005F2829">
        <w:t xml:space="preserve">Fragmented hospital silos, privacy constraints, and disease rarity often leave medical AI systems with small, imbalanced, and heterogeneous tabular cohorts, making naïvely trained models brittle when deployed across institutions. We tackle these limitations with </w:t>
      </w:r>
      <w:r w:rsidRPr="005F2829">
        <w:rPr>
          <w:i/>
          <w:iCs/>
        </w:rPr>
        <w:t>PANDA</w:t>
      </w:r>
      <w:r w:rsidRPr="005F2829">
        <w:t xml:space="preserve"> (Pretrained Adaptation Network with Domain Alignment), a cross-hospital framework that fuses tabular foundation modeling, feature-efficient learning, and unsupervised domain adaptation. PANDA leverages a TabPFN-style Transformer encoder that has been meta-trained on millions of synthetic tables to capture high-order interactions that routinely elude gradient-boosting ensembles under low-sample regimes. A cross-cohort recursive feature elimination (RFE) stage ranks biomarkers using the foundation model itself and retains the eight variables that remain predictive in</w:t>
      </w:r>
      <w:r w:rsidRPr="005F2829">
        <w:br/>
        <w:t>textitboth hospitals, limiting data-collection burden while enforcing stability and interpretability. To bridge inter-hospital distribution gaps we embed Transfer Component Analysis (TCA) into the training loop, projecting source and target cohorts into a shared latent space before decoding predictions. This tight integration of self-attention representations, RFE-pruned features, and TCA reduces covariate shift, stabilizes decision boundaries under class imbalance, and yields compact saliency-ranked feature sets obtained via cross-cohort RFE so that the retained eight variables stay predictive even when local rankings differ between hospitals. Evaluated on structured lung nodule datasets from two hospitals (295 training patients vs. 190 external patients), PANDA boosts AUC and sensitivity over purely supervised and non-adaptive baselines, confirming that foundation-model priors plus statistical alignment deliver reliable generalization. Beyond pulmonary oncology, PANDA demonstrates how tabular foundation models combined with feature-efficient domain alignment can translate to broader small-sample, cross-domain classification problems in healthcare and other regulated industries.</w:t>
      </w:r>
    </w:p>
    <w:p w14:paraId="5D34E4CC" w14:textId="77777777" w:rsidR="0055206D" w:rsidRPr="005F2829" w:rsidRDefault="00000000" w:rsidP="000672B5">
      <w:pPr>
        <w:pStyle w:val="1"/>
      </w:pPr>
      <w:bookmarkStart w:id="0" w:name="introduction"/>
      <w:r w:rsidRPr="005F2829">
        <w:t>Introduction</w:t>
      </w:r>
    </w:p>
    <w:p w14:paraId="513A57C6" w14:textId="77777777" w:rsidR="0055206D" w:rsidRPr="005F2829" w:rsidRDefault="00000000">
      <w:pPr>
        <w:pStyle w:val="FirstParagraph"/>
      </w:pPr>
      <w:r w:rsidRPr="005F2829">
        <w:t>Lung cancer is the most common and deadliest cancer in China [</w:t>
      </w:r>
      <w:hyperlink w:anchor="ref-he2021novel">
        <w:r w:rsidRPr="005F2829">
          <w:rPr>
            <w:rStyle w:val="af"/>
            <w:color w:val="000000" w:themeColor="text1"/>
          </w:rPr>
          <w:t>1</w:t>
        </w:r>
      </w:hyperlink>
      <w:r w:rsidRPr="005F2829">
        <w:t>]. Early and accurate identification of benign versus malignant pulmonary nodules is vital but challenging in clinical radiology. To enhance diagnosis, predictive models like the Mayo Clinic (MC), Department of Veterans Affairs (VA), Peking University People’s Hospital (PKUPH), Shanghai, and Bayesian Inference Malignancy Calculator (BIMC) models have been developed, using clinical, radiological, or serum data [</w:t>
      </w:r>
      <w:hyperlink w:anchor="ref-he2021novel">
        <w:r w:rsidRPr="005F2829">
          <w:rPr>
            <w:rStyle w:val="af"/>
            <w:color w:val="000000" w:themeColor="text1"/>
          </w:rPr>
          <w:t>1</w:t>
        </w:r>
      </w:hyperlink>
      <w:r w:rsidRPr="005F2829">
        <w:t>–</w:t>
      </w:r>
      <w:hyperlink w:anchor="ref-li2011development">
        <w:r w:rsidRPr="005F2829">
          <w:rPr>
            <w:rStyle w:val="af"/>
            <w:color w:val="000000" w:themeColor="text1"/>
          </w:rPr>
          <w:t>4</w:t>
        </w:r>
      </w:hyperlink>
      <w:r w:rsidRPr="005F2829">
        <w:t>]. Despite this, their predictive performance, such as the MC model’s AUC of only 0.67 [</w:t>
      </w:r>
      <w:hyperlink w:anchor="ref-swensen1997chest">
        <w:r w:rsidRPr="005F2829">
          <w:rPr>
            <w:rStyle w:val="af"/>
            <w:color w:val="000000" w:themeColor="text1"/>
          </w:rPr>
          <w:t>2</w:t>
        </w:r>
      </w:hyperlink>
      <w:r w:rsidRPr="005F2829">
        <w:t>], and their generalization across different datasets, particularly internationally, require improvement [</w:t>
      </w:r>
      <w:hyperlink w:anchor="ref-he2021novel">
        <w:r w:rsidRPr="005F2829">
          <w:rPr>
            <w:rStyle w:val="af"/>
            <w:color w:val="000000" w:themeColor="text1"/>
          </w:rPr>
          <w:t>1</w:t>
        </w:r>
      </w:hyperlink>
      <w:r w:rsidRPr="005F2829">
        <w:t>,</w:t>
      </w:r>
      <w:hyperlink w:anchor="ref-li2011development">
        <w:r w:rsidRPr="005F2829">
          <w:rPr>
            <w:rStyle w:val="af"/>
            <w:color w:val="000000" w:themeColor="text1"/>
          </w:rPr>
          <w:t>4</w:t>
        </w:r>
      </w:hyperlink>
      <w:r w:rsidRPr="005F2829">
        <w:t>].</w:t>
      </w:r>
    </w:p>
    <w:p w14:paraId="464635D3" w14:textId="77777777" w:rsidR="0055206D" w:rsidRPr="005F2829" w:rsidRDefault="00000000">
      <w:pPr>
        <w:pStyle w:val="a0"/>
      </w:pPr>
      <w:r w:rsidRPr="005F2829">
        <w:lastRenderedPageBreak/>
        <w:t xml:space="preserve">The challenge of developing robust medical AI systems is compounded by three fundamental constraints that persist in real-world healthcare environments: (1) </w:t>
      </w:r>
      <w:r w:rsidRPr="005F2829">
        <w:rPr>
          <w:i/>
          <w:iCs/>
        </w:rPr>
        <w:t>limited sample sizes</w:t>
      </w:r>
      <w:r w:rsidRPr="005F2829">
        <w:t xml:space="preserve"> due to privacy regulations, data sharing restrictions, and the inherent rarity of many medical conditions; (2) </w:t>
      </w:r>
      <w:r w:rsidRPr="005F2829">
        <w:rPr>
          <w:i/>
          <w:iCs/>
        </w:rPr>
        <w:t>distributional heterogeneity</w:t>
      </w:r>
      <w:r w:rsidRPr="005F2829">
        <w:t xml:space="preserve"> arising from systematic differences in patient populations, clinical protocols, and measurement equipment across hospitals; and (3) </w:t>
      </w:r>
      <w:r w:rsidRPr="005F2829">
        <w:rPr>
          <w:i/>
          <w:iCs/>
        </w:rPr>
        <w:t>class imbalance</w:t>
      </w:r>
      <w:r w:rsidRPr="005F2829">
        <w:t xml:space="preserve"> where pathological conditions are typically less frequent than normal cases, creating bias in model training and evaluation.</w:t>
      </w:r>
    </w:p>
    <w:p w14:paraId="0E8BB2E7" w14:textId="77777777" w:rsidR="0055206D" w:rsidRPr="005F2829" w:rsidRDefault="00000000">
      <w:pPr>
        <w:pStyle w:val="a0"/>
      </w:pPr>
      <w:r w:rsidRPr="005F2829">
        <w:t>Traditional machine learning approaches struggle with these constraints, particularly in medical screening applications where high sensitivity is paramount and false negatives carry severe clinical consequences. Models trained at one institution frequently exhibit degraded performance when deployed at different clinical sites, as variations in equipment, protocols, and patient demographics lead to domain shift—a phenomenon where the statistical properties of data differ between training and deployment environments [</w:t>
      </w:r>
      <w:hyperlink w:anchor="ref-guan2021domain">
        <w:r w:rsidRPr="005F2829">
          <w:rPr>
            <w:rStyle w:val="af"/>
            <w:color w:val="000000" w:themeColor="text1"/>
          </w:rPr>
          <w:t>5</w:t>
        </w:r>
      </w:hyperlink>
      <w:r w:rsidRPr="005F2829">
        <w:t>,</w:t>
      </w:r>
      <w:hyperlink w:anchor="ref-hellin2024unraveling">
        <w:r w:rsidRPr="005F2829">
          <w:rPr>
            <w:rStyle w:val="af"/>
            <w:color w:val="000000" w:themeColor="text1"/>
          </w:rPr>
          <w:t>6</w:t>
        </w:r>
      </w:hyperlink>
      <w:r w:rsidRPr="005F2829">
        <w:t>].</w:t>
      </w:r>
    </w:p>
    <w:p w14:paraId="205AF3D4" w14:textId="77777777" w:rsidR="0055206D" w:rsidRPr="005F2829" w:rsidRDefault="00000000">
      <w:pPr>
        <w:pStyle w:val="a0"/>
      </w:pPr>
      <w:r w:rsidRPr="005F2829">
        <w:t>Recent advances in foundation models for tabular data offer promising solutions to these challenges. Pre-trained transformer architectures, initially successful in natural language processing and computer vision, have demonstrated remarkable capabilities when adapted for structured tabular data [</w:t>
      </w:r>
      <w:hyperlink w:anchor="ref-hollmann2025accurate">
        <w:r w:rsidRPr="005F2829">
          <w:rPr>
            <w:rStyle w:val="af"/>
            <w:color w:val="000000" w:themeColor="text1"/>
          </w:rPr>
          <w:t>7</w:t>
        </w:r>
      </w:hyperlink>
      <w:r w:rsidRPr="005F2829">
        <w:t>]. These models, trained on millions of synthetic tasks, establish a "pre-train then adapt" paradigm that can leverage prior knowledge to achieve superior performance on small datasets—a common scenario in medical applications.</w:t>
      </w:r>
    </w:p>
    <w:p w14:paraId="5C48D06C" w14:textId="77777777" w:rsidR="0055206D" w:rsidRPr="005F2829" w:rsidRDefault="00000000">
      <w:pPr>
        <w:pStyle w:val="a0"/>
      </w:pPr>
      <w:r w:rsidRPr="005F2829">
        <w:t>However, the direct application of foundation models to cross-institutional medical scenarios requires careful integration with domain adaptation techniques to address distributional shift while preserving the rich representational capabilities acquired through large-scale pre-training. Domain adaptation methods, particularly Transfer Component Analysis (TCA), have shown effectiveness in aligning data distributions between training and deployment domains in medical applications [</w:t>
      </w:r>
      <w:hyperlink w:anchor="ref-guan2021domain">
        <w:r w:rsidRPr="005F2829">
          <w:rPr>
            <w:rStyle w:val="af"/>
            <w:color w:val="000000" w:themeColor="text1"/>
          </w:rPr>
          <w:t>5</w:t>
        </w:r>
      </w:hyperlink>
      <w:r w:rsidRPr="005F2829">
        <w:t>,</w:t>
      </w:r>
      <w:hyperlink w:anchor="ref-pan2010domain">
        <w:r w:rsidRPr="005F2829">
          <w:rPr>
            <w:rStyle w:val="af"/>
            <w:color w:val="000000" w:themeColor="text1"/>
          </w:rPr>
          <w:t>8</w:t>
        </w:r>
      </w:hyperlink>
      <w:r w:rsidRPr="005F2829">
        <w:t>].</w:t>
      </w:r>
    </w:p>
    <w:p w14:paraId="7070B937" w14:textId="77777777" w:rsidR="0055206D" w:rsidRPr="005F2829" w:rsidRDefault="00000000">
      <w:pPr>
        <w:pStyle w:val="a0"/>
      </w:pPr>
      <w:r w:rsidRPr="005F2829">
        <w:t>This study presents PANDA (Pretrained Adaptation Network with Domain Alignment), a comprehensive framework that addresses these challenges through the principled integration of tabular foundation models, feature-efficient learning, and unsupervised domain adaptation. PANDA is specifically designed for cross-institutional pulmonary nodule malignancy prediction, where robust performance across hospitals is essential for clinical adoption.</w:t>
      </w:r>
    </w:p>
    <w:p w14:paraId="2F7E6818" w14:textId="77777777" w:rsidR="0055206D" w:rsidRPr="005F2829" w:rsidRDefault="00000000" w:rsidP="000672B5">
      <w:pPr>
        <w:pStyle w:val="1"/>
      </w:pPr>
      <w:bookmarkStart w:id="1" w:name="sec:related-work"/>
      <w:bookmarkEnd w:id="0"/>
      <w:r w:rsidRPr="005F2829">
        <w:t>Related Work</w:t>
      </w:r>
    </w:p>
    <w:p w14:paraId="1F6C36F7" w14:textId="77777777" w:rsidR="0055206D" w:rsidRPr="005F2829" w:rsidRDefault="00000000">
      <w:pPr>
        <w:pStyle w:val="FirstParagraph"/>
      </w:pPr>
      <w:r w:rsidRPr="005F2829">
        <w:t>The integration of foundation models and domain adaptation for medical tabular data represents a convergence of multiple research trajectories. We review the key developments in tabular foundation models, domain adaptation techniques, and their applications in medical AI.</w:t>
      </w:r>
    </w:p>
    <w:p w14:paraId="158557D5" w14:textId="77777777" w:rsidR="0055206D" w:rsidRPr="005F2829" w:rsidRDefault="00000000">
      <w:pPr>
        <w:pStyle w:val="2"/>
        <w:rPr>
          <w:rFonts w:ascii="Times New Roman" w:hAnsi="Times New Roman" w:cs="Times New Roman"/>
          <w:color w:val="000000" w:themeColor="text1"/>
        </w:rPr>
      </w:pPr>
      <w:bookmarkStart w:id="2" w:name="tabular-foundation-models"/>
      <w:r w:rsidRPr="005F2829">
        <w:rPr>
          <w:rFonts w:ascii="Times New Roman" w:hAnsi="Times New Roman" w:cs="Times New Roman"/>
          <w:color w:val="000000" w:themeColor="text1"/>
        </w:rPr>
        <w:lastRenderedPageBreak/>
        <w:t>Tabular Foundation Models</w:t>
      </w:r>
    </w:p>
    <w:p w14:paraId="37873F66" w14:textId="77777777" w:rsidR="0055206D" w:rsidRPr="005F2829" w:rsidRDefault="00000000">
      <w:pPr>
        <w:pStyle w:val="FirstParagraph"/>
      </w:pPr>
      <w:r w:rsidRPr="005F2829">
        <w:t>The evolution of tabular learning has progressed from classical ensembles to attention-based architectures and foundation models. Gradient boosted trees (GBT) have long served as strong baselines for heterogeneous clinical data, demonstrating robust performance across diverse medical applications [</w:t>
      </w:r>
      <w:hyperlink w:anchor="ref-chen2016xgboost">
        <w:r w:rsidRPr="005F2829">
          <w:rPr>
            <w:rStyle w:val="af"/>
            <w:color w:val="000000" w:themeColor="text1"/>
          </w:rPr>
          <w:t>9</w:t>
        </w:r>
      </w:hyperlink>
      <w:r w:rsidRPr="005F2829">
        <w:t>,</w:t>
      </w:r>
      <w:hyperlink w:anchor="ref-friedman2001greedy">
        <w:r w:rsidRPr="005F2829">
          <w:rPr>
            <w:rStyle w:val="af"/>
            <w:color w:val="000000" w:themeColor="text1"/>
          </w:rPr>
          <w:t>10</w:t>
        </w:r>
      </w:hyperlink>
      <w:r w:rsidRPr="005F2829">
        <w:t>]. However, GBT methods typically require substantial training data to achieve optimal performance and can overfit on small medical cohorts.</w:t>
      </w:r>
    </w:p>
    <w:p w14:paraId="5A980EA9" w14:textId="77777777" w:rsidR="0055206D" w:rsidRPr="005F2829" w:rsidRDefault="00000000">
      <w:pPr>
        <w:pStyle w:val="a0"/>
      </w:pPr>
      <w:r w:rsidRPr="005F2829">
        <w:t>Recent advances in deep tabular modeling have introduced attention-based architectures that narrow the performance gap with GBT methods. TabNet pioneered sparse interpretable attention mechanisms for tabular data, demonstrating how feature selection can be integrated into deep learning architectures [</w:t>
      </w:r>
      <w:hyperlink w:anchor="ref-arik2021tabnet">
        <w:r w:rsidRPr="005F2829">
          <w:rPr>
            <w:rStyle w:val="af"/>
            <w:color w:val="000000" w:themeColor="text1"/>
          </w:rPr>
          <w:t>11</w:t>
        </w:r>
      </w:hyperlink>
      <w:r w:rsidRPr="005F2829">
        <w:t>]. TabTransformer applied contextual embeddings to tabular features, treating each column as a token and leveraging self-attention mechanisms [</w:t>
      </w:r>
      <w:hyperlink w:anchor="ref-huang2020tabtransformer">
        <w:r w:rsidRPr="005F2829">
          <w:rPr>
            <w:rStyle w:val="af"/>
            <w:color w:val="000000" w:themeColor="text1"/>
          </w:rPr>
          <w:t>12</w:t>
        </w:r>
      </w:hyperlink>
      <w:r w:rsidRPr="005F2829">
        <w:t>]. SAINT further advanced this paradigm with row-wise attention and contrastive pre-training objectives, achieving performance parity with GBT on multiple benchmarks [</w:t>
      </w:r>
      <w:hyperlink w:anchor="ref-somepalli2021saint">
        <w:r w:rsidRPr="005F2829">
          <w:rPr>
            <w:rStyle w:val="af"/>
            <w:color w:val="000000" w:themeColor="text1"/>
          </w:rPr>
          <w:t>13</w:t>
        </w:r>
      </w:hyperlink>
      <w:r w:rsidRPr="005F2829">
        <w:t>].</w:t>
      </w:r>
    </w:p>
    <w:p w14:paraId="167744BC" w14:textId="77777777" w:rsidR="0055206D" w:rsidRPr="005F2829" w:rsidRDefault="00000000">
      <w:pPr>
        <w:pStyle w:val="a0"/>
      </w:pPr>
      <w:r w:rsidRPr="005F2829">
        <w:t>The emergence of foundation models has transformed tabular learning through large-scale pre-training on diverse synthetic datasets. TabPFN represents a breakthrough in this direction, leveraging a Transformer architecture meta-trained on millions of synthetic tabular tasks to achieve remarkable performance on small datasets [</w:t>
      </w:r>
      <w:hyperlink w:anchor="ref-hollmann2025accurate">
        <w:r w:rsidRPr="005F2829">
          <w:rPr>
            <w:rStyle w:val="af"/>
            <w:color w:val="000000" w:themeColor="text1"/>
          </w:rPr>
          <w:t>7</w:t>
        </w:r>
      </w:hyperlink>
      <w:r w:rsidRPr="005F2829">
        <w:t>]. Unlike traditional methods that require extensive task-specific training, TabPFN employs in-context learning, treating labeled context rows and query rows as sequence tokens within a single forward pass. This pre-train-then-adapt paradigm establishes tabular foundation models as a powerful approach for medical applications where data scarcity remains a fundamental constraint.</w:t>
      </w:r>
    </w:p>
    <w:p w14:paraId="7894A3E1" w14:textId="77777777" w:rsidR="0055206D" w:rsidRPr="005F2829" w:rsidRDefault="00000000">
      <w:pPr>
        <w:pStyle w:val="2"/>
        <w:rPr>
          <w:rFonts w:ascii="Times New Roman" w:hAnsi="Times New Roman" w:cs="Times New Roman"/>
          <w:color w:val="000000" w:themeColor="text1"/>
        </w:rPr>
      </w:pPr>
      <w:bookmarkStart w:id="3" w:name="domain-adaptation-for-medical-ai"/>
      <w:bookmarkEnd w:id="2"/>
      <w:r w:rsidRPr="005F2829">
        <w:rPr>
          <w:rFonts w:ascii="Times New Roman" w:hAnsi="Times New Roman" w:cs="Times New Roman"/>
          <w:color w:val="000000" w:themeColor="text1"/>
        </w:rPr>
        <w:t>Domain Adaptation for Medical AI</w:t>
      </w:r>
    </w:p>
    <w:p w14:paraId="795FE8CB" w14:textId="77777777" w:rsidR="0055206D" w:rsidRPr="005F2829" w:rsidRDefault="00000000">
      <w:pPr>
        <w:pStyle w:val="FirstParagraph"/>
      </w:pPr>
      <w:r w:rsidRPr="005F2829">
        <w:t>Domain adaptation addresses the critical challenge of distribution shift between training and deployment environments, a particularly acute problem in medical AI due to inter-institutional heterogeneity. Traditional domain adaptation methods can be categorized into three main approaches: instance-based adaptation, feature-based adaptation, and parameter-based adaptation.</w:t>
      </w:r>
    </w:p>
    <w:p w14:paraId="6F72AFE6" w14:textId="77777777" w:rsidR="0055206D" w:rsidRPr="005F2829" w:rsidRDefault="00000000">
      <w:pPr>
        <w:pStyle w:val="a0"/>
      </w:pPr>
      <w:r w:rsidRPr="005F2829">
        <w:t>Transfer Component Analysis (TCA) represents a seminal feature-based approach that learns domain-invariant representations by minimizing maximum mean discrepancy (MMD) between source and target distributions in a reproducing kernel Hilbert space [</w:t>
      </w:r>
      <w:hyperlink w:anchor="ref-pan2010domain">
        <w:r w:rsidRPr="005F2829">
          <w:rPr>
            <w:rStyle w:val="af"/>
            <w:color w:val="000000" w:themeColor="text1"/>
          </w:rPr>
          <w:t>8</w:t>
        </w:r>
      </w:hyperlink>
      <w:r w:rsidRPr="005F2829">
        <w:t>]. TCA has been widely adopted in medical applications due to its theoretical guarantees and effectiveness in aligning heterogeneous clinical distributions across hospitals.</w:t>
      </w:r>
    </w:p>
    <w:p w14:paraId="1DD30A03" w14:textId="77777777" w:rsidR="0055206D" w:rsidRPr="005F2829" w:rsidRDefault="00000000">
      <w:pPr>
        <w:pStyle w:val="a0"/>
      </w:pPr>
      <w:r w:rsidRPr="005F2829">
        <w:t>Recent developments in domain adaptation have introduced supervised adversarial strategies that leverage limited target labels to improve alignment quality. These methods employ adversarial training to learn domain-invariant features while preserving discriminative information for the target task. Informative feature selection for domain adaptation has emerged as an important research direction, addressing the challenge of identifying features that are both predictive and stable across domains [</w:t>
      </w:r>
      <w:hyperlink w:anchor="ref-luo2021fsda">
        <w:r w:rsidRPr="005F2829">
          <w:rPr>
            <w:rStyle w:val="af"/>
            <w:color w:val="000000" w:themeColor="text1"/>
          </w:rPr>
          <w:t>14</w:t>
        </w:r>
      </w:hyperlink>
      <w:r w:rsidRPr="005F2829">
        <w:t>,</w:t>
      </w:r>
      <w:hyperlink w:anchor="ref-sun2019informative">
        <w:r w:rsidRPr="005F2829">
          <w:rPr>
            <w:rStyle w:val="af"/>
            <w:color w:val="000000" w:themeColor="text1"/>
          </w:rPr>
          <w:t>15</w:t>
        </w:r>
      </w:hyperlink>
      <w:r w:rsidRPr="005F2829">
        <w:t>].</w:t>
      </w:r>
    </w:p>
    <w:p w14:paraId="4433C784" w14:textId="77777777" w:rsidR="0055206D" w:rsidRPr="005F2829" w:rsidRDefault="00000000">
      <w:pPr>
        <w:pStyle w:val="a0"/>
      </w:pPr>
      <w:r w:rsidRPr="005F2829">
        <w:lastRenderedPageBreak/>
        <w:t>Medical domain adaptation presents unique challenges due to privacy constraints, small sample sizes, and the need for model interpretability. Cross-population domain shift in medical imaging has demonstrated the severity of this problem, with performance degradation of 20-30% when models are deployed across different populations [</w:t>
      </w:r>
      <w:hyperlink w:anchor="ref-musa2025addressing">
        <w:r w:rsidRPr="005F2829">
          <w:rPr>
            <w:rStyle w:val="af"/>
            <w:color w:val="000000" w:themeColor="text1"/>
          </w:rPr>
          <w:t>16</w:t>
        </w:r>
      </w:hyperlink>
      <w:r w:rsidRPr="005F2829">
        <w:t>]. These challenges motivate the development of domain adaptation methods specifically designed for medical applications.</w:t>
      </w:r>
    </w:p>
    <w:p w14:paraId="1179F629" w14:textId="77777777" w:rsidR="0055206D" w:rsidRPr="005F2829" w:rsidRDefault="00000000">
      <w:pPr>
        <w:pStyle w:val="2"/>
        <w:rPr>
          <w:rFonts w:ascii="Times New Roman" w:hAnsi="Times New Roman" w:cs="Times New Roman"/>
          <w:color w:val="000000" w:themeColor="text1"/>
        </w:rPr>
      </w:pPr>
      <w:bookmarkStart w:id="4" w:name="medical-ai-challenges-and-solutions"/>
      <w:bookmarkEnd w:id="3"/>
      <w:r w:rsidRPr="005F2829">
        <w:rPr>
          <w:rFonts w:ascii="Times New Roman" w:hAnsi="Times New Roman" w:cs="Times New Roman"/>
          <w:color w:val="000000" w:themeColor="text1"/>
        </w:rPr>
        <w:t>Medical AI Challenges and Solutions</w:t>
      </w:r>
    </w:p>
    <w:p w14:paraId="0EE54941" w14:textId="77777777" w:rsidR="0055206D" w:rsidRPr="005F2829" w:rsidRDefault="00000000">
      <w:pPr>
        <w:pStyle w:val="FirstParagraph"/>
      </w:pPr>
      <w:r w:rsidRPr="005F2829">
        <w:t>Medical AI systems face three persistent challenges that limit their real-world impact: data heterogeneity, class imbalance, and small sample sizes. Data heterogeneity arises from variations in measurement protocols, equipment calibrations, and clinical practices across institutions, leading to domain shift that compromises model generalization [</w:t>
      </w:r>
      <w:hyperlink w:anchor="ref-guan2021domain">
        <w:r w:rsidRPr="005F2829">
          <w:rPr>
            <w:rStyle w:val="af"/>
            <w:color w:val="000000" w:themeColor="text1"/>
          </w:rPr>
          <w:t>5</w:t>
        </w:r>
      </w:hyperlink>
      <w:r w:rsidRPr="005F2829">
        <w:t>].</w:t>
      </w:r>
    </w:p>
    <w:p w14:paraId="0D380B99" w14:textId="77777777" w:rsidR="0055206D" w:rsidRPr="005F2829" w:rsidRDefault="00000000">
      <w:pPr>
        <w:pStyle w:val="a0"/>
      </w:pPr>
      <w:r w:rsidRPr="005F2829">
        <w:t>Class imbalance is endemic in medical datasets, where pathological conditions are typically less frequent than normal cases. This imbalance can cause models to develop bias toward majority classes, resulting in poor sensitivity for critical conditions. Recent surveys highlight how class imbalance affects deep learning models in medical image classification, emphasizing the need for specialized techniques to address this challenge [</w:t>
      </w:r>
      <w:hyperlink w:anchor="ref-hellin2024unraveling">
        <w:r w:rsidRPr="005F2829">
          <w:rPr>
            <w:rStyle w:val="af"/>
            <w:color w:val="000000" w:themeColor="text1"/>
          </w:rPr>
          <w:t>6</w:t>
        </w:r>
      </w:hyperlink>
      <w:r w:rsidRPr="005F2829">
        <w:t>].</w:t>
      </w:r>
    </w:p>
    <w:p w14:paraId="3A219CE9" w14:textId="77777777" w:rsidR="0055206D" w:rsidRPr="005F2829" w:rsidRDefault="00000000">
      <w:pPr>
        <w:pStyle w:val="a0"/>
      </w:pPr>
      <w:r w:rsidRPr="005F2829">
        <w:t>Small sample sizes remain a fundamental constraint in medical AI due to privacy regulations, data sharing restrictions, and the inherent rarity of many medical conditions. Foundation models offer a promising solution by leveraging knowledge acquired from large-scale pre-training, enabling effective learning from limited medical data [</w:t>
      </w:r>
      <w:hyperlink w:anchor="ref-schneider2024foundation">
        <w:r w:rsidRPr="005F2829">
          <w:rPr>
            <w:rStyle w:val="af"/>
            <w:color w:val="000000" w:themeColor="text1"/>
          </w:rPr>
          <w:t>17</w:t>
        </w:r>
      </w:hyperlink>
      <w:r w:rsidRPr="005F2829">
        <w:t>,</w:t>
      </w:r>
      <w:hyperlink w:anchor="ref-bommasani2021opportunities">
        <w:r w:rsidRPr="005F2829">
          <w:rPr>
            <w:rStyle w:val="af"/>
            <w:color w:val="000000" w:themeColor="text1"/>
          </w:rPr>
          <w:t>18</w:t>
        </w:r>
      </w:hyperlink>
      <w:r w:rsidRPr="005F2829">
        <w:t>].</w:t>
      </w:r>
    </w:p>
    <w:p w14:paraId="368D768E" w14:textId="77777777" w:rsidR="0055206D" w:rsidRPr="005F2829" w:rsidRDefault="00000000">
      <w:pPr>
        <w:pStyle w:val="a0"/>
      </w:pPr>
      <w:r w:rsidRPr="005F2829">
        <w:t>Feature selection plays a critical role in addressing these challenges by reducing dimensionality, improving interpretability, and enhancing cross-domain stability. Recursive feature elimination (RFE) and feature screening methods have been developed for high-dimensional biomedical data, demonstrating how feature selection can improve model robustness and generalization [</w:t>
      </w:r>
      <w:hyperlink w:anchor="ref-guyon2002gene">
        <w:r w:rsidRPr="005F2829">
          <w:rPr>
            <w:rStyle w:val="af"/>
            <w:color w:val="000000" w:themeColor="text1"/>
          </w:rPr>
          <w:t>19</w:t>
        </w:r>
      </w:hyperlink>
      <w:r w:rsidRPr="005F2829">
        <w:t>–</w:t>
      </w:r>
      <w:hyperlink w:anchor="ref-liu2022deepfs">
        <w:r w:rsidRPr="005F2829">
          <w:rPr>
            <w:rStyle w:val="af"/>
            <w:color w:val="000000" w:themeColor="text1"/>
          </w:rPr>
          <w:t>21</w:t>
        </w:r>
      </w:hyperlink>
      <w:r w:rsidRPr="005F2829">
        <w:t>].</w:t>
      </w:r>
    </w:p>
    <w:p w14:paraId="6C09EC3E" w14:textId="77777777" w:rsidR="0055206D" w:rsidRPr="005F2829" w:rsidRDefault="00000000">
      <w:pPr>
        <w:pStyle w:val="2"/>
        <w:rPr>
          <w:rFonts w:ascii="Times New Roman" w:hAnsi="Times New Roman" w:cs="Times New Roman"/>
          <w:color w:val="000000" w:themeColor="text1"/>
        </w:rPr>
      </w:pPr>
      <w:bookmarkStart w:id="5" w:name="positioning-of-panda"/>
      <w:bookmarkEnd w:id="4"/>
      <w:r w:rsidRPr="005F2829">
        <w:rPr>
          <w:rFonts w:ascii="Times New Roman" w:hAnsi="Times New Roman" w:cs="Times New Roman"/>
          <w:color w:val="000000" w:themeColor="text1"/>
        </w:rPr>
        <w:t>Positioning of PANDA</w:t>
      </w:r>
    </w:p>
    <w:p w14:paraId="53B8EB60" w14:textId="77777777" w:rsidR="0055206D" w:rsidRPr="005F2829" w:rsidRDefault="00000000">
      <w:pPr>
        <w:pStyle w:val="FirstParagraph"/>
      </w:pPr>
      <w:r w:rsidRPr="005F2829">
        <w:t>PANDA distinguishes itself from existing approaches through several key innovations. Unlike traditional domain adaptation methods that rely on task-specific training, PANDA leverages foundation model priors acquired from large-scale synthetic training. While existing medical domain adaptation methods primarily focus on imaging data, PANDA addresses the unique challenges of tabular clinical data.</w:t>
      </w:r>
    </w:p>
    <w:p w14:paraId="782AAE71" w14:textId="77777777" w:rsidR="0055206D" w:rsidRPr="005F2829" w:rsidRDefault="00000000">
      <w:pPr>
        <w:pStyle w:val="a0"/>
      </w:pPr>
      <w:r w:rsidRPr="005F2829">
        <w:t>Furthermore, PANDA integrates feature selection directly into the domain adaptation framework, ensuring that selected features remain predictive across domains. This cross-domain feature selection approach addresses a critical gap in existing methods, which often overlook feature stability across institutional boundaries.</w:t>
      </w:r>
    </w:p>
    <w:p w14:paraId="18732CD3" w14:textId="77777777" w:rsidR="0055206D" w:rsidRPr="005F2829" w:rsidRDefault="00000000">
      <w:pPr>
        <w:pStyle w:val="a0"/>
      </w:pPr>
      <w:r w:rsidRPr="005F2829">
        <w:t xml:space="preserve">The combination of TabPFN foundation models with TCA domain adaptation represents a novel integration of recent advances in foundation models with classical domain adaptation techniques. This synergy enables PANDA to achieve robust cross-institutional </w:t>
      </w:r>
      <w:r w:rsidRPr="005F2829">
        <w:lastRenderedPageBreak/>
        <w:t>performance while maintaining the interpretability and clinical relevance essential for medical applications.</w:t>
      </w:r>
    </w:p>
    <w:p w14:paraId="158B533A" w14:textId="77777777" w:rsidR="0055206D" w:rsidRPr="005F2829" w:rsidRDefault="00000000" w:rsidP="000672B5">
      <w:pPr>
        <w:pStyle w:val="1"/>
      </w:pPr>
      <w:bookmarkStart w:id="6" w:name="sec:problem-formulation"/>
      <w:bookmarkEnd w:id="1"/>
      <w:bookmarkEnd w:id="5"/>
      <w:r w:rsidRPr="005F2829">
        <w:t>Problem Formulation</w:t>
      </w:r>
    </w:p>
    <w:p w14:paraId="1D0490DE" w14:textId="77777777" w:rsidR="0055206D" w:rsidRPr="005F2829" w:rsidRDefault="00000000">
      <w:pPr>
        <w:pStyle w:val="FirstParagraph"/>
      </w:pPr>
      <w:r w:rsidRPr="005F2829">
        <w:t>Cross-institutional medical AI deployment presents fundamental challenges that can be formalized as a domain adaptation problem with specific constraints unique to healthcare applications. We define the problem setting, identify key challenges, and establish evaluation criteria for robust medical AI systems.</w:t>
      </w:r>
    </w:p>
    <w:p w14:paraId="53366259" w14:textId="77777777" w:rsidR="0055206D" w:rsidRPr="005F2829" w:rsidRDefault="00000000">
      <w:pPr>
        <w:pStyle w:val="2"/>
        <w:rPr>
          <w:rFonts w:ascii="Times New Roman" w:hAnsi="Times New Roman" w:cs="Times New Roman"/>
          <w:color w:val="000000" w:themeColor="text1"/>
        </w:rPr>
      </w:pPr>
      <w:bookmarkStart w:id="7" w:name="problem-setting"/>
      <w:r w:rsidRPr="005F2829">
        <w:rPr>
          <w:rFonts w:ascii="Times New Roman" w:hAnsi="Times New Roman" w:cs="Times New Roman"/>
          <w:color w:val="000000" w:themeColor="text1"/>
        </w:rPr>
        <w:t>Problem Setting</w:t>
      </w:r>
    </w:p>
    <w:p w14:paraId="6867D808" w14:textId="77777777" w:rsidR="0055206D" w:rsidRPr="005F2829" w:rsidRDefault="00000000">
      <w:pPr>
        <w:pStyle w:val="FirstParagraph"/>
      </w:pPr>
      <w:r w:rsidRPr="005F2829">
        <w:t xml:space="preserve">Let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sSubSup>
      </m:oMath>
      <w:r w:rsidRPr="005F2829">
        <w:t xml:space="preserve"> denote the source domain dataset collected at institution </w:t>
      </w:r>
      <m:oMath>
        <m:r>
          <w:rPr>
            <w:rFonts w:ascii="Cambria Math" w:hAnsi="Cambria Math"/>
          </w:rPr>
          <m:t>A</m:t>
        </m:r>
      </m:oMath>
      <w:r w:rsidRPr="005F2829">
        <w:t xml:space="preserve">, where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s</m:t>
            </m:r>
          </m:sup>
        </m:sSubSup>
        <m:r>
          <m:rPr>
            <m:scr m:val="script"/>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5F2829">
        <w:t xml:space="preserve"> represents the </w:t>
      </w:r>
      <m:oMath>
        <m:r>
          <w:rPr>
            <w:rFonts w:ascii="Cambria Math" w:hAnsi="Cambria Math"/>
          </w:rPr>
          <m:t>d</m:t>
        </m:r>
      </m:oMath>
      <w:r w:rsidRPr="005F2829">
        <w:t xml:space="preserve">-dimensional clinical feature vector and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s</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5F2829">
        <w:t xml:space="preserve"> indicates the binary outcome (benign vs. malignant). Let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j</m:t>
            </m:r>
          </m:sub>
          <m:sup>
            <m:r>
              <w:rPr>
                <w:rFonts w:ascii="Cambria Math" w:hAnsi="Cambria Math"/>
              </w:rPr>
              <m:t>t</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sup>
        </m:sSubSup>
      </m:oMath>
      <w:r w:rsidRPr="005F2829">
        <w:t xml:space="preserve"> denote the target domain dataset from institution </w:t>
      </w:r>
      <m:oMath>
        <m:r>
          <w:rPr>
            <w:rFonts w:ascii="Cambria Math" w:hAnsi="Cambria Math"/>
          </w:rPr>
          <m:t>B</m:t>
        </m:r>
      </m:oMath>
      <w:r w:rsidRPr="005F2829">
        <w:t>, where labels are unavailable during deployment.</w:t>
      </w:r>
    </w:p>
    <w:p w14:paraId="72D793BA" w14:textId="77777777" w:rsidR="0055206D" w:rsidRPr="005F2829" w:rsidRDefault="00000000">
      <w:pPr>
        <w:pStyle w:val="a0"/>
      </w:pPr>
      <w:r w:rsidRPr="005F2829">
        <w:t xml:space="preserve">The source and target domains follow different probability distributions: </w:t>
      </w:r>
      <m:oMath>
        <m:sSup>
          <m:sSupPr>
            <m:ctrlPr>
              <w:rPr>
                <w:rFonts w:ascii="Cambria Math" w:hAnsi="Cambria Math"/>
              </w:rPr>
            </m:ctrlPr>
          </m:sSupPr>
          <m:e>
            <m:r>
              <m:rPr>
                <m:sty m:val="b"/>
              </m:rPr>
              <w:rPr>
                <w:rFonts w:ascii="Cambria Math" w:hAnsi="Cambria Math"/>
              </w:rPr>
              <m:t>x</m:t>
            </m:r>
          </m:e>
          <m:sup>
            <m:r>
              <w:rPr>
                <w:rFonts w:ascii="Cambria Math" w:hAnsi="Cambria Math"/>
              </w:rPr>
              <m:t>s</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oMath>
      <w:r w:rsidRPr="005F2829">
        <w:t xml:space="preserve"> and </w:t>
      </w:r>
      <m:oMath>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oMath>
      <w:r w:rsidRPr="005F2829">
        <w:t xml:space="preserve">, with </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w:r w:rsidRPr="005F2829">
        <w:t xml:space="preserve"> due to inter-institutional heterogeneity. The conditional distributions may also differ: </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y</m:t>
        </m:r>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y</m:t>
        </m:r>
        <m:r>
          <m:rPr>
            <m:sty m:val="p"/>
          </m:rPr>
          <w:rPr>
            <w:rFonts w:ascii="Cambria Math" w:hAnsi="Cambria Math"/>
          </w:rPr>
          <m:t>|</m:t>
        </m:r>
        <m:r>
          <m:rPr>
            <m:sty m:val="b"/>
          </m:rPr>
          <w:rPr>
            <w:rFonts w:ascii="Cambria Math" w:hAnsi="Cambria Math"/>
          </w:rPr>
          <m:t>x</m:t>
        </m:r>
        <m:r>
          <m:rPr>
            <m:sty m:val="p"/>
          </m:rPr>
          <w:rPr>
            <w:rFonts w:ascii="Cambria Math" w:hAnsi="Cambria Math"/>
          </w:rPr>
          <m:t>)</m:t>
        </m:r>
      </m:oMath>
      <w:r w:rsidRPr="005F2829">
        <w:t>, reflecting variations in clinical practices and patient populations.</w:t>
      </w:r>
    </w:p>
    <w:p w14:paraId="534B4B31" w14:textId="77777777" w:rsidR="0055206D" w:rsidRPr="005F2829" w:rsidRDefault="00000000">
      <w:pPr>
        <w:pStyle w:val="a0"/>
      </w:pPr>
      <w:r w:rsidRPr="005F2829">
        <w:t xml:space="preserve">Our objective is to learn a classifier </w:t>
      </w:r>
      <m:oMath>
        <m:r>
          <w:rPr>
            <w:rFonts w:ascii="Cambria Math" w:hAnsi="Cambria Math"/>
          </w:rPr>
          <m:t>f</m:t>
        </m:r>
        <m:r>
          <m:rPr>
            <m:scr m:val="script"/>
            <m:sty m:val="p"/>
          </m:rPr>
          <w:rPr>
            <w:rFonts w:ascii="Cambria Math" w:hAnsi="Cambria Math"/>
          </w:rPr>
          <m:t>:X→{</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5F2829">
        <w:t xml:space="preserve"> using labeled source data and unlabeled target data that minimizes the target domain risk:</w:t>
      </w:r>
    </w:p>
    <w:p w14:paraId="0A9083FA" w14:textId="77777777" w:rsidR="0055206D" w:rsidRPr="005F2829"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f</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6523B3E2" w14:textId="77777777" w:rsidR="0055206D" w:rsidRPr="005F2829" w:rsidRDefault="00000000">
      <w:pPr>
        <w:pStyle w:val="FirstParagraph"/>
      </w:pPr>
      <w:r w:rsidRPr="005F2829">
        <w:t xml:space="preserve">where </w:t>
      </w:r>
      <m:oMath>
        <m:r>
          <m:rPr>
            <m:scr m:val="script"/>
          </m:rPr>
          <w:rPr>
            <w:rFonts w:ascii="Cambria Math" w:hAnsi="Cambria Math"/>
          </w:rPr>
          <m:t>l</m:t>
        </m:r>
      </m:oMath>
      <w:r w:rsidRPr="005F2829">
        <w:t xml:space="preserve"> is an appropriate loss function for medical classification tasks.</w:t>
      </w:r>
    </w:p>
    <w:p w14:paraId="25B8C96F" w14:textId="77777777" w:rsidR="0055206D" w:rsidRPr="005F2829" w:rsidRDefault="00000000">
      <w:pPr>
        <w:pStyle w:val="2"/>
        <w:rPr>
          <w:rFonts w:ascii="Times New Roman" w:hAnsi="Times New Roman" w:cs="Times New Roman"/>
          <w:color w:val="000000" w:themeColor="text1"/>
        </w:rPr>
      </w:pPr>
      <w:bookmarkStart w:id="8" w:name="cross-institutional-challenges"/>
      <w:bookmarkEnd w:id="7"/>
      <w:r w:rsidRPr="005F2829">
        <w:rPr>
          <w:rFonts w:ascii="Times New Roman" w:hAnsi="Times New Roman" w:cs="Times New Roman"/>
          <w:color w:val="000000" w:themeColor="text1"/>
        </w:rPr>
        <w:t>Cross-Institutional Challenges</w:t>
      </w:r>
    </w:p>
    <w:p w14:paraId="3D14631E" w14:textId="77777777" w:rsidR="0055206D" w:rsidRPr="005F2829" w:rsidRDefault="00000000">
      <w:pPr>
        <w:pStyle w:val="3"/>
        <w:rPr>
          <w:rFonts w:cs="Times New Roman"/>
          <w:color w:val="000000" w:themeColor="text1"/>
        </w:rPr>
      </w:pPr>
      <w:bookmarkStart w:id="9" w:name="distribution-shift"/>
      <w:r w:rsidRPr="005F2829">
        <w:rPr>
          <w:rFonts w:cs="Times New Roman"/>
          <w:color w:val="000000" w:themeColor="text1"/>
        </w:rPr>
        <w:t>Distribution Shift</w:t>
      </w:r>
    </w:p>
    <w:p w14:paraId="522B4DCA" w14:textId="77777777" w:rsidR="0055206D" w:rsidRPr="005F2829" w:rsidRDefault="00000000">
      <w:pPr>
        <w:pStyle w:val="FirstParagraph"/>
      </w:pPr>
      <w:r w:rsidRPr="005F2829">
        <w:t>Medical datasets exhibit multiple types of distribution shift across institutions:</w:t>
      </w:r>
    </w:p>
    <w:p w14:paraId="62541AB1" w14:textId="77777777" w:rsidR="0055206D" w:rsidRPr="005F2829" w:rsidRDefault="00000000">
      <w:pPr>
        <w:pStyle w:val="a0"/>
      </w:pPr>
      <w:r w:rsidRPr="005F2829">
        <w:rPr>
          <w:b/>
          <w:bCs/>
        </w:rPr>
        <w:t>Covariate Shift</w:t>
      </w:r>
      <w:r w:rsidRPr="005F2829">
        <w:t xml:space="preserve">: Differences in marginal feature distributions </w:t>
      </w:r>
      <m:oMath>
        <m:r>
          <w:rPr>
            <w:rFonts w:ascii="Cambria Math" w:hAnsi="Cambria Math"/>
          </w:rPr>
          <m:t>P</m:t>
        </m:r>
        <m:r>
          <m:rPr>
            <m:sty m:val="p"/>
          </m:rPr>
          <w:rPr>
            <w:rFonts w:ascii="Cambria Math" w:hAnsi="Cambria Math"/>
          </w:rPr>
          <m:t>(</m:t>
        </m:r>
        <m:r>
          <m:rPr>
            <m:sty m:val="b"/>
          </m:rPr>
          <w:rPr>
            <w:rFonts w:ascii="Cambria Math" w:hAnsi="Cambria Math"/>
          </w:rPr>
          <m:t>x</m:t>
        </m:r>
        <m:r>
          <m:rPr>
            <m:sty m:val="p"/>
          </m:rPr>
          <w:rPr>
            <w:rFonts w:ascii="Cambria Math" w:hAnsi="Cambria Math"/>
          </w:rPr>
          <m:t>)</m:t>
        </m:r>
      </m:oMath>
      <w:r w:rsidRPr="005F2829">
        <w:t xml:space="preserve"> arise from variations in measurement protocols, equipment calibrations, and patient demographics. For example, laboratory reference ranges may differ between hospitals due to population-specific factors or measurement standards.</w:t>
      </w:r>
    </w:p>
    <w:p w14:paraId="4F90F01C" w14:textId="77777777" w:rsidR="0055206D" w:rsidRPr="005F2829" w:rsidRDefault="00000000">
      <w:pPr>
        <w:pStyle w:val="a0"/>
      </w:pPr>
      <w:r w:rsidRPr="005F2829">
        <w:rPr>
          <w:b/>
          <w:bCs/>
        </w:rPr>
        <w:t>Prior Probability Shift</w:t>
      </w:r>
      <w:r w:rsidRPr="005F2829">
        <w:t xml:space="preserve">: Variations in class prevalence </w:t>
      </w: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oMath>
      <w:r w:rsidRPr="005F2829">
        <w:t xml:space="preserve"> reflect differences in patient populations and referral patterns. Specialized cancer centers may see higher rates of malignant conditions compared to general hospitals.</w:t>
      </w:r>
    </w:p>
    <w:p w14:paraId="06584D06" w14:textId="77777777" w:rsidR="0055206D" w:rsidRPr="005F2829" w:rsidRDefault="00000000">
      <w:pPr>
        <w:pStyle w:val="a0"/>
      </w:pPr>
      <w:r w:rsidRPr="005F2829">
        <w:rPr>
          <w:b/>
          <w:bCs/>
        </w:rPr>
        <w:t>Concept Shift</w:t>
      </w:r>
      <w:r w:rsidRPr="005F2829">
        <w:t xml:space="preserve">: Changes in conditional distributions </w:t>
      </w:r>
      <m:oMath>
        <m:r>
          <w:rPr>
            <w:rFonts w:ascii="Cambria Math" w:hAnsi="Cambria Math"/>
          </w:rPr>
          <m:t>P</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5F2829">
        <w:t xml:space="preserve"> result from evolving clinical practices and diagnostic criteria. The definition of pathological test results may evolve over time or differ between institutions.</w:t>
      </w:r>
    </w:p>
    <w:p w14:paraId="048F9369" w14:textId="77777777" w:rsidR="0055206D" w:rsidRPr="005F2829" w:rsidRDefault="00000000">
      <w:pPr>
        <w:pStyle w:val="3"/>
        <w:rPr>
          <w:rFonts w:cs="Times New Roman"/>
          <w:color w:val="000000" w:themeColor="text1"/>
        </w:rPr>
      </w:pPr>
      <w:bookmarkStart w:id="10" w:name="feature-availability-heterogeneity"/>
      <w:bookmarkEnd w:id="9"/>
      <w:r w:rsidRPr="005F2829">
        <w:rPr>
          <w:rFonts w:cs="Times New Roman"/>
          <w:color w:val="000000" w:themeColor="text1"/>
        </w:rPr>
        <w:lastRenderedPageBreak/>
        <w:t>Feature Availability Heterogeneity</w:t>
      </w:r>
    </w:p>
    <w:p w14:paraId="1316C76A" w14:textId="77777777" w:rsidR="0055206D" w:rsidRPr="005F2829" w:rsidRDefault="00000000">
      <w:pPr>
        <w:pStyle w:val="FirstParagraph"/>
      </w:pPr>
      <w:r w:rsidRPr="005F2829">
        <w:t xml:space="preserve">Cross-institutional deployment faces feature availability challenges where different hospitals may collect different sets of clinical variables. 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s</m:t>
            </m:r>
          </m:sub>
        </m:sSub>
      </m:oMath>
      <w:r w:rsidRPr="005F2829">
        <w:t xml:space="preserve"> and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rsidRPr="005F2829">
        <w:t xml:space="preserve"> denote the available feature sets at source and target institutions. The intersection </w:t>
      </w:r>
      <m:oMath>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rsidRPr="005F2829">
        <w:t xml:space="preserve"> represents features available at both institutions.</w:t>
      </w:r>
    </w:p>
    <w:p w14:paraId="6BECDDAF" w14:textId="77777777" w:rsidR="0055206D" w:rsidRPr="005F2829" w:rsidRDefault="00000000">
      <w:pPr>
        <w:pStyle w:val="a0"/>
      </w:pPr>
      <w:r w:rsidRPr="005F2829">
        <w:t xml:space="preserve">A robust system must identify </w:t>
      </w:r>
      <m:oMath>
        <m:r>
          <m:rPr>
            <m:scr m:val="script"/>
            <m:sty m:val="p"/>
          </m:rPr>
          <w:rPr>
            <w:rFonts w:ascii="Cambria Math" w:hAnsi="Cambria Math"/>
          </w:rPr>
          <m:t>F</m:t>
        </m:r>
      </m:oMath>
      <w:r w:rsidRPr="005F2829">
        <w:t xml:space="preserve"> such that: (1) </w:t>
      </w:r>
      <m:oMath>
        <m:r>
          <m:rPr>
            <m:scr m:val="script"/>
            <m:sty m:val="p"/>
          </m:rPr>
          <w:rPr>
            <w:rFonts w:ascii="Cambria Math" w:hAnsi="Cambria Math"/>
          </w:rPr>
          <m:t>|F|</m:t>
        </m:r>
      </m:oMath>
      <w:r w:rsidRPr="005F2829">
        <w:t xml:space="preserve"> is sufficiently small to ensure reliable data collection, (2) features in </w:t>
      </w:r>
      <m:oMath>
        <m:r>
          <m:rPr>
            <m:scr m:val="script"/>
            <m:sty m:val="p"/>
          </m:rPr>
          <w:rPr>
            <w:rFonts w:ascii="Cambria Math" w:hAnsi="Cambria Math"/>
          </w:rPr>
          <m:t>F</m:t>
        </m:r>
      </m:oMath>
      <w:r w:rsidRPr="005F2829">
        <w:t xml:space="preserve"> maintain discriminative power across domains, and (3) </w:t>
      </w:r>
      <m:oMath>
        <m:r>
          <m:rPr>
            <m:scr m:val="script"/>
            <m:sty m:val="p"/>
          </m:rPr>
          <w:rPr>
            <w:rFonts w:ascii="Cambria Math" w:hAnsi="Cambria Math"/>
          </w:rPr>
          <m:t>F</m:t>
        </m:r>
      </m:oMath>
      <w:r w:rsidRPr="005F2829">
        <w:t xml:space="preserve"> includes clinically interpretable variables relevant to healthcare practice.</w:t>
      </w:r>
    </w:p>
    <w:p w14:paraId="79017AE8" w14:textId="77777777" w:rsidR="0055206D" w:rsidRPr="005F2829" w:rsidRDefault="00000000">
      <w:pPr>
        <w:pStyle w:val="3"/>
        <w:rPr>
          <w:rFonts w:cs="Times New Roman"/>
          <w:color w:val="000000" w:themeColor="text1"/>
        </w:rPr>
      </w:pPr>
      <w:bookmarkStart w:id="11" w:name="class-imbalance-and-small-sample-sizes"/>
      <w:bookmarkEnd w:id="10"/>
      <w:r w:rsidRPr="005F2829">
        <w:rPr>
          <w:rFonts w:cs="Times New Roman"/>
          <w:color w:val="000000" w:themeColor="text1"/>
        </w:rPr>
        <w:t>Class Imbalance and Small Sample Sizes</w:t>
      </w:r>
    </w:p>
    <w:p w14:paraId="48D50B8B" w14:textId="77777777" w:rsidR="0055206D" w:rsidRPr="005F2829" w:rsidRDefault="00000000">
      <w:pPr>
        <w:pStyle w:val="FirstParagraph"/>
      </w:pPr>
      <w:r w:rsidRPr="005F2829">
        <w:t xml:space="preserve">Medical datasets typically exhibit severe class imbalance, with malignant conditions being less frequent than benign cases. The imbalance ratio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malignant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benign</m:t>
            </m:r>
          </m:sub>
        </m:sSub>
      </m:oMath>
      <w:r w:rsidRPr="005F2829">
        <w:t xml:space="preserve"> often ranges from 0.2 to 0.5 in pulmonary nodule classification, making conventional accuracy metrics misleading for model evaluation.</w:t>
      </w:r>
    </w:p>
    <w:p w14:paraId="3028B7AD" w14:textId="77777777" w:rsidR="0055206D" w:rsidRPr="005F2829" w:rsidRDefault="00000000">
      <w:pPr>
        <w:pStyle w:val="a0"/>
      </w:pPr>
      <w:r w:rsidRPr="005F2829">
        <w:t>Small sample sizes exacerbate these challenges, with training cohorts often containing fewer than 500 patients due to privacy constraints and the rarity of specific conditions. This limitation restricts the complexity of models that can be reliably trained and increases the risk of overfitting.</w:t>
      </w:r>
    </w:p>
    <w:p w14:paraId="251B3C12" w14:textId="77777777" w:rsidR="0055206D" w:rsidRPr="005F2829" w:rsidRDefault="00000000">
      <w:pPr>
        <w:pStyle w:val="2"/>
        <w:rPr>
          <w:rFonts w:ascii="Times New Roman" w:hAnsi="Times New Roman" w:cs="Times New Roman"/>
          <w:color w:val="000000" w:themeColor="text1"/>
        </w:rPr>
      </w:pPr>
      <w:bookmarkStart w:id="12" w:name="medical-application-constraints"/>
      <w:bookmarkEnd w:id="8"/>
      <w:bookmarkEnd w:id="11"/>
      <w:r w:rsidRPr="005F2829">
        <w:rPr>
          <w:rFonts w:ascii="Times New Roman" w:hAnsi="Times New Roman" w:cs="Times New Roman"/>
          <w:color w:val="000000" w:themeColor="text1"/>
        </w:rPr>
        <w:t>Medical Application Constraints</w:t>
      </w:r>
    </w:p>
    <w:p w14:paraId="20DC3850" w14:textId="77777777" w:rsidR="0055206D" w:rsidRPr="005F2829" w:rsidRDefault="00000000">
      <w:pPr>
        <w:pStyle w:val="3"/>
        <w:rPr>
          <w:rFonts w:cs="Times New Roman"/>
          <w:color w:val="000000" w:themeColor="text1"/>
        </w:rPr>
      </w:pPr>
      <w:bookmarkStart w:id="13" w:name="clinical-interpretability"/>
      <w:r w:rsidRPr="005F2829">
        <w:rPr>
          <w:rFonts w:cs="Times New Roman"/>
          <w:color w:val="000000" w:themeColor="text1"/>
        </w:rPr>
        <w:t>Clinical Interpretability</w:t>
      </w:r>
    </w:p>
    <w:p w14:paraId="3B690A43" w14:textId="77777777" w:rsidR="0055206D" w:rsidRPr="005F2829" w:rsidRDefault="00000000">
      <w:pPr>
        <w:pStyle w:val="FirstParagraph"/>
      </w:pPr>
      <w:r w:rsidRPr="005F2829">
        <w:t>Medical AI systems must provide interpretable predictions that clinicians can understand and trust. Feature selection plays a crucial role in ensuring interpretability by identifying a subset of clinically meaningful variables that contribute to predictions.</w:t>
      </w:r>
    </w:p>
    <w:p w14:paraId="47BB84D4" w14:textId="77777777" w:rsidR="0055206D" w:rsidRPr="005F2829" w:rsidRDefault="00000000">
      <w:pPr>
        <w:pStyle w:val="a0"/>
      </w:pPr>
      <w:r w:rsidRPr="005F2829">
        <w:t>The interpretability requirement imposes constraints on model complexity and feature selection strategies. While deep neural networks can achieve high performance, their black-box nature may limit clinical adoption. Feature-efficient models that use a small set of well-understood clinical variables are preferred in medical settings.</w:t>
      </w:r>
    </w:p>
    <w:p w14:paraId="7FE3A6B5" w14:textId="77777777" w:rsidR="0055206D" w:rsidRPr="005F2829" w:rsidRDefault="00000000">
      <w:pPr>
        <w:pStyle w:val="3"/>
        <w:rPr>
          <w:rFonts w:cs="Times New Roman"/>
          <w:color w:val="000000" w:themeColor="text1"/>
        </w:rPr>
      </w:pPr>
      <w:bookmarkStart w:id="14" w:name="safety-and-reliability"/>
      <w:bookmarkEnd w:id="13"/>
      <w:r w:rsidRPr="005F2829">
        <w:rPr>
          <w:rFonts w:cs="Times New Roman"/>
          <w:color w:val="000000" w:themeColor="text1"/>
        </w:rPr>
        <w:t>Safety and Reliability</w:t>
      </w:r>
    </w:p>
    <w:p w14:paraId="5B7F6AF5" w14:textId="77777777" w:rsidR="0055206D" w:rsidRPr="005F2829" w:rsidRDefault="00000000">
      <w:pPr>
        <w:pStyle w:val="FirstParagraph"/>
      </w:pPr>
      <w:r w:rsidRPr="005F2829">
        <w:t>Medical applications demand high sensitivity to avoid missing malignant conditions, while maintaining reasonable specificity to prevent unnecessary procedures. The utility-based loss function emphasizes different penalties for false negatives and false positives:</w:t>
      </w:r>
    </w:p>
    <w:p w14:paraId="423726ED" w14:textId="77777777" w:rsidR="0055206D" w:rsidRPr="005F2829" w:rsidRDefault="00000000">
      <w:pPr>
        <w:pStyle w:val="a0"/>
      </w:pPr>
      <m:oMathPara>
        <m:oMathParaPr>
          <m:jc m:val="center"/>
        </m:oMathParaPr>
        <m:oMath>
          <m:sSub>
            <m:sSubPr>
              <m:ctrlPr>
                <w:rPr>
                  <w:rFonts w:ascii="Cambria Math" w:hAnsi="Cambria Math"/>
                </w:rPr>
              </m:ctrlPr>
            </m:sSubPr>
            <m:e>
              <m:r>
                <m:rPr>
                  <m:scr m:val="script"/>
                </m:rPr>
                <w:rPr>
                  <w:rFonts w:ascii="Cambria Math" w:hAnsi="Cambria Math"/>
                </w:rPr>
                <m:t>l</m:t>
              </m:r>
            </m:e>
            <m:sub>
              <m:r>
                <m:rPr>
                  <m:nor/>
                </m:rPr>
                <m:t>clinical</m:t>
              </m:r>
            </m:sub>
          </m:sSub>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α</m:t>
          </m:r>
          <m:r>
            <m:rPr>
              <m:scr m:val="double-struck"/>
              <m:sty m:val="p"/>
            </m:rPr>
            <w:rPr>
              <w:rFonts w:ascii="Cambria Math" w:hAnsi="Cambria Math"/>
            </w:rPr>
            <m:t>⋅I[</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β</m:t>
          </m:r>
          <m:r>
            <m:rPr>
              <m:scr m:val="double-struck"/>
              <m:sty m:val="p"/>
            </m:rPr>
            <w:rPr>
              <w:rFonts w:ascii="Cambria Math" w:hAnsi="Cambria Math"/>
            </w:rPr>
            <m:t>⋅I[</m:t>
          </m:r>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oMath>
      </m:oMathPara>
    </w:p>
    <w:p w14:paraId="58DD177B" w14:textId="77777777" w:rsidR="0055206D" w:rsidRPr="005F2829" w:rsidRDefault="00000000">
      <w:pPr>
        <w:pStyle w:val="FirstParagraph"/>
      </w:pPr>
      <w:r w:rsidRPr="005F2829">
        <w:t xml:space="preserve">where </w:t>
      </w:r>
      <m:oMath>
        <m:r>
          <w:rPr>
            <w:rFonts w:ascii="Cambria Math" w:hAnsi="Cambria Math"/>
          </w:rPr>
          <m:t>α</m:t>
        </m:r>
        <m:r>
          <m:rPr>
            <m:sty m:val="p"/>
          </m:rPr>
          <w:rPr>
            <w:rFonts w:ascii="Cambria Math" w:hAnsi="Cambria Math"/>
          </w:rPr>
          <m:t>&gt;</m:t>
        </m:r>
        <m:r>
          <w:rPr>
            <w:rFonts w:ascii="Cambria Math" w:hAnsi="Cambria Math"/>
          </w:rPr>
          <m:t>β</m:t>
        </m:r>
      </m:oMath>
      <w:r w:rsidRPr="005F2829">
        <w:t xml:space="preserve"> reflects the higher cost of false negatives in medical screening.</w:t>
      </w:r>
    </w:p>
    <w:p w14:paraId="34DAAB2B" w14:textId="77777777" w:rsidR="0055206D" w:rsidRPr="005F2829" w:rsidRDefault="00000000">
      <w:pPr>
        <w:pStyle w:val="3"/>
        <w:rPr>
          <w:rFonts w:cs="Times New Roman"/>
          <w:color w:val="000000" w:themeColor="text1"/>
        </w:rPr>
      </w:pPr>
      <w:bookmarkStart w:id="15" w:name="regulatory-and-ethical-considerations"/>
      <w:bookmarkEnd w:id="14"/>
      <w:r w:rsidRPr="005F2829">
        <w:rPr>
          <w:rFonts w:cs="Times New Roman"/>
          <w:color w:val="000000" w:themeColor="text1"/>
        </w:rPr>
        <w:t>Regulatory and Ethical Considerations</w:t>
      </w:r>
    </w:p>
    <w:p w14:paraId="43E55029" w14:textId="77777777" w:rsidR="0055206D" w:rsidRPr="005F2829" w:rsidRDefault="00000000">
      <w:pPr>
        <w:pStyle w:val="FirstParagraph"/>
      </w:pPr>
      <w:r w:rsidRPr="005F2829">
        <w:t xml:space="preserve">Medical AI systems must comply with regulatory requirements for clinical decision support systems, including validation on external datasets and demonstration of </w:t>
      </w:r>
      <w:r w:rsidRPr="005F2829">
        <w:lastRenderedPageBreak/>
        <w:t>robustness across diverse patient populations. Privacy regulations restrict data sharing between institutions, necessitating privacy-preserving domain adaptation approaches.</w:t>
      </w:r>
    </w:p>
    <w:p w14:paraId="4F410FEF" w14:textId="77777777" w:rsidR="0055206D" w:rsidRPr="005F2829" w:rsidRDefault="00000000">
      <w:pPr>
        <w:pStyle w:val="2"/>
        <w:rPr>
          <w:rFonts w:ascii="Times New Roman" w:hAnsi="Times New Roman" w:cs="Times New Roman"/>
          <w:color w:val="000000" w:themeColor="text1"/>
        </w:rPr>
      </w:pPr>
      <w:bookmarkStart w:id="16" w:name="evaluation-metrics"/>
      <w:bookmarkEnd w:id="12"/>
      <w:bookmarkEnd w:id="15"/>
      <w:r w:rsidRPr="005F2829">
        <w:rPr>
          <w:rFonts w:ascii="Times New Roman" w:hAnsi="Times New Roman" w:cs="Times New Roman"/>
          <w:color w:val="000000" w:themeColor="text1"/>
        </w:rPr>
        <w:t>Evaluation Metrics</w:t>
      </w:r>
    </w:p>
    <w:p w14:paraId="0E0D11E7" w14:textId="77777777" w:rsidR="0055206D" w:rsidRPr="005F2829" w:rsidRDefault="00000000">
      <w:pPr>
        <w:pStyle w:val="FirstParagraph"/>
      </w:pPr>
      <w:r w:rsidRPr="005F2829">
        <w:t>Traditional accuracy metrics are insufficient for evaluating medical AI systems under domain shift. We employ a comprehensive evaluation framework:</w:t>
      </w:r>
    </w:p>
    <w:p w14:paraId="267488BC" w14:textId="77777777" w:rsidR="0055206D" w:rsidRPr="005F2829" w:rsidRDefault="00000000">
      <w:pPr>
        <w:pStyle w:val="a0"/>
      </w:pPr>
      <w:r w:rsidRPr="005F2829">
        <w:rPr>
          <w:b/>
          <w:bCs/>
        </w:rPr>
        <w:t>Performance Metrics</w:t>
      </w:r>
      <w:r w:rsidRPr="005F2829">
        <w:t>: Area Under the ROC Curve (AUC), sensitivity, specificity, and F1-score, with particular emphasis on sensitivity for medical screening applications.</w:t>
      </w:r>
    </w:p>
    <w:p w14:paraId="5FAE6884" w14:textId="77777777" w:rsidR="0055206D" w:rsidRPr="005F2829" w:rsidRDefault="00000000">
      <w:pPr>
        <w:pStyle w:val="a0"/>
      </w:pPr>
      <w:r w:rsidRPr="005F2829">
        <w:rPr>
          <w:b/>
          <w:bCs/>
        </w:rPr>
        <w:t>Calibration Metrics</w:t>
      </w:r>
      <w:r w:rsidRPr="005F2829">
        <w:t>: Brier score and calibration curves to assess probability estimation quality, crucial for clinical decision-making.</w:t>
      </w:r>
    </w:p>
    <w:p w14:paraId="40EC7016" w14:textId="77777777" w:rsidR="0055206D" w:rsidRPr="005F2829" w:rsidRDefault="00000000">
      <w:pPr>
        <w:pStyle w:val="a0"/>
      </w:pPr>
      <w:r w:rsidRPr="005F2829">
        <w:rPr>
          <w:b/>
          <w:bCs/>
        </w:rPr>
        <w:t>Stability Metrics</w:t>
      </w:r>
      <w:r w:rsidRPr="005F2829">
        <w:t>: Performance variance across institutional splits and feature availability scenarios to measure robustness.</w:t>
      </w:r>
    </w:p>
    <w:p w14:paraId="4994D78E" w14:textId="77777777" w:rsidR="0055206D" w:rsidRPr="005F2829" w:rsidRDefault="00000000">
      <w:pPr>
        <w:pStyle w:val="a0"/>
      </w:pPr>
      <w:r w:rsidRPr="005F2829">
        <w:rPr>
          <w:b/>
          <w:bCs/>
        </w:rPr>
        <w:t>Clinical Utility Metrics</w:t>
      </w:r>
      <w:r w:rsidRPr="005F2829">
        <w:t>: Decision curve analysis to evaluate net clinical benefit across different decision thresholds.</w:t>
      </w:r>
    </w:p>
    <w:p w14:paraId="6E1E3B13" w14:textId="77777777" w:rsidR="0055206D" w:rsidRPr="005F2829" w:rsidRDefault="00000000">
      <w:pPr>
        <w:pStyle w:val="2"/>
        <w:rPr>
          <w:rFonts w:ascii="Times New Roman" w:hAnsi="Times New Roman" w:cs="Times New Roman"/>
          <w:color w:val="000000" w:themeColor="text1"/>
        </w:rPr>
      </w:pPr>
      <w:bookmarkStart w:id="17" w:name="problem-summary"/>
      <w:bookmarkEnd w:id="16"/>
      <w:r w:rsidRPr="005F2829">
        <w:rPr>
          <w:rFonts w:ascii="Times New Roman" w:hAnsi="Times New Roman" w:cs="Times New Roman"/>
          <w:color w:val="000000" w:themeColor="text1"/>
        </w:rPr>
        <w:t>Problem Summary</w:t>
      </w:r>
    </w:p>
    <w:p w14:paraId="18CD359A" w14:textId="77777777" w:rsidR="0055206D" w:rsidRPr="005F2829" w:rsidRDefault="00000000">
      <w:pPr>
        <w:pStyle w:val="FirstParagraph"/>
      </w:pPr>
      <w:r w:rsidRPr="005F2829">
        <w:t xml:space="preserve">The cross-institutional pulmonary nodule classification problem can be summarized as: Given a small, imbalanced source dataset from institution </w:t>
      </w:r>
      <m:oMath>
        <m:r>
          <w:rPr>
            <w:rFonts w:ascii="Cambria Math" w:hAnsi="Cambria Math"/>
          </w:rPr>
          <m:t>A</m:t>
        </m:r>
      </m:oMath>
      <w:r w:rsidRPr="005F2829">
        <w:t xml:space="preserve"> and an unlabeled target dataset from institution </w:t>
      </w:r>
      <m:oMath>
        <m:r>
          <w:rPr>
            <w:rFonts w:ascii="Cambria Math" w:hAnsi="Cambria Math"/>
          </w:rPr>
          <m:t>B</m:t>
        </m:r>
      </m:oMath>
      <w:r w:rsidRPr="005F2829">
        <w:t xml:space="preserve"> with potentially different feature availability, learn a classifier that maintains high sensitivity and specificity across institutions while using a minimal set of clinically interpretable features.</w:t>
      </w:r>
    </w:p>
    <w:p w14:paraId="138E056D" w14:textId="77777777" w:rsidR="0055206D" w:rsidRPr="005F2829" w:rsidRDefault="00000000">
      <w:pPr>
        <w:pStyle w:val="a0"/>
      </w:pPr>
      <w:r w:rsidRPr="005F2829">
        <w:t>This problem formulation captures the essential challenges of medical AI deployment and guides the development of the PANDA framework, which addresses these challenges through the integration of foundation models, feature selection, and domain adaptation.</w:t>
      </w:r>
    </w:p>
    <w:p w14:paraId="4A72EE14" w14:textId="77777777" w:rsidR="0055206D" w:rsidRPr="005F2829" w:rsidRDefault="00000000" w:rsidP="000672B5">
      <w:pPr>
        <w:pStyle w:val="1"/>
      </w:pPr>
      <w:bookmarkStart w:id="18" w:name="sec:solution"/>
      <w:bookmarkEnd w:id="6"/>
      <w:bookmarkEnd w:id="17"/>
      <w:r w:rsidRPr="005F2829">
        <w:t>Solution: PANDA Framework</w:t>
      </w:r>
    </w:p>
    <w:p w14:paraId="36245A0C" w14:textId="77777777" w:rsidR="0055206D" w:rsidRPr="005F2829" w:rsidRDefault="00000000">
      <w:pPr>
        <w:pStyle w:val="FirstParagraph"/>
      </w:pPr>
      <w:r w:rsidRPr="005F2829">
        <w:t>We present PANDA (Pretrained Adaptation Network with Domain Alignment), a comprehensive framework that addresses cross-institutional medical AI challenges through the principled integration of tabular foundation models, feature-efficient learning, and domain adaptation. The framework is specifically designed to maintain robust performance across institutional boundaries while using a minimal set of clinically interpretable features.</w:t>
      </w:r>
    </w:p>
    <w:p w14:paraId="2B9F3D9A" w14:textId="77777777" w:rsidR="0055206D" w:rsidRPr="005F2829" w:rsidRDefault="00000000">
      <w:pPr>
        <w:pStyle w:val="2"/>
        <w:rPr>
          <w:rFonts w:ascii="Times New Roman" w:hAnsi="Times New Roman" w:cs="Times New Roman"/>
          <w:color w:val="000000" w:themeColor="text1"/>
        </w:rPr>
      </w:pPr>
      <w:bookmarkStart w:id="19" w:name="framework-overview"/>
      <w:r w:rsidRPr="005F2829">
        <w:rPr>
          <w:rFonts w:ascii="Times New Roman" w:hAnsi="Times New Roman" w:cs="Times New Roman"/>
          <w:color w:val="000000" w:themeColor="text1"/>
        </w:rPr>
        <w:t>Framework Overview</w:t>
      </w:r>
    </w:p>
    <w:p w14:paraId="170AFC1D" w14:textId="77777777" w:rsidR="0055206D" w:rsidRPr="005F2829" w:rsidRDefault="00000000">
      <w:pPr>
        <w:pStyle w:val="FirstParagraph"/>
      </w:pPr>
      <w:r w:rsidRPr="005F2829">
        <w:t xml:space="preserve">Cross-institutional deployment of medical AI systems faces three critical challenges that significantly impede clinical adoption: (1) </w:t>
      </w:r>
      <w:r w:rsidRPr="005F2829">
        <w:rPr>
          <w:i/>
          <w:iCs/>
        </w:rPr>
        <w:t>limited sample sizes</w:t>
      </w:r>
      <w:r w:rsidRPr="005F2829">
        <w:t xml:space="preserve"> due to the inherent rarity of medical conditions and privacy constraints that restrict data sharing across institutions, (2) </w:t>
      </w:r>
      <w:r w:rsidRPr="005F2829">
        <w:rPr>
          <w:i/>
          <w:iCs/>
        </w:rPr>
        <w:t>distributional heterogeneity</w:t>
      </w:r>
      <w:r w:rsidRPr="005F2829">
        <w:t xml:space="preserve"> arising from systematic differences in patient populations, clinical protocols, and measurement equipment across hospitals, and (3) </w:t>
      </w:r>
      <w:r w:rsidRPr="005F2829">
        <w:rPr>
          <w:i/>
          <w:iCs/>
        </w:rPr>
        <w:t>domain shift</w:t>
      </w:r>
      <w:r w:rsidRPr="005F2829">
        <w:t xml:space="preserve"> </w:t>
      </w:r>
      <w:r w:rsidRPr="005F2829">
        <w:lastRenderedPageBreak/>
        <w:t>where models trained at one institution often exhibit degraded performance when deployed at different clinical sites due to varying data collection practices and patient demographics. Traditional machine learning approaches struggle with these constraints, particularly in medical screening applications where high sensitivity is paramount and false negatives carry severe clinical consequences.</w:t>
      </w:r>
    </w:p>
    <w:p w14:paraId="1B769CBC" w14:textId="77777777" w:rsidR="0055206D" w:rsidRPr="005F2829" w:rsidRDefault="00000000">
      <w:pPr>
        <w:pStyle w:val="a0"/>
      </w:pPr>
      <w:r w:rsidRPr="005F2829">
        <w:t>The PANDA framework addresses these fundamental challenges through a principled integration of pre-trained foundation models and unsupervised domain adaptation, specifically designed for cross-institutional medical AI deployment. As illustrated in Figure </w:t>
      </w:r>
      <w:hyperlink w:anchor="fig:model_details">
        <w:r w:rsidRPr="005F2829">
          <w:rPr>
            <w:rStyle w:val="af"/>
            <w:color w:val="000000" w:themeColor="text1"/>
          </w:rPr>
          <w:t>1</w:t>
        </w:r>
      </w:hyperlink>
      <w:r w:rsidRPr="005F2829">
        <w:t>a, PANDA operates through a three-stage pipeline: pre-training on synthetic datasets to establish generalizable tabular reasoning capabilities, training with feature selection and model adaptation to optimize performance on limited medical data, and prediction with unsupervised domain adaptation to maintain robust performance across institutional boundaries.</w:t>
      </w:r>
    </w:p>
    <w:p w14:paraId="3067949E" w14:textId="77777777" w:rsidR="0055206D" w:rsidRPr="005F2829" w:rsidRDefault="00000000">
      <w:pPr>
        <w:pStyle w:val="a0"/>
      </w:pPr>
      <w:r w:rsidRPr="005F2829">
        <w:t>This end-to-end design enables robust cross-institutional generalization by combining the representational power of foundation models with principled domain adaptation. The framework is particularly suited for medical applications where training data is scarce, class distributions are imbalanced, and deployment across different clinical sites is required.</w:t>
      </w:r>
    </w:p>
    <w:p w14:paraId="10BD2D58" w14:textId="77777777" w:rsidR="0055206D" w:rsidRPr="005F2829" w:rsidRDefault="00000000">
      <w:pPr>
        <w:pStyle w:val="2"/>
        <w:rPr>
          <w:rFonts w:ascii="Times New Roman" w:hAnsi="Times New Roman" w:cs="Times New Roman"/>
          <w:color w:val="000000" w:themeColor="text1"/>
        </w:rPr>
      </w:pPr>
      <w:bookmarkStart w:id="20" w:name="three-stage-architecture"/>
      <w:bookmarkEnd w:id="19"/>
      <w:r w:rsidRPr="005F2829">
        <w:rPr>
          <w:rFonts w:ascii="Times New Roman" w:hAnsi="Times New Roman" w:cs="Times New Roman"/>
          <w:color w:val="000000" w:themeColor="text1"/>
        </w:rPr>
        <w:t>Three-Stage Architecture</w:t>
      </w:r>
    </w:p>
    <w:p w14:paraId="4481486F" w14:textId="77777777" w:rsidR="0055206D" w:rsidRPr="005F2829" w:rsidRDefault="00000000">
      <w:pPr>
        <w:pStyle w:val="4"/>
        <w:rPr>
          <w:rFonts w:cs="Times New Roman"/>
          <w:color w:val="000000" w:themeColor="text1"/>
        </w:rPr>
      </w:pPr>
      <w:bookmarkStart w:id="21" w:name="stage-1-pre-train"/>
      <w:r w:rsidRPr="005F2829">
        <w:rPr>
          <w:rFonts w:cs="Times New Roman"/>
          <w:color w:val="000000" w:themeColor="text1"/>
        </w:rPr>
        <w:t>Stage 1: Pre-train</w:t>
      </w:r>
    </w:p>
    <w:p w14:paraId="2EC49E65" w14:textId="77777777" w:rsidR="0055206D" w:rsidRPr="005F2829" w:rsidRDefault="00000000">
      <w:pPr>
        <w:pStyle w:val="FirstParagraph"/>
      </w:pPr>
      <w:r w:rsidRPr="005F2829">
        <w:t>The first stage establishes foundational capabilities through extensive pre-training on synthetic tabular datasets, as depicted in the lower section of Figure </w:t>
      </w:r>
      <w:hyperlink w:anchor="fig:model_details">
        <w:r w:rsidRPr="005F2829">
          <w:rPr>
            <w:rStyle w:val="af"/>
            <w:color w:val="000000" w:themeColor="text1"/>
          </w:rPr>
          <w:t>1</w:t>
        </w:r>
      </w:hyperlink>
      <w:r w:rsidRPr="005F2829">
        <w:t>a. The synthetic task generator creates diverse classification problems with varying statistical patterns, feature types, and data distributions, feeding synthetic datasets to train the Pre-trained Tabular Foundation Model that acquires generalizable tabular reasoning capabilities without requiring massive medical datasets.</w:t>
      </w:r>
    </w:p>
    <w:p w14:paraId="47FD5AE3" w14:textId="77777777" w:rsidR="0055206D" w:rsidRPr="005F2829" w:rsidRDefault="00000000">
      <w:pPr>
        <w:pStyle w:val="a0"/>
      </w:pPr>
      <w:r w:rsidRPr="005F2829">
        <w:t>The pre-training process leverages the TabPFN architecture, which treats tabular classification tasks as sequence prediction problems. Each training example is represented as a sequence of tokens, including feature names, feature values, and class labels. The Transformer model learns to map input sequences to output predictions through self-attention mechanisms that capture feature interactions and patterns.</w:t>
      </w:r>
    </w:p>
    <w:p w14:paraId="5D949A45" w14:textId="77777777" w:rsidR="0055206D" w:rsidRPr="005F2829" w:rsidRDefault="00000000">
      <w:pPr>
        <w:pStyle w:val="a0"/>
      </w:pPr>
      <w:r w:rsidRPr="005F2829">
        <w:t>Key innovations in the pre-training stage include:</w:t>
      </w:r>
    </w:p>
    <w:p w14:paraId="28EF20CF" w14:textId="77777777" w:rsidR="0055206D" w:rsidRPr="005F2829" w:rsidRDefault="00000000">
      <w:pPr>
        <w:numPr>
          <w:ilvl w:val="0"/>
          <w:numId w:val="3"/>
        </w:numPr>
      </w:pPr>
      <w:r w:rsidRPr="005F2829">
        <w:rPr>
          <w:b/>
          <w:bCs/>
        </w:rPr>
        <w:t>Diverse Synthetic Task Generation</w:t>
      </w:r>
      <w:r w:rsidRPr="005F2829">
        <w:t>: Creation of millions of synthetic classification tasks with varying feature distributions, correlation structures, and class imbalance ratios to ensure broad coverage of real-world scenarios.</w:t>
      </w:r>
    </w:p>
    <w:p w14:paraId="78CA7392" w14:textId="77777777" w:rsidR="0055206D" w:rsidRPr="005F2829" w:rsidRDefault="00000000">
      <w:pPr>
        <w:numPr>
          <w:ilvl w:val="0"/>
          <w:numId w:val="3"/>
        </w:numPr>
      </w:pPr>
      <w:r w:rsidRPr="005F2829">
        <w:rPr>
          <w:b/>
          <w:bCs/>
        </w:rPr>
        <w:t>Meta-Learning Objectives</w:t>
      </w:r>
      <w:r w:rsidRPr="005F2829">
        <w:t>: Training procedures that optimize for rapid adaptation to new tasks with minimal examples, essential for medical applications with limited training data.</w:t>
      </w:r>
    </w:p>
    <w:p w14:paraId="09C0A818" w14:textId="77777777" w:rsidR="0055206D" w:rsidRPr="005F2829" w:rsidRDefault="00000000">
      <w:pPr>
        <w:numPr>
          <w:ilvl w:val="0"/>
          <w:numId w:val="3"/>
        </w:numPr>
      </w:pPr>
      <w:r w:rsidRPr="005F2829">
        <w:rPr>
          <w:b/>
          <w:bCs/>
        </w:rPr>
        <w:lastRenderedPageBreak/>
        <w:t>Clinical Feature Simulation</w:t>
      </w:r>
      <w:r w:rsidRPr="005F2829">
        <w:t>: Synthetic tasks that mimic the statistical properties of clinical variables, including mixed data types, missing values, and skewed distributions.</w:t>
      </w:r>
    </w:p>
    <w:p w14:paraId="3EFD6487" w14:textId="77777777" w:rsidR="0055206D" w:rsidRPr="005F2829" w:rsidRDefault="00000000">
      <w:pPr>
        <w:pStyle w:val="4"/>
        <w:rPr>
          <w:rFonts w:cs="Times New Roman"/>
          <w:color w:val="000000" w:themeColor="text1"/>
        </w:rPr>
      </w:pPr>
      <w:bookmarkStart w:id="22" w:name="stage-2-train"/>
      <w:bookmarkEnd w:id="21"/>
      <w:r w:rsidRPr="005F2829">
        <w:rPr>
          <w:rFonts w:cs="Times New Roman"/>
          <w:color w:val="000000" w:themeColor="text1"/>
        </w:rPr>
        <w:t>Stage 2: Train</w:t>
      </w:r>
    </w:p>
    <w:p w14:paraId="1A0677A5" w14:textId="77777777" w:rsidR="0055206D" w:rsidRPr="005F2829" w:rsidRDefault="00000000">
      <w:pPr>
        <w:pStyle w:val="FirstParagraph"/>
      </w:pPr>
      <w:r w:rsidRPr="005F2829">
        <w:t>The second stage involves medical-specific adaptation illustrated in Figure </w:t>
      </w:r>
      <w:hyperlink w:anchor="fig:model_details">
        <w:r w:rsidRPr="005F2829">
          <w:rPr>
            <w:rStyle w:val="af"/>
            <w:color w:val="000000" w:themeColor="text1"/>
          </w:rPr>
          <w:t>1</w:t>
        </w:r>
      </w:hyperlink>
      <w:r w:rsidRPr="005F2829">
        <w:t>a. The feature selection process identifies the most discriminative clinical variables, producing the Development Cohort (Cohort A) with Features + Label. This cohort then undergoes a sophisticated data preprocessing pipeline detailed in Figure </w:t>
      </w:r>
      <w:hyperlink w:anchor="fig:model_details">
        <w:r w:rsidRPr="005F2829">
          <w:rPr>
            <w:rStyle w:val="af"/>
            <w:color w:val="000000" w:themeColor="text1"/>
          </w:rPr>
          <w:t>1</w:t>
        </w:r>
      </w:hyperlink>
      <w:r w:rsidRPr="005F2829">
        <w:t>b, which includes four parallel branches with feature order rotation, distribution transformations, and categorical encoding strategies.</w:t>
      </w:r>
    </w:p>
    <w:p w14:paraId="0528BE4D" w14:textId="77777777" w:rsidR="0055206D" w:rsidRPr="005F2829" w:rsidRDefault="00000000">
      <w:pPr>
        <w:pStyle w:val="a0"/>
      </w:pPr>
      <w:r w:rsidRPr="005F2829">
        <w:t>The training stage introduces several key innovations:</w:t>
      </w:r>
    </w:p>
    <w:p w14:paraId="07193CC9" w14:textId="77777777" w:rsidR="0055206D" w:rsidRPr="005F2829" w:rsidRDefault="00000000">
      <w:pPr>
        <w:pStyle w:val="a0"/>
      </w:pPr>
      <w:r w:rsidRPr="005F2829">
        <w:rPr>
          <w:b/>
          <w:bCs/>
        </w:rPr>
        <w:t>Cross-Domain Feature Selection</w:t>
      </w:r>
      <w:r w:rsidRPr="005F2829">
        <w:t>: We employ recursive feature elimination (RFE) using the foundation model itself to rank features based on their cross-domain discriminative power. The process systematically evaluates feature subsets by training the foundation model on source data and measuring performance stability across simulated domain shifts.</w:t>
      </w:r>
    </w:p>
    <w:p w14:paraId="6E3D8FF5" w14:textId="77777777" w:rsidR="0055206D" w:rsidRPr="005F2829" w:rsidRDefault="00000000">
      <w:pPr>
        <w:pStyle w:val="a0"/>
      </w:pPr>
      <w:r w:rsidRPr="005F2829">
        <w:rPr>
          <w:b/>
          <w:bCs/>
        </w:rPr>
        <w:t>Ensemble Diversity Strategies</w:t>
      </w:r>
      <w:r w:rsidRPr="005F2829">
        <w:t>: The preprocessing pipeline generates multiple complementary data representations through four parallel branches, each applying different combinations of feature order rotation, distribution transformation, and categorical encoding. This diversity enhances robustness to institutional variations while maintaining clinical interpretability.</w:t>
      </w:r>
    </w:p>
    <w:p w14:paraId="4AC898E6" w14:textId="77777777" w:rsidR="0055206D" w:rsidRPr="005F2829" w:rsidRDefault="00000000">
      <w:pPr>
        <w:pStyle w:val="a0"/>
      </w:pPr>
      <w:r w:rsidRPr="005F2829">
        <w:rPr>
          <w:b/>
          <w:bCs/>
        </w:rPr>
        <w:t>Class Imbalance Correction</w:t>
      </w:r>
      <w:r w:rsidRPr="005F2829">
        <w:t>: Specialized loss functions and sampling strategies address the inherent class imbalance in medical datasets, ensuring high sensitivity for critical conditions while maintaining reasonable specificity.</w:t>
      </w:r>
    </w:p>
    <w:p w14:paraId="0C9E82CE" w14:textId="77777777" w:rsidR="0055206D" w:rsidRPr="005F2829" w:rsidRDefault="00000000">
      <w:pPr>
        <w:pStyle w:val="4"/>
        <w:rPr>
          <w:rFonts w:cs="Times New Roman"/>
          <w:color w:val="000000" w:themeColor="text1"/>
        </w:rPr>
      </w:pPr>
      <w:bookmarkStart w:id="23" w:name="stage-3-predict"/>
      <w:bookmarkEnd w:id="22"/>
      <w:r w:rsidRPr="005F2829">
        <w:rPr>
          <w:rFonts w:cs="Times New Roman"/>
          <w:color w:val="000000" w:themeColor="text1"/>
        </w:rPr>
        <w:t>Stage 3: Predict</w:t>
      </w:r>
    </w:p>
    <w:p w14:paraId="380CC4BF" w14:textId="77777777" w:rsidR="0055206D" w:rsidRPr="005F2829" w:rsidRDefault="00000000">
      <w:pPr>
        <w:pStyle w:val="FirstParagraph"/>
      </w:pPr>
      <w:r w:rsidRPr="005F2829">
        <w:t>The third stage addresses cross-institutional deployment through unsupervised domain adaptation, as shown in Figure </w:t>
      </w:r>
      <w:hyperlink w:anchor="fig:model_details">
        <w:r w:rsidRPr="005F2829">
          <w:rPr>
            <w:rStyle w:val="af"/>
            <w:color w:val="000000" w:themeColor="text1"/>
          </w:rPr>
          <w:t>1</w:t>
        </w:r>
      </w:hyperlink>
      <w:r w:rsidRPr="005F2829">
        <w:t>a. The UDA process transforms target domain data into the Adapted Cohort (Cohort B’ without label), which then follows the identical processing pathway as the training data: through the data preprocessing pipeline and the Pre-trained Tabular Foundation Model, ultimately generating Output Predicted Class Probabilities.</w:t>
      </w:r>
    </w:p>
    <w:p w14:paraId="5CE497CB" w14:textId="77777777" w:rsidR="0055206D" w:rsidRPr="005F2829" w:rsidRDefault="00000000">
      <w:pPr>
        <w:pStyle w:val="a0"/>
      </w:pPr>
      <w:r w:rsidRPr="005F2829">
        <w:t>The prediction stage incorporates domain adaptation through Transfer Component Analysis (TCA), which learns domain-invariant representations by aligning source and target distributions in a shared latent space. The TCA transformation is applied to both source and target data before feeding into the foundation model, ensuring that the learned representations capture domain-invariant patterns while preserving discriminative information.</w:t>
      </w:r>
    </w:p>
    <w:p w14:paraId="48A040BB" w14:textId="77777777" w:rsidR="0055206D" w:rsidRPr="005F2829" w:rsidRDefault="00000000">
      <w:pPr>
        <w:pStyle w:val="2"/>
        <w:rPr>
          <w:rFonts w:ascii="Times New Roman" w:hAnsi="Times New Roman" w:cs="Times New Roman"/>
          <w:color w:val="000000" w:themeColor="text1"/>
        </w:rPr>
      </w:pPr>
      <w:bookmarkStart w:id="24" w:name="key-technical-innovations"/>
      <w:bookmarkEnd w:id="20"/>
      <w:bookmarkEnd w:id="23"/>
      <w:r w:rsidRPr="005F2829">
        <w:rPr>
          <w:rFonts w:ascii="Times New Roman" w:hAnsi="Times New Roman" w:cs="Times New Roman"/>
          <w:color w:val="000000" w:themeColor="text1"/>
        </w:rPr>
        <w:lastRenderedPageBreak/>
        <w:t>Key Technical Innovations</w:t>
      </w:r>
    </w:p>
    <w:p w14:paraId="46E014AF" w14:textId="77777777" w:rsidR="0055206D" w:rsidRPr="005F2829" w:rsidRDefault="00000000">
      <w:pPr>
        <w:pStyle w:val="3"/>
        <w:rPr>
          <w:rFonts w:cs="Times New Roman"/>
          <w:color w:val="000000" w:themeColor="text1"/>
        </w:rPr>
      </w:pPr>
      <w:bookmarkStart w:id="25" w:name="foundation-model-integration"/>
      <w:r w:rsidRPr="005F2829">
        <w:rPr>
          <w:rFonts w:cs="Times New Roman"/>
          <w:color w:val="000000" w:themeColor="text1"/>
        </w:rPr>
        <w:t>Foundation Model Integration</w:t>
      </w:r>
    </w:p>
    <w:p w14:paraId="1D8653BF" w14:textId="77777777" w:rsidR="0055206D" w:rsidRPr="005F2829" w:rsidRDefault="00000000">
      <w:pPr>
        <w:pStyle w:val="FirstParagraph"/>
      </w:pPr>
      <w:r w:rsidRPr="005F2829">
        <w:t>PANDA represents the first systematic application of tabular foundation models to cross-institutional medical classification. The TabPFN backbone provides several advantages:</w:t>
      </w:r>
    </w:p>
    <w:p w14:paraId="45477584" w14:textId="77777777" w:rsidR="0055206D" w:rsidRPr="005F2829" w:rsidRDefault="00000000">
      <w:pPr>
        <w:numPr>
          <w:ilvl w:val="0"/>
          <w:numId w:val="4"/>
        </w:numPr>
      </w:pPr>
      <w:r w:rsidRPr="005F2829">
        <w:rPr>
          <w:b/>
          <w:bCs/>
        </w:rPr>
        <w:t>In-Context Learning</w:t>
      </w:r>
      <w:r w:rsidRPr="005F2829">
        <w:t>: Ability to make predictions on new tasks without extensive fine-tuning, crucial for medical applications with limited data.</w:t>
      </w:r>
    </w:p>
    <w:p w14:paraId="61742C75" w14:textId="77777777" w:rsidR="0055206D" w:rsidRPr="005F2829" w:rsidRDefault="00000000">
      <w:pPr>
        <w:numPr>
          <w:ilvl w:val="0"/>
          <w:numId w:val="4"/>
        </w:numPr>
      </w:pPr>
      <w:r w:rsidRPr="005F2829">
        <w:rPr>
          <w:b/>
          <w:bCs/>
        </w:rPr>
        <w:t>Feature Interaction Capture</w:t>
      </w:r>
      <w:r w:rsidRPr="005F2829">
        <w:t>: Self-attention mechanisms capture complex feature interactions that often elude traditional models under small-sample regimes.</w:t>
      </w:r>
    </w:p>
    <w:p w14:paraId="40DA66BC" w14:textId="77777777" w:rsidR="0055206D" w:rsidRPr="005F2829" w:rsidRDefault="00000000">
      <w:pPr>
        <w:numPr>
          <w:ilvl w:val="0"/>
          <w:numId w:val="4"/>
        </w:numPr>
      </w:pPr>
      <w:r w:rsidRPr="005F2829">
        <w:rPr>
          <w:b/>
          <w:bCs/>
        </w:rPr>
        <w:t>Pre-trained Priors</w:t>
      </w:r>
      <w:r w:rsidRPr="005F2829">
        <w:t>: Knowledge acquired from millions of synthetic tasks provides robust initialization for medical applications.</w:t>
      </w:r>
    </w:p>
    <w:p w14:paraId="15A41929" w14:textId="77777777" w:rsidR="0055206D" w:rsidRPr="005F2829" w:rsidRDefault="00000000">
      <w:pPr>
        <w:pStyle w:val="3"/>
        <w:rPr>
          <w:rFonts w:cs="Times New Roman"/>
          <w:color w:val="000000" w:themeColor="text1"/>
        </w:rPr>
      </w:pPr>
      <w:bookmarkStart w:id="26" w:name="feature-efficient-domain-adaptation"/>
      <w:bookmarkEnd w:id="25"/>
      <w:r w:rsidRPr="005F2829">
        <w:rPr>
          <w:rFonts w:cs="Times New Roman"/>
          <w:color w:val="000000" w:themeColor="text1"/>
        </w:rPr>
        <w:t>Feature-Efficient Domain Adaptation</w:t>
      </w:r>
    </w:p>
    <w:p w14:paraId="5365EBB9" w14:textId="77777777" w:rsidR="0055206D" w:rsidRPr="005F2829" w:rsidRDefault="00000000">
      <w:pPr>
        <w:pStyle w:val="FirstParagraph"/>
      </w:pPr>
      <w:r w:rsidRPr="005F2829">
        <w:t>The integration of feature selection with domain adaptation addresses a critical gap in existing approaches. By selecting features that remain discriminative across domains, PANDA ensures robust performance while reducing data collection burden and enhancing clinical interpretability.</w:t>
      </w:r>
    </w:p>
    <w:p w14:paraId="0810EA08" w14:textId="77777777" w:rsidR="0055206D" w:rsidRPr="005F2829" w:rsidRDefault="00000000">
      <w:pPr>
        <w:pStyle w:val="a0"/>
      </w:pPr>
      <w:r w:rsidRPr="005F2829">
        <w:t>The cross-domain feature selection process optimizes for:</w:t>
      </w:r>
    </w:p>
    <w:p w14:paraId="0BEEF5DF" w14:textId="77777777" w:rsidR="0055206D" w:rsidRPr="005F2829" w:rsidRDefault="00000000">
      <w:pPr>
        <w:numPr>
          <w:ilvl w:val="0"/>
          <w:numId w:val="5"/>
        </w:numPr>
      </w:pPr>
      <w:r w:rsidRPr="005F2829">
        <w:rPr>
          <w:b/>
          <w:bCs/>
        </w:rPr>
        <w:t>Cross-Domain Stability</w:t>
      </w:r>
      <w:r w:rsidRPr="005F2829">
        <w:t>: Features that maintain predictive power across institutional variations.</w:t>
      </w:r>
    </w:p>
    <w:p w14:paraId="695B31FE" w14:textId="77777777" w:rsidR="0055206D" w:rsidRPr="005F2829" w:rsidRDefault="00000000">
      <w:pPr>
        <w:numPr>
          <w:ilvl w:val="0"/>
          <w:numId w:val="5"/>
        </w:numPr>
      </w:pPr>
      <w:r w:rsidRPr="005F2829">
        <w:rPr>
          <w:b/>
          <w:bCs/>
        </w:rPr>
        <w:t>Clinical Interpretability</w:t>
      </w:r>
      <w:r w:rsidRPr="005F2829">
        <w:t>: Variables that are meaningful to healthcare practitioners and readily available in clinical settings.</w:t>
      </w:r>
    </w:p>
    <w:p w14:paraId="6A99D023" w14:textId="77777777" w:rsidR="0055206D" w:rsidRPr="005F2829" w:rsidRDefault="00000000">
      <w:pPr>
        <w:numPr>
          <w:ilvl w:val="0"/>
          <w:numId w:val="5"/>
        </w:numPr>
      </w:pPr>
      <w:r w:rsidRPr="005F2829">
        <w:rPr>
          <w:b/>
          <w:bCs/>
        </w:rPr>
        <w:t>Computational Efficiency</w:t>
      </w:r>
      <w:r w:rsidRPr="005F2829">
        <w:t>: Minimal feature sets that enable real-time deployment in resource-constrained environments.</w:t>
      </w:r>
    </w:p>
    <w:p w14:paraId="29D2BA04" w14:textId="77777777" w:rsidR="0055206D" w:rsidRPr="005F2829" w:rsidRDefault="00000000">
      <w:pPr>
        <w:pStyle w:val="3"/>
        <w:rPr>
          <w:rFonts w:cs="Times New Roman"/>
          <w:color w:val="000000" w:themeColor="text1"/>
        </w:rPr>
      </w:pPr>
      <w:bookmarkStart w:id="27" w:name="robust-preprocessing-pipeline"/>
      <w:bookmarkEnd w:id="26"/>
      <w:r w:rsidRPr="005F2829">
        <w:rPr>
          <w:rFonts w:cs="Times New Roman"/>
          <w:color w:val="000000" w:themeColor="text1"/>
        </w:rPr>
        <w:t>Robust Preprocessing Pipeline</w:t>
      </w:r>
    </w:p>
    <w:p w14:paraId="1436E321" w14:textId="77777777" w:rsidR="0055206D" w:rsidRPr="005F2829" w:rsidRDefault="00000000">
      <w:pPr>
        <w:pStyle w:val="FirstParagraph"/>
      </w:pPr>
      <w:r w:rsidRPr="005F2829">
        <w:t>The diversified preprocessing approach generates multiple complementary data representations, enabling the model to learn robust patterns across different data perspectives. This strategy systematically addresses positional bias, distributional heterogeneity, and categorical encoding inconsistencies that commonly plague cross-institutional medical AI systems.</w:t>
      </w:r>
    </w:p>
    <w:p w14:paraId="18B41AE5" w14:textId="77777777" w:rsidR="0055206D" w:rsidRPr="005F2829" w:rsidRDefault="00000000">
      <w:pPr>
        <w:pStyle w:val="CaptionedFigure"/>
      </w:pPr>
      <w:bookmarkStart w:id="28" w:name="fig:model_details"/>
      <w:r w:rsidRPr="005F2829">
        <w:rPr>
          <w:noProof/>
        </w:rPr>
        <w:lastRenderedPageBreak/>
        <w:drawing>
          <wp:inline distT="0" distB="0" distL="0" distR="0" wp14:anchorId="11958A06" wp14:editId="30DCCD6A">
            <wp:extent cx="5486400" cy="6908800"/>
            <wp:effectExtent l="0" t="0" r="0" b="0"/>
            <wp:docPr id="35" name="Picture" descr="Figure 1: The PANDA framework architecture. (a) Detailed architecture of the pre-trained tabular foundation model showing the complete pipeline from original tabular data through ensemble training, prediction aggregation, class imbalance adjustment, to final classification output. (b) Detailed data preprocessing pipeline showing four parallel branches for ensemble diversity. Each branch applies feature order rotation followed by different combinations of distribution transformation (no transformation or quantile transformation) and categorical feature handling (treating as numeric or ordinal encoding). Each branch generates 8 parallel inferences, and all branches are combined through ensemble aggregation to produce the final prediction."/>
            <wp:cNvGraphicFramePr/>
            <a:graphic xmlns:a="http://schemas.openxmlformats.org/drawingml/2006/main">
              <a:graphicData uri="http://schemas.openxmlformats.org/drawingml/2006/picture">
                <pic:pic xmlns:pic="http://schemas.openxmlformats.org/drawingml/2006/picture">
                  <pic:nvPicPr>
                    <pic:cNvPr id="36" name="Picture" descr="Pre-trained Tabular Foundation Mode Pipeline_new.pdf"/>
                    <pic:cNvPicPr>
                      <a:picLocks noChangeAspect="1" noChangeArrowheads="1"/>
                    </pic:cNvPicPr>
                  </pic:nvPicPr>
                  <pic:blipFill>
                    <a:blip r:embed="rId5"/>
                    <a:stretch>
                      <a:fillRect/>
                    </a:stretch>
                  </pic:blipFill>
                  <pic:spPr bwMode="auto">
                    <a:xfrm>
                      <a:off x="0" y="0"/>
                      <a:ext cx="5486400" cy="6908800"/>
                    </a:xfrm>
                    <a:prstGeom prst="rect">
                      <a:avLst/>
                    </a:prstGeom>
                    <a:noFill/>
                    <a:ln w="9525">
                      <a:noFill/>
                      <a:headEnd/>
                      <a:tailEnd/>
                    </a:ln>
                  </pic:spPr>
                </pic:pic>
              </a:graphicData>
            </a:graphic>
          </wp:inline>
        </w:drawing>
      </w:r>
    </w:p>
    <w:p w14:paraId="5078759E" w14:textId="77777777" w:rsidR="0055206D" w:rsidRPr="005F2829" w:rsidRDefault="00000000">
      <w:pPr>
        <w:pStyle w:val="ImageCaption"/>
      </w:pPr>
      <w:r w:rsidRPr="005F2829">
        <w:t xml:space="preserve">Figure 1: </w:t>
      </w:r>
      <w:r w:rsidRPr="005F2829">
        <w:rPr>
          <w:b/>
          <w:bCs/>
        </w:rPr>
        <w:t>The PANDA framework architecture.</w:t>
      </w:r>
      <w:r w:rsidRPr="005F2829">
        <w:t xml:space="preserve"> (a) Detailed architecture of the pre-trained tabular foundation model showing the complete pipeline from original tabular data through ensemble training, prediction aggregation, class imbalance adjustment, to final classification output. (b) Detailed data preprocessing pipeline showing four parallel branches for ensemble diversity. Each branch applies feature order rotation followed by different combinations of distribution transformation (no transformation or quantile </w:t>
      </w:r>
      <w:r w:rsidRPr="005F2829">
        <w:lastRenderedPageBreak/>
        <w:t>transformation) and categorical feature handling (treating as numeric or ordinal encoding). Each branch generates 8 parallel inferences, and all branches are combined through ensemble aggregation to produce the final prediction.</w:t>
      </w:r>
    </w:p>
    <w:p w14:paraId="3845119B" w14:textId="77777777" w:rsidR="0055206D" w:rsidRPr="005F2829" w:rsidRDefault="00000000">
      <w:pPr>
        <w:pStyle w:val="2"/>
        <w:rPr>
          <w:rFonts w:ascii="Times New Roman" w:hAnsi="Times New Roman" w:cs="Times New Roman"/>
          <w:color w:val="000000" w:themeColor="text1"/>
        </w:rPr>
      </w:pPr>
      <w:bookmarkStart w:id="29" w:name="clinical-deployment-considerations"/>
      <w:bookmarkEnd w:id="24"/>
      <w:bookmarkEnd w:id="27"/>
      <w:bookmarkEnd w:id="28"/>
      <w:r w:rsidRPr="005F2829">
        <w:rPr>
          <w:rFonts w:ascii="Times New Roman" w:hAnsi="Times New Roman" w:cs="Times New Roman"/>
          <w:color w:val="000000" w:themeColor="text1"/>
        </w:rPr>
        <w:t>Clinical Deployment Considerations</w:t>
      </w:r>
    </w:p>
    <w:p w14:paraId="4CC12DAA" w14:textId="77777777" w:rsidR="0055206D" w:rsidRPr="005F2829" w:rsidRDefault="00000000">
      <w:pPr>
        <w:pStyle w:val="3"/>
        <w:rPr>
          <w:rFonts w:cs="Times New Roman"/>
          <w:color w:val="000000" w:themeColor="text1"/>
        </w:rPr>
      </w:pPr>
      <w:bookmarkStart w:id="30" w:name="interpretability-and-trust"/>
      <w:r w:rsidRPr="005F2829">
        <w:rPr>
          <w:rFonts w:cs="Times New Roman"/>
          <w:color w:val="000000" w:themeColor="text1"/>
        </w:rPr>
        <w:t>Interpretability and Trust</w:t>
      </w:r>
    </w:p>
    <w:p w14:paraId="2A01C21A" w14:textId="77777777" w:rsidR="0055206D" w:rsidRPr="005F2829" w:rsidRDefault="00000000">
      <w:pPr>
        <w:pStyle w:val="FirstParagraph"/>
      </w:pPr>
      <w:r w:rsidRPr="005F2829">
        <w:t>PANDA maintains clinical interpretability through feature selection that identifies a small set of clinically meaningful variables. The framework provides feature importance scores based on the foundation model’s attention mechanisms, enabling clinicians to understand model predictions and build trust in the system.</w:t>
      </w:r>
    </w:p>
    <w:p w14:paraId="20803624" w14:textId="77777777" w:rsidR="0055206D" w:rsidRPr="005F2829" w:rsidRDefault="00000000">
      <w:pPr>
        <w:pStyle w:val="3"/>
        <w:rPr>
          <w:rFonts w:cs="Times New Roman"/>
          <w:color w:val="000000" w:themeColor="text1"/>
        </w:rPr>
      </w:pPr>
      <w:bookmarkStart w:id="31" w:name="scalability-and-efficiency"/>
      <w:bookmarkEnd w:id="30"/>
      <w:r w:rsidRPr="005F2829">
        <w:rPr>
          <w:rFonts w:cs="Times New Roman"/>
          <w:color w:val="000000" w:themeColor="text1"/>
        </w:rPr>
        <w:t>Scalability and Efficiency</w:t>
      </w:r>
    </w:p>
    <w:p w14:paraId="71A9BC9F" w14:textId="77777777" w:rsidR="0055206D" w:rsidRPr="005F2829" w:rsidRDefault="00000000">
      <w:pPr>
        <w:pStyle w:val="FirstParagraph"/>
      </w:pPr>
      <w:r w:rsidRPr="005F2829">
        <w:t>The feature-efficient design reduces computational requirements and enables real-time deployment in clinical settings. The 32-member ensemble can be efficiently parallelized, and the TCA transformation has linear computational complexity with respect to the number of samples.</w:t>
      </w:r>
    </w:p>
    <w:p w14:paraId="17B60CC9" w14:textId="77777777" w:rsidR="0055206D" w:rsidRPr="005F2829" w:rsidRDefault="00000000">
      <w:pPr>
        <w:pStyle w:val="3"/>
        <w:rPr>
          <w:rFonts w:cs="Times New Roman"/>
          <w:color w:val="000000" w:themeColor="text1"/>
        </w:rPr>
      </w:pPr>
      <w:bookmarkStart w:id="32" w:name="regulatory-compliance"/>
      <w:bookmarkEnd w:id="31"/>
      <w:r w:rsidRPr="005F2829">
        <w:rPr>
          <w:rFonts w:cs="Times New Roman"/>
          <w:color w:val="000000" w:themeColor="text1"/>
        </w:rPr>
        <w:t>Regulatory Compliance</w:t>
      </w:r>
    </w:p>
    <w:p w14:paraId="3E153996" w14:textId="77777777" w:rsidR="0055206D" w:rsidRPr="005F2829" w:rsidRDefault="00000000">
      <w:pPr>
        <w:pStyle w:val="FirstParagraph"/>
      </w:pPr>
      <w:r w:rsidRPr="005F2829">
        <w:t>The framework’s emphasis on interpretability, feature efficiency, and robust validation across external datasets aligns with regulatory requirements for clinical decision support systems. The systematic evaluation methodology provides evidence necessary for regulatory approval and clinical adoption.</w:t>
      </w:r>
    </w:p>
    <w:p w14:paraId="4F4EFCAB" w14:textId="77777777" w:rsidR="0055206D" w:rsidRPr="005F2829" w:rsidRDefault="00000000">
      <w:pPr>
        <w:pStyle w:val="a0"/>
      </w:pPr>
      <w:r w:rsidRPr="005F2829">
        <w:t>The PANDA framework establishes a new paradigm for cross-institutional medical AI, demonstrating how foundation models, feature-efficient learning, and domain adaptation can be systematically integrated to address the unique challenges of healthcare applications.</w:t>
      </w:r>
    </w:p>
    <w:p w14:paraId="24400969" w14:textId="77777777" w:rsidR="0055206D" w:rsidRPr="005F2829" w:rsidRDefault="00000000" w:rsidP="000672B5">
      <w:pPr>
        <w:pStyle w:val="1"/>
      </w:pPr>
      <w:bookmarkStart w:id="33" w:name="sec:methods"/>
      <w:bookmarkEnd w:id="18"/>
      <w:bookmarkEnd w:id="29"/>
      <w:bookmarkEnd w:id="32"/>
      <w:r w:rsidRPr="005F2829">
        <w:t>Methods</w:t>
      </w:r>
    </w:p>
    <w:p w14:paraId="47B5BA17" w14:textId="77777777" w:rsidR="0055206D" w:rsidRPr="005F2829" w:rsidRDefault="00000000">
      <w:pPr>
        <w:pStyle w:val="FirstParagraph"/>
      </w:pPr>
      <w:r w:rsidRPr="005F2829">
        <w:t>This section provides detailed methodological specifications including ethical considerations, data collection protocols, experimental procedures, and technical implementation details for reproducibility.</w:t>
      </w:r>
    </w:p>
    <w:p w14:paraId="21B0DFFF" w14:textId="77777777" w:rsidR="0055206D" w:rsidRPr="005F2829" w:rsidRDefault="00000000">
      <w:pPr>
        <w:pStyle w:val="2"/>
        <w:rPr>
          <w:rFonts w:ascii="Times New Roman" w:hAnsi="Times New Roman" w:cs="Times New Roman"/>
          <w:color w:val="000000" w:themeColor="text1"/>
        </w:rPr>
      </w:pPr>
      <w:bookmarkStart w:id="34" w:name="ethics-statement-and-data-collection"/>
      <w:r w:rsidRPr="005F2829">
        <w:rPr>
          <w:rFonts w:ascii="Times New Roman" w:hAnsi="Times New Roman" w:cs="Times New Roman"/>
          <w:color w:val="000000" w:themeColor="text1"/>
        </w:rPr>
        <w:t>Ethics Statement and Data Collection</w:t>
      </w:r>
    </w:p>
    <w:p w14:paraId="198DF2BC" w14:textId="77777777" w:rsidR="0055206D" w:rsidRPr="005F2829" w:rsidRDefault="00000000">
      <w:pPr>
        <w:pStyle w:val="FirstParagraph"/>
      </w:pPr>
      <w:r w:rsidRPr="005F2829">
        <w:t>This study was approved by the Institutional Review Boards of Sun Yat-sen University Cancer Center (Guangzhou, China) and Henan Tumor Hospital (Zhengzhou, China), and conducted in accordance with the ethical principles of the Declaration of Helsinki. All patient data used in this study were retrospectively collected from electronic medical records and fully de-identified prior to analysis. Written informed consent for research use of clinical data was obtained from all patients diagnosed with solitary pulmonary nodules (SPNs) at the time of hospital admission. No identifiable personal information was retained.</w:t>
      </w:r>
    </w:p>
    <w:p w14:paraId="75A5D981" w14:textId="77777777" w:rsidR="0055206D" w:rsidRPr="005F2829" w:rsidRDefault="00000000">
      <w:pPr>
        <w:pStyle w:val="a0"/>
      </w:pPr>
      <w:r w:rsidRPr="005F2829">
        <w:lastRenderedPageBreak/>
        <w:t xml:space="preserve">The training cohort (Cohort A, </w:t>
      </w:r>
      <m:oMath>
        <m:r>
          <w:rPr>
            <w:rFonts w:ascii="Cambria Math" w:hAnsi="Cambria Math"/>
          </w:rPr>
          <m:t>n</m:t>
        </m:r>
        <m:r>
          <m:rPr>
            <m:sty m:val="p"/>
          </m:rPr>
          <w:rPr>
            <w:rFonts w:ascii="Cambria Math" w:hAnsi="Cambria Math"/>
          </w:rPr>
          <m:t>=</m:t>
        </m:r>
        <m:r>
          <w:rPr>
            <w:rFonts w:ascii="Cambria Math" w:hAnsi="Cambria Math"/>
          </w:rPr>
          <m:t>295</m:t>
        </m:r>
      </m:oMath>
      <w:r w:rsidRPr="005F2829">
        <w:t xml:space="preserve">) was derived from Sun Yat-sen University Cancer Center (Guangzhou, China) between January 2011 and December 2016. The external test cohort (Cohort B, </w:t>
      </w:r>
      <m:oMath>
        <m:r>
          <w:rPr>
            <w:rFonts w:ascii="Cambria Math" w:hAnsi="Cambria Math"/>
          </w:rPr>
          <m:t>n</m:t>
        </m:r>
        <m:r>
          <m:rPr>
            <m:sty m:val="p"/>
          </m:rPr>
          <w:rPr>
            <w:rFonts w:ascii="Cambria Math" w:hAnsi="Cambria Math"/>
          </w:rPr>
          <m:t>=</m:t>
        </m:r>
        <m:r>
          <w:rPr>
            <w:rFonts w:ascii="Cambria Math" w:hAnsi="Cambria Math"/>
          </w:rPr>
          <m:t>190</m:t>
        </m:r>
      </m:oMath>
      <w:r w:rsidRPr="005F2829">
        <w:t>) was collected at Henan Tumor Hospital (Zhengzhou, China). All patients provided written informed consent for the use of clinical data in scientific research at the time of hospital admission.</w:t>
      </w:r>
    </w:p>
    <w:p w14:paraId="76962771" w14:textId="77777777" w:rsidR="0055206D" w:rsidRPr="005F2829" w:rsidRDefault="00000000">
      <w:pPr>
        <w:pStyle w:val="3"/>
        <w:rPr>
          <w:rFonts w:cs="Times New Roman"/>
          <w:color w:val="000000" w:themeColor="text1"/>
        </w:rPr>
      </w:pPr>
      <w:bookmarkStart w:id="35" w:name="inclusion-and-exclusion-criteria"/>
      <w:r w:rsidRPr="005F2829">
        <w:rPr>
          <w:rFonts w:cs="Times New Roman"/>
          <w:color w:val="000000" w:themeColor="text1"/>
        </w:rPr>
        <w:t>Inclusion and Exclusion Criteria</w:t>
      </w:r>
    </w:p>
    <w:p w14:paraId="7974045F" w14:textId="77777777" w:rsidR="0055206D" w:rsidRPr="005F2829" w:rsidRDefault="00000000">
      <w:pPr>
        <w:pStyle w:val="FirstParagraph"/>
      </w:pPr>
      <w:r w:rsidRPr="005F2829">
        <w:t xml:space="preserve">Inclusion criteria were as follows: (1) presence of a solitary pulmonary nodule with diameter </w:t>
      </w:r>
      <m:oMath>
        <m:r>
          <m:rPr>
            <m:sty m:val="p"/>
          </m:rPr>
          <w:rPr>
            <w:rFonts w:ascii="Cambria Math" w:hAnsi="Cambria Math"/>
          </w:rPr>
          <m:t>≤</m:t>
        </m:r>
        <m:r>
          <w:rPr>
            <w:rFonts w:ascii="Cambria Math" w:hAnsi="Cambria Math"/>
          </w:rPr>
          <m:t>3</m:t>
        </m:r>
      </m:oMath>
      <w:r w:rsidRPr="005F2829">
        <w:t xml:space="preserve"> cm identified by chest computed tomography (CT); (2) no evidence of extrapulmonary malignancy; (3) histopathological diagnosis confirmed by surgical resection, CT-guided transthoracic needle biopsy, or bronchoscopy; (4) complete electronic medical records, including clinical, laboratory, and imaging data collected within 7 days prior to anti-tumor treatment. Patients were excluded if they had prior thoracic malignancies, incomplete records, or other comorbidities interfering with diagnostic interpretation.</w:t>
      </w:r>
    </w:p>
    <w:p w14:paraId="72D8A71F" w14:textId="77777777" w:rsidR="0055206D" w:rsidRPr="005F2829" w:rsidRDefault="00000000">
      <w:pPr>
        <w:pStyle w:val="3"/>
        <w:rPr>
          <w:rFonts w:cs="Times New Roman"/>
          <w:color w:val="000000" w:themeColor="text1"/>
        </w:rPr>
      </w:pPr>
      <w:bookmarkStart w:id="36" w:name="data-variables-and-measurements"/>
      <w:bookmarkEnd w:id="35"/>
      <w:r w:rsidRPr="005F2829">
        <w:rPr>
          <w:rFonts w:cs="Times New Roman"/>
          <w:color w:val="000000" w:themeColor="text1"/>
        </w:rPr>
        <w:t>Data Variables and Measurements</w:t>
      </w:r>
    </w:p>
    <w:p w14:paraId="7C903EC7" w14:textId="77777777" w:rsidR="0055206D" w:rsidRPr="005F2829" w:rsidRDefault="00000000">
      <w:pPr>
        <w:pStyle w:val="FirstParagraph"/>
      </w:pPr>
      <w:r w:rsidRPr="005F2829">
        <w:t>The collected variables included patient demographics (age, sex, height, weight, body mass index), smoking history, family history of cancer, and symptoms (e.g., fever, cough, hemoptysis, chest pain). Radiologic features of SPNs were recorded, including anatomical location (lung side and lobe), nodule diameter and area, presence of calcification, cavity, spiculation, pleural thickening, and adhesion. Laboratory tests encompassed hematologic and biochemical indices such as white blood cell count (WBC), neutrophil-to-lymphocyte ratio (NLR), platelet-to-lymphocyte ratio (PLR), albumin/globulin ratio (AGR), liver and renal function markers, and tumor biomarkers including CEA, Cyfra21-1, and NSE.</w:t>
      </w:r>
    </w:p>
    <w:p w14:paraId="44C55580" w14:textId="77777777" w:rsidR="0055206D" w:rsidRPr="005F2829" w:rsidRDefault="00000000">
      <w:pPr>
        <w:pStyle w:val="2"/>
        <w:rPr>
          <w:rFonts w:ascii="Times New Roman" w:hAnsi="Times New Roman" w:cs="Times New Roman"/>
          <w:color w:val="000000" w:themeColor="text1"/>
        </w:rPr>
      </w:pPr>
      <w:bookmarkStart w:id="37" w:name="experimental-procedures"/>
      <w:bookmarkEnd w:id="34"/>
      <w:bookmarkEnd w:id="36"/>
      <w:r w:rsidRPr="005F2829">
        <w:rPr>
          <w:rFonts w:ascii="Times New Roman" w:hAnsi="Times New Roman" w:cs="Times New Roman"/>
          <w:color w:val="000000" w:themeColor="text1"/>
        </w:rPr>
        <w:t>Experimental Procedures</w:t>
      </w:r>
    </w:p>
    <w:p w14:paraId="616DD70E" w14:textId="77777777" w:rsidR="0055206D" w:rsidRPr="005F2829" w:rsidRDefault="00000000">
      <w:pPr>
        <w:pStyle w:val="3"/>
        <w:rPr>
          <w:rFonts w:cs="Times New Roman"/>
          <w:color w:val="000000" w:themeColor="text1"/>
        </w:rPr>
      </w:pPr>
      <w:bookmarkStart w:id="38" w:name="cross-validation-protocol"/>
      <w:r w:rsidRPr="005F2829">
        <w:rPr>
          <w:rFonts w:cs="Times New Roman"/>
          <w:color w:val="000000" w:themeColor="text1"/>
        </w:rPr>
        <w:t>Cross-Validation Protocol</w:t>
      </w:r>
    </w:p>
    <w:p w14:paraId="4DE01FD5" w14:textId="77777777" w:rsidR="0055206D" w:rsidRPr="005F2829" w:rsidRDefault="00000000">
      <w:pPr>
        <w:pStyle w:val="FirstParagraph"/>
      </w:pPr>
      <w:r w:rsidRPr="005F2829">
        <w:t>For internal validation, we employed 10-fold cross-validation on Cohort A. The dataset was randomly partitioned into 10 equal subsets while maintaining class distribution. Each fold served as validation data once while the remaining 9 folds were used for training. This process was repeated 10 times with different random seeds to ensure robustness of performance estimates.</w:t>
      </w:r>
    </w:p>
    <w:p w14:paraId="2A320FDD" w14:textId="77777777" w:rsidR="0055206D" w:rsidRPr="005F2829" w:rsidRDefault="00000000">
      <w:pPr>
        <w:pStyle w:val="3"/>
        <w:rPr>
          <w:rFonts w:cs="Times New Roman"/>
          <w:color w:val="000000" w:themeColor="text1"/>
        </w:rPr>
      </w:pPr>
      <w:bookmarkStart w:id="39" w:name="external-validation-strategy"/>
      <w:bookmarkEnd w:id="38"/>
      <w:r w:rsidRPr="005F2829">
        <w:rPr>
          <w:rFonts w:cs="Times New Roman"/>
          <w:color w:val="000000" w:themeColor="text1"/>
        </w:rPr>
        <w:t>External Validation Strategy</w:t>
      </w:r>
    </w:p>
    <w:p w14:paraId="5D9750D3" w14:textId="77777777" w:rsidR="0055206D" w:rsidRPr="005F2829" w:rsidRDefault="00000000">
      <w:pPr>
        <w:pStyle w:val="FirstParagraph"/>
      </w:pPr>
      <w:r w:rsidRPr="005F2829">
        <w:t>For external validation, models were trained on the complete Cohort A and evaluated on Cohort B without any retraining or fine-tuning. To ensure stable performance estimates, Cohort B was equally divided into 10 subsets, and the trained model generated predictions on each subset independently. The final performance was reported as the mean and standard deviation across the 10 subsets.</w:t>
      </w:r>
    </w:p>
    <w:p w14:paraId="110489B2" w14:textId="77777777" w:rsidR="0055206D" w:rsidRPr="005F2829" w:rsidRDefault="00000000">
      <w:pPr>
        <w:pStyle w:val="3"/>
        <w:rPr>
          <w:rFonts w:cs="Times New Roman"/>
          <w:color w:val="000000" w:themeColor="text1"/>
        </w:rPr>
      </w:pPr>
      <w:bookmarkStart w:id="40" w:name="statistical-analysis"/>
      <w:bookmarkEnd w:id="39"/>
      <w:r w:rsidRPr="005F2829">
        <w:rPr>
          <w:rFonts w:cs="Times New Roman"/>
          <w:color w:val="000000" w:themeColor="text1"/>
        </w:rPr>
        <w:lastRenderedPageBreak/>
        <w:t>Statistical Analysis</w:t>
      </w:r>
    </w:p>
    <w:p w14:paraId="76231960" w14:textId="77777777" w:rsidR="0055206D" w:rsidRPr="005F2829" w:rsidRDefault="00000000">
      <w:pPr>
        <w:pStyle w:val="FirstParagraph"/>
      </w:pPr>
      <w:r w:rsidRPr="005F2829">
        <w:t>Performance robustness was evaluated using bootstrap resampling with 1000 iterations to calculate 95% confidence intervals for all performance metrics. Coefficient of variation (CV) was used to assess performance stability across different data splits. Performance comparisons were based on mean metric values with confidence intervals to quantify estimation uncertainty.</w:t>
      </w:r>
    </w:p>
    <w:p w14:paraId="3B915C0E" w14:textId="77777777" w:rsidR="0055206D" w:rsidRPr="005F2829" w:rsidRDefault="00000000">
      <w:pPr>
        <w:pStyle w:val="2"/>
        <w:rPr>
          <w:rFonts w:ascii="Times New Roman" w:hAnsi="Times New Roman" w:cs="Times New Roman"/>
          <w:color w:val="000000" w:themeColor="text1"/>
        </w:rPr>
      </w:pPr>
      <w:bookmarkStart w:id="41" w:name="technical-implementation-details"/>
      <w:bookmarkEnd w:id="37"/>
      <w:bookmarkEnd w:id="40"/>
      <w:r w:rsidRPr="005F2829">
        <w:rPr>
          <w:rFonts w:ascii="Times New Roman" w:hAnsi="Times New Roman" w:cs="Times New Roman"/>
          <w:color w:val="000000" w:themeColor="text1"/>
        </w:rPr>
        <w:t>Technical Implementation Details</w:t>
      </w:r>
    </w:p>
    <w:p w14:paraId="52855961" w14:textId="77777777" w:rsidR="0055206D" w:rsidRPr="005F2829" w:rsidRDefault="00000000">
      <w:pPr>
        <w:pStyle w:val="3"/>
        <w:rPr>
          <w:rFonts w:cs="Times New Roman"/>
          <w:color w:val="000000" w:themeColor="text1"/>
        </w:rPr>
      </w:pPr>
      <w:bookmarkStart w:id="42" w:name="computational-environment"/>
      <w:r w:rsidRPr="005F2829">
        <w:rPr>
          <w:rFonts w:cs="Times New Roman"/>
          <w:color w:val="000000" w:themeColor="text1"/>
        </w:rPr>
        <w:t>Computational Environment</w:t>
      </w:r>
    </w:p>
    <w:p w14:paraId="60C2C557" w14:textId="77777777" w:rsidR="0055206D" w:rsidRPr="005F2829" w:rsidRDefault="00000000">
      <w:pPr>
        <w:pStyle w:val="FirstParagraph"/>
      </w:pPr>
      <w:r w:rsidRPr="005F2829">
        <w:t>All experiments were conducted on a computing cluster with NVIDIA A100 GPUs (40GB VRAM). The framework was implemented using Python 3.9 with PyTorch 2.0, scikit-learn 1.3, and custom implementations for domain adaptation components.</w:t>
      </w:r>
    </w:p>
    <w:p w14:paraId="2B19720C" w14:textId="77777777" w:rsidR="0055206D" w:rsidRPr="005F2829" w:rsidRDefault="00000000">
      <w:pPr>
        <w:pStyle w:val="3"/>
        <w:rPr>
          <w:rFonts w:cs="Times New Roman"/>
          <w:color w:val="000000" w:themeColor="text1"/>
        </w:rPr>
      </w:pPr>
      <w:bookmarkStart w:id="43" w:name="hyperparameter-configuration"/>
      <w:bookmarkEnd w:id="42"/>
      <w:r w:rsidRPr="005F2829">
        <w:rPr>
          <w:rFonts w:cs="Times New Roman"/>
          <w:color w:val="000000" w:themeColor="text1"/>
        </w:rPr>
        <w:t>Hyperparameter Configuration</w:t>
      </w:r>
    </w:p>
    <w:p w14:paraId="0A390F3A" w14:textId="77777777" w:rsidR="0055206D" w:rsidRPr="005F2829" w:rsidRDefault="00000000">
      <w:pPr>
        <w:pStyle w:val="FirstParagraph"/>
      </w:pPr>
      <w:r w:rsidRPr="005F2829">
        <w:t>Key hyperparameters were optimized through nested cross-validation:</w:t>
      </w:r>
    </w:p>
    <w:p w14:paraId="4A09E7E1" w14:textId="77777777" w:rsidR="0055206D" w:rsidRPr="005F2829" w:rsidRDefault="00000000">
      <w:pPr>
        <w:numPr>
          <w:ilvl w:val="0"/>
          <w:numId w:val="6"/>
        </w:numPr>
      </w:pPr>
      <w:r w:rsidRPr="005F2829">
        <w:rPr>
          <w:b/>
          <w:bCs/>
        </w:rPr>
        <w:t>Foundation Model</w:t>
      </w:r>
      <w:r w:rsidRPr="005F2829">
        <w:t>: TabPFN with 12 layers, 4 attention heads, 128-dimensional embeddings</w:t>
      </w:r>
    </w:p>
    <w:p w14:paraId="79118B56" w14:textId="77777777" w:rsidR="0055206D" w:rsidRPr="005F2829" w:rsidRDefault="00000000">
      <w:pPr>
        <w:numPr>
          <w:ilvl w:val="0"/>
          <w:numId w:val="6"/>
        </w:numPr>
      </w:pPr>
      <w:r w:rsidRPr="005F2829">
        <w:rPr>
          <w:b/>
          <w:bCs/>
        </w:rPr>
        <w:t>Ensemble Configuration</w:t>
      </w:r>
      <w:r w:rsidRPr="005F2829">
        <w:t>: 32 members with 4 parallel preprocessing branches</w:t>
      </w:r>
    </w:p>
    <w:p w14:paraId="311B51F6" w14:textId="77777777" w:rsidR="0055206D" w:rsidRPr="005F2829" w:rsidRDefault="00000000">
      <w:pPr>
        <w:numPr>
          <w:ilvl w:val="0"/>
          <w:numId w:val="6"/>
        </w:numPr>
      </w:pPr>
      <w:r w:rsidRPr="005F2829">
        <w:rPr>
          <w:b/>
          <w:bCs/>
        </w:rPr>
        <w:t>TCA Parameters</w:t>
      </w:r>
      <w:r w:rsidRPr="005F2829">
        <w:t xml:space="preserve">: Linear kernel, 15 latent dimensions, regularization parameter </w:t>
      </w:r>
      <m:oMath>
        <m:r>
          <w:rPr>
            <w:rFonts w:ascii="Cambria Math" w:hAnsi="Cambria Math"/>
          </w:rPr>
          <m:t>λ</m:t>
        </m:r>
        <m:r>
          <m:rPr>
            <m:sty m:val="p"/>
          </m:rPr>
          <w:rPr>
            <w:rFonts w:ascii="Cambria Math" w:hAnsi="Cambria Math"/>
          </w:rPr>
          <m:t>=</m:t>
        </m:r>
        <m:r>
          <w:rPr>
            <w:rFonts w:ascii="Cambria Math" w:hAnsi="Cambria Math"/>
          </w:rPr>
          <m:t>0.1</m:t>
        </m:r>
      </m:oMath>
    </w:p>
    <w:p w14:paraId="00241D9E" w14:textId="77777777" w:rsidR="0055206D" w:rsidRPr="005F2829" w:rsidRDefault="00000000">
      <w:pPr>
        <w:numPr>
          <w:ilvl w:val="0"/>
          <w:numId w:val="6"/>
        </w:numPr>
      </w:pPr>
      <w:r w:rsidRPr="005F2829">
        <w:rPr>
          <w:b/>
          <w:bCs/>
        </w:rPr>
        <w:t>Feature Selection</w:t>
      </w:r>
      <w:r w:rsidRPr="005F2829">
        <w:t xml:space="preserve">: RFE with 10-fold internal cross-validation, permutation importance with </w:t>
      </w:r>
      <m:oMath>
        <m:r>
          <w:rPr>
            <w:rFonts w:ascii="Cambria Math" w:hAnsi="Cambria Math"/>
          </w:rPr>
          <m:t>R</m:t>
        </m:r>
        <m:r>
          <m:rPr>
            <m:sty m:val="p"/>
          </m:rPr>
          <w:rPr>
            <w:rFonts w:ascii="Cambria Math" w:hAnsi="Cambria Math"/>
          </w:rPr>
          <m:t>=</m:t>
        </m:r>
        <m:r>
          <w:rPr>
            <w:rFonts w:ascii="Cambria Math" w:hAnsi="Cambria Math"/>
          </w:rPr>
          <m:t>5</m:t>
        </m:r>
      </m:oMath>
      <w:r w:rsidRPr="005F2829">
        <w:t xml:space="preserve"> repetitions</w:t>
      </w:r>
    </w:p>
    <w:p w14:paraId="0490E24F" w14:textId="77777777" w:rsidR="0055206D" w:rsidRPr="005F2829" w:rsidRDefault="00000000">
      <w:pPr>
        <w:numPr>
          <w:ilvl w:val="0"/>
          <w:numId w:val="6"/>
        </w:numPr>
      </w:pPr>
      <w:r w:rsidRPr="005F2829">
        <w:rPr>
          <w:b/>
          <w:bCs/>
        </w:rPr>
        <w:t>Training</w:t>
      </w:r>
      <w:r w:rsidRPr="005F2829">
        <w:t xml:space="preserve">: Adam optimizer with learning rate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sidRPr="005F2829">
        <w:t>, batch size 32, maximum 100 epochs</w:t>
      </w:r>
    </w:p>
    <w:p w14:paraId="4546B51C" w14:textId="77777777" w:rsidR="0055206D" w:rsidRPr="005F2829" w:rsidRDefault="00000000">
      <w:pPr>
        <w:pStyle w:val="3"/>
        <w:rPr>
          <w:rFonts w:cs="Times New Roman"/>
          <w:color w:val="000000" w:themeColor="text1"/>
        </w:rPr>
      </w:pPr>
      <w:bookmarkStart w:id="44" w:name="baseline-methods"/>
      <w:bookmarkEnd w:id="43"/>
      <w:r w:rsidRPr="005F2829">
        <w:rPr>
          <w:rFonts w:cs="Times New Roman"/>
          <w:color w:val="000000" w:themeColor="text1"/>
        </w:rPr>
        <w:t>Baseline Methods</w:t>
      </w:r>
    </w:p>
    <w:p w14:paraId="449ED52A" w14:textId="77777777" w:rsidR="0055206D" w:rsidRPr="005F2829" w:rsidRDefault="00000000">
      <w:pPr>
        <w:pStyle w:val="FirstParagraph"/>
      </w:pPr>
      <w:r w:rsidRPr="005F2829">
        <w:t>For fair comparison, we implemented the following baseline methods with optimized hyperparameters:</w:t>
      </w:r>
    </w:p>
    <w:p w14:paraId="1C6485BA" w14:textId="77777777" w:rsidR="0055206D" w:rsidRPr="005F2829" w:rsidRDefault="00000000">
      <w:pPr>
        <w:numPr>
          <w:ilvl w:val="0"/>
          <w:numId w:val="7"/>
        </w:numPr>
      </w:pPr>
      <w:r w:rsidRPr="005F2829">
        <w:rPr>
          <w:b/>
          <w:bCs/>
        </w:rPr>
        <w:t>Random Forest</w:t>
      </w:r>
      <w:r w:rsidRPr="005F2829">
        <w:t>: 500 trees, maximum depth 20, balanced class weights</w:t>
      </w:r>
    </w:p>
    <w:p w14:paraId="576ADF66" w14:textId="77777777" w:rsidR="0055206D" w:rsidRPr="005F2829" w:rsidRDefault="00000000">
      <w:pPr>
        <w:numPr>
          <w:ilvl w:val="0"/>
          <w:numId w:val="7"/>
        </w:numPr>
      </w:pPr>
      <w:r w:rsidRPr="005F2829">
        <w:rPr>
          <w:b/>
          <w:bCs/>
        </w:rPr>
        <w:t>XGBoost</w:t>
      </w:r>
      <w:r w:rsidRPr="005F2829">
        <w:t>: learning rate 0.01, maximum depth 6, 500 estimators</w:t>
      </w:r>
    </w:p>
    <w:p w14:paraId="3A093A0D" w14:textId="77777777" w:rsidR="0055206D" w:rsidRPr="005F2829" w:rsidRDefault="00000000">
      <w:pPr>
        <w:numPr>
          <w:ilvl w:val="0"/>
          <w:numId w:val="7"/>
        </w:numPr>
      </w:pPr>
      <w:r w:rsidRPr="005F2829">
        <w:rPr>
          <w:b/>
          <w:bCs/>
        </w:rPr>
        <w:t>SVM</w:t>
      </w:r>
      <w:r w:rsidRPr="005F2829">
        <w:t xml:space="preserve">: RBF kernel, </w:t>
      </w:r>
      <m:oMath>
        <m:r>
          <w:rPr>
            <w:rFonts w:ascii="Cambria Math" w:hAnsi="Cambria Math"/>
          </w:rPr>
          <m:t>C</m:t>
        </m:r>
        <m:r>
          <m:rPr>
            <m:sty m:val="p"/>
          </m:rPr>
          <w:rPr>
            <w:rFonts w:ascii="Cambria Math" w:hAnsi="Cambria Math"/>
          </w:rPr>
          <m:t>=</m:t>
        </m:r>
        <m:r>
          <w:rPr>
            <w:rFonts w:ascii="Cambria Math" w:hAnsi="Cambria Math"/>
          </w:rPr>
          <m:t>1.0</m:t>
        </m:r>
      </m:oMath>
      <w:r w:rsidRPr="005F2829">
        <w:t xml:space="preserve">, </w:t>
      </w:r>
      <m:oMath>
        <m:r>
          <w:rPr>
            <w:rFonts w:ascii="Cambria Math" w:hAnsi="Cambria Math"/>
          </w:rPr>
          <m:t>γ</m:t>
        </m:r>
        <m:r>
          <m:rPr>
            <m:sty m:val="p"/>
          </m:rPr>
          <w:rPr>
            <w:rFonts w:ascii="Cambria Math" w:hAnsi="Cambria Math"/>
          </w:rPr>
          <m:t>=</m:t>
        </m:r>
        <m:r>
          <w:rPr>
            <w:rFonts w:ascii="Cambria Math" w:hAnsi="Cambria Math"/>
          </w:rPr>
          <m:t>0.001</m:t>
        </m:r>
      </m:oMath>
    </w:p>
    <w:p w14:paraId="0F04D114" w14:textId="77777777" w:rsidR="0055206D" w:rsidRPr="005F2829" w:rsidRDefault="00000000">
      <w:pPr>
        <w:numPr>
          <w:ilvl w:val="0"/>
          <w:numId w:val="7"/>
        </w:numPr>
      </w:pPr>
      <w:r w:rsidRPr="005F2829">
        <w:rPr>
          <w:b/>
          <w:bCs/>
        </w:rPr>
        <w:t>LASSO Logistic Regression</w:t>
      </w:r>
      <w:r w:rsidRPr="005F2829">
        <w:t xml:space="preserve">: regularization strength </w:t>
      </w:r>
      <m:oMath>
        <m:r>
          <w:rPr>
            <w:rFonts w:ascii="Cambria Math" w:hAnsi="Cambria Math"/>
          </w:rPr>
          <m:t>α</m:t>
        </m:r>
        <m:r>
          <m:rPr>
            <m:sty m:val="p"/>
          </m:rPr>
          <w:rPr>
            <w:rFonts w:ascii="Cambria Math" w:hAnsi="Cambria Math"/>
          </w:rPr>
          <m:t>=</m:t>
        </m:r>
        <m:r>
          <w:rPr>
            <w:rFonts w:ascii="Cambria Math" w:hAnsi="Cambria Math"/>
          </w:rPr>
          <m:t>0.01</m:t>
        </m:r>
      </m:oMath>
    </w:p>
    <w:p w14:paraId="46D5A343" w14:textId="77777777" w:rsidR="0055206D" w:rsidRPr="005F2829" w:rsidRDefault="00000000">
      <w:pPr>
        <w:numPr>
          <w:ilvl w:val="0"/>
          <w:numId w:val="7"/>
        </w:numPr>
      </w:pPr>
      <w:r w:rsidRPr="005F2829">
        <w:rPr>
          <w:b/>
          <w:bCs/>
        </w:rPr>
        <w:t>Clinical Scores</w:t>
      </w:r>
      <w:r w:rsidRPr="005F2829">
        <w:t>: Mayo Clinic and PKUPH models implemented as described in original publications</w:t>
      </w:r>
    </w:p>
    <w:p w14:paraId="0CE5279F" w14:textId="77777777" w:rsidR="0055206D" w:rsidRPr="005F2829" w:rsidRDefault="00000000">
      <w:pPr>
        <w:pStyle w:val="3"/>
        <w:rPr>
          <w:rFonts w:cs="Times New Roman"/>
          <w:color w:val="000000" w:themeColor="text1"/>
        </w:rPr>
      </w:pPr>
      <w:bookmarkStart w:id="45" w:name="evaluation-metrics-1"/>
      <w:bookmarkEnd w:id="44"/>
      <w:r w:rsidRPr="005F2829">
        <w:rPr>
          <w:rFonts w:cs="Times New Roman"/>
          <w:color w:val="000000" w:themeColor="text1"/>
        </w:rPr>
        <w:lastRenderedPageBreak/>
        <w:t>Evaluation Metrics</w:t>
      </w:r>
    </w:p>
    <w:p w14:paraId="4E2DAFEA" w14:textId="77777777" w:rsidR="0055206D" w:rsidRPr="005F2829" w:rsidRDefault="00000000">
      <w:pPr>
        <w:pStyle w:val="FirstParagraph"/>
      </w:pPr>
      <w:r w:rsidRPr="005F2829">
        <w:t>Performance was assessed using multiple metrics to capture different aspects of classification quality:</w:t>
      </w:r>
    </w:p>
    <w:p w14:paraId="49C283D7" w14:textId="77777777" w:rsidR="0055206D" w:rsidRPr="005F2829" w:rsidRDefault="00000000">
      <w:pPr>
        <w:numPr>
          <w:ilvl w:val="0"/>
          <w:numId w:val="8"/>
        </w:numPr>
      </w:pPr>
      <w:r w:rsidRPr="005F2829">
        <w:rPr>
          <w:b/>
          <w:bCs/>
        </w:rPr>
        <w:t>Discrimination</w:t>
      </w:r>
      <w:r w:rsidRPr="005F2829">
        <w:t>: Area Under ROC Curve (AUC), accuracy, F1-score</w:t>
      </w:r>
    </w:p>
    <w:p w14:paraId="4648B528" w14:textId="77777777" w:rsidR="0055206D" w:rsidRPr="005F2829" w:rsidRDefault="00000000">
      <w:pPr>
        <w:numPr>
          <w:ilvl w:val="0"/>
          <w:numId w:val="8"/>
        </w:numPr>
      </w:pPr>
      <w:r w:rsidRPr="005F2829">
        <w:rPr>
          <w:b/>
          <w:bCs/>
        </w:rPr>
        <w:t>Clinical Relevance</w:t>
      </w:r>
      <w:r w:rsidRPr="005F2829">
        <w:t>: Sensitivity (recall), specificity (precision)</w:t>
      </w:r>
    </w:p>
    <w:p w14:paraId="6E5AA881" w14:textId="77777777" w:rsidR="0055206D" w:rsidRPr="005F2829" w:rsidRDefault="00000000">
      <w:pPr>
        <w:numPr>
          <w:ilvl w:val="0"/>
          <w:numId w:val="8"/>
        </w:numPr>
      </w:pPr>
      <w:r w:rsidRPr="005F2829">
        <w:rPr>
          <w:b/>
          <w:bCs/>
        </w:rPr>
        <w:t>Calibration</w:t>
      </w:r>
      <w:r w:rsidRPr="005F2829">
        <w:t>: Brier score, Expected Calibration Error (ECE)</w:t>
      </w:r>
    </w:p>
    <w:p w14:paraId="26FF4910" w14:textId="77777777" w:rsidR="0055206D" w:rsidRPr="005F2829" w:rsidRDefault="00000000">
      <w:pPr>
        <w:numPr>
          <w:ilvl w:val="0"/>
          <w:numId w:val="8"/>
        </w:numPr>
      </w:pPr>
      <w:r w:rsidRPr="005F2829">
        <w:rPr>
          <w:b/>
          <w:bCs/>
        </w:rPr>
        <w:t>Clinical Utility</w:t>
      </w:r>
      <w:r w:rsidRPr="005F2829">
        <w:t>: Net benefit from Decision Curve Analysis</w:t>
      </w:r>
    </w:p>
    <w:p w14:paraId="2AA2A961" w14:textId="77777777" w:rsidR="0055206D" w:rsidRPr="005F2829" w:rsidRDefault="00000000">
      <w:pPr>
        <w:numPr>
          <w:ilvl w:val="0"/>
          <w:numId w:val="8"/>
        </w:numPr>
      </w:pPr>
      <w:r w:rsidRPr="005F2829">
        <w:rPr>
          <w:b/>
          <w:bCs/>
        </w:rPr>
        <w:t>Stability</w:t>
      </w:r>
      <w:r w:rsidRPr="005F2829">
        <w:t>: Coefficient of variation across cross-validation folds</w:t>
      </w:r>
    </w:p>
    <w:p w14:paraId="3D48BB6A" w14:textId="77777777" w:rsidR="0055206D" w:rsidRPr="005F2829" w:rsidRDefault="00000000">
      <w:pPr>
        <w:pStyle w:val="2"/>
        <w:rPr>
          <w:rFonts w:ascii="Times New Roman" w:hAnsi="Times New Roman" w:cs="Times New Roman"/>
          <w:color w:val="000000" w:themeColor="text1"/>
        </w:rPr>
      </w:pPr>
      <w:bookmarkStart w:id="46" w:name="reproducibility-and-open-science"/>
      <w:bookmarkEnd w:id="41"/>
      <w:bookmarkEnd w:id="45"/>
      <w:r w:rsidRPr="005F2829">
        <w:rPr>
          <w:rFonts w:ascii="Times New Roman" w:hAnsi="Times New Roman" w:cs="Times New Roman"/>
          <w:color w:val="000000" w:themeColor="text1"/>
        </w:rPr>
        <w:t>Reproducibility and Open Science</w:t>
      </w:r>
    </w:p>
    <w:p w14:paraId="2A4AAECC" w14:textId="77777777" w:rsidR="0055206D" w:rsidRPr="005F2829" w:rsidRDefault="00000000">
      <w:pPr>
        <w:pStyle w:val="FirstParagraph"/>
      </w:pPr>
      <w:r w:rsidRPr="005F2829">
        <w:t>All experimental protocols were designed to ensure reproducibility and transparency. Random seeds were fixed for all stochastic processes, including data partitioning, model initialization, and preprocessing transformations. The complete experimental pipeline, including data preprocessing, model training, and evaluation, was implemented as modular components with version control and comprehensive logging.</w:t>
      </w:r>
    </w:p>
    <w:p w14:paraId="0E20810F" w14:textId="77777777" w:rsidR="0055206D" w:rsidRPr="005F2829" w:rsidRDefault="00000000">
      <w:pPr>
        <w:pStyle w:val="3"/>
        <w:rPr>
          <w:rFonts w:cs="Times New Roman"/>
          <w:color w:val="000000" w:themeColor="text1"/>
        </w:rPr>
      </w:pPr>
      <w:bookmarkStart w:id="47" w:name="computational-requirements"/>
      <w:r w:rsidRPr="005F2829">
        <w:rPr>
          <w:rFonts w:cs="Times New Roman"/>
          <w:color w:val="000000" w:themeColor="text1"/>
        </w:rPr>
        <w:t>Computational Requirements</w:t>
      </w:r>
    </w:p>
    <w:p w14:paraId="1003D1BA" w14:textId="77777777" w:rsidR="0055206D" w:rsidRPr="005F2829" w:rsidRDefault="00000000">
      <w:pPr>
        <w:pStyle w:val="FirstParagraph"/>
      </w:pPr>
      <w:r w:rsidRPr="005F2829">
        <w:t>The complete experimental pipeline requires approximately:</w:t>
      </w:r>
    </w:p>
    <w:p w14:paraId="7D9185AA" w14:textId="77777777" w:rsidR="0055206D" w:rsidRPr="005F2829" w:rsidRDefault="00000000">
      <w:pPr>
        <w:numPr>
          <w:ilvl w:val="0"/>
          <w:numId w:val="9"/>
        </w:numPr>
      </w:pPr>
      <w:r w:rsidRPr="005F2829">
        <w:rPr>
          <w:b/>
          <w:bCs/>
        </w:rPr>
        <w:t>Training Time</w:t>
      </w:r>
      <w:r w:rsidRPr="005F2829">
        <w:t>: 2-4 hours for complete 10-fold cross-validation with 32-member ensemble</w:t>
      </w:r>
    </w:p>
    <w:p w14:paraId="52C1B455" w14:textId="77777777" w:rsidR="0055206D" w:rsidRPr="005F2829" w:rsidRDefault="00000000">
      <w:pPr>
        <w:numPr>
          <w:ilvl w:val="0"/>
          <w:numId w:val="9"/>
        </w:numPr>
      </w:pPr>
      <w:r w:rsidRPr="005F2829">
        <w:rPr>
          <w:b/>
          <w:bCs/>
        </w:rPr>
        <w:t>Memory Usage</w:t>
      </w:r>
      <w:r w:rsidRPr="005F2829">
        <w:t>: 8-12 GB RAM for preprocessing, 16 GB GPU memory for foundation model inference</w:t>
      </w:r>
    </w:p>
    <w:p w14:paraId="6C2FF82B" w14:textId="77777777" w:rsidR="0055206D" w:rsidRPr="005F2829" w:rsidRDefault="00000000">
      <w:pPr>
        <w:numPr>
          <w:ilvl w:val="0"/>
          <w:numId w:val="9"/>
        </w:numPr>
      </w:pPr>
      <w:r w:rsidRPr="005F2829">
        <w:rPr>
          <w:b/>
          <w:bCs/>
        </w:rPr>
        <w:t>Storage</w:t>
      </w:r>
      <w:r w:rsidRPr="005F2829">
        <w:t>: 500 MB for processed datasets, 2 GB for model checkpoints and results</w:t>
      </w:r>
    </w:p>
    <w:p w14:paraId="07507AEB" w14:textId="77777777" w:rsidR="0055206D" w:rsidRPr="005F2829" w:rsidRDefault="00000000">
      <w:pPr>
        <w:pStyle w:val="FirstParagraph"/>
      </w:pPr>
      <w:r w:rsidRPr="005F2829">
        <w:t>These specifications ensure that the methodology can be reproduced by other research groups with access to standard computational resources while maintaining the integrity of experimental results.</w:t>
      </w:r>
    </w:p>
    <w:p w14:paraId="35882F10" w14:textId="77777777" w:rsidR="0055206D" w:rsidRPr="005F2829" w:rsidRDefault="00000000" w:rsidP="000672B5">
      <w:pPr>
        <w:pStyle w:val="1"/>
      </w:pPr>
      <w:bookmarkStart w:id="48" w:name="sec:analysis"/>
      <w:bookmarkEnd w:id="33"/>
      <w:bookmarkEnd w:id="46"/>
      <w:bookmarkEnd w:id="47"/>
      <w:r w:rsidRPr="005F2829">
        <w:t>Analysis</w:t>
      </w:r>
    </w:p>
    <w:p w14:paraId="44823A4D" w14:textId="77777777" w:rsidR="0055206D" w:rsidRPr="005F2829" w:rsidRDefault="00000000">
      <w:pPr>
        <w:pStyle w:val="FirstParagraph"/>
      </w:pPr>
      <w:r w:rsidRPr="005F2829">
        <w:t>We present detailed theoretical analysis and methodological components that underpin the PANDA framework, including sophisticated data preprocessing strategies, feature selection algorithms, and domain adaptation mechanisms designed for cross-institutional medical applications.</w:t>
      </w:r>
    </w:p>
    <w:p w14:paraId="53036C5F" w14:textId="77777777" w:rsidR="0055206D" w:rsidRPr="005F2829" w:rsidRDefault="00000000">
      <w:pPr>
        <w:pStyle w:val="2"/>
        <w:rPr>
          <w:rFonts w:ascii="Times New Roman" w:hAnsi="Times New Roman" w:cs="Times New Roman"/>
          <w:color w:val="000000" w:themeColor="text1"/>
        </w:rPr>
      </w:pPr>
      <w:bookmarkStart w:id="49" w:name="data-preprocessing-pipeline"/>
      <w:r w:rsidRPr="005F2829">
        <w:rPr>
          <w:rFonts w:ascii="Times New Roman" w:hAnsi="Times New Roman" w:cs="Times New Roman"/>
          <w:color w:val="000000" w:themeColor="text1"/>
        </w:rPr>
        <w:lastRenderedPageBreak/>
        <w:t>Data Preprocessing Pipeline</w:t>
      </w:r>
    </w:p>
    <w:p w14:paraId="45614E88" w14:textId="77777777" w:rsidR="0055206D" w:rsidRPr="005F2829" w:rsidRDefault="00000000">
      <w:pPr>
        <w:pStyle w:val="FirstParagraph"/>
      </w:pPr>
      <w:r w:rsidRPr="005F2829">
        <w:t>Medical AI systems frequently fail when deployed across different hospitals due to subtle but systematic data preprocessing inconsistencies that are often overlooked in single-institution studies. Unlike standardized imaging or genomic data, tabular clinical data exhibits profound institutional variations in feature ordering, measurement protocols, and categorical encoding schemes. These seemingly minor preprocessing differences can cause substantial performance degradation, with models trained at one institution showing accuracy drops of 10-20% when deployed elsewhere.</w:t>
      </w:r>
    </w:p>
    <w:p w14:paraId="410E7EF7" w14:textId="77777777" w:rsidR="0055206D" w:rsidRPr="005F2829" w:rsidRDefault="00000000">
      <w:pPr>
        <w:pStyle w:val="a0"/>
      </w:pPr>
      <w:r w:rsidRPr="005F2829">
        <w:t>The PANDA preprocessing pipeline tackles three fundamental issues in medical tabular data that are particularly critical for cross-institutional deployment: positional bias from arbitrary feature ordering, distributional heterogeneity across institutions, and inconsistent categorical variable representations.</w:t>
      </w:r>
    </w:p>
    <w:p w14:paraId="64298F1D" w14:textId="77777777" w:rsidR="0055206D" w:rsidRPr="005F2829" w:rsidRDefault="00000000">
      <w:pPr>
        <w:pStyle w:val="3"/>
        <w:rPr>
          <w:rFonts w:cs="Times New Roman"/>
          <w:color w:val="000000" w:themeColor="text1"/>
        </w:rPr>
      </w:pPr>
      <w:bookmarkStart w:id="50" w:name="feature-rotation-strategy"/>
      <w:r w:rsidRPr="005F2829">
        <w:rPr>
          <w:rFonts w:cs="Times New Roman"/>
          <w:color w:val="000000" w:themeColor="text1"/>
        </w:rPr>
        <w:t>Feature Rotation Strategy</w:t>
      </w:r>
    </w:p>
    <w:p w14:paraId="29642D05" w14:textId="77777777" w:rsidR="0055206D" w:rsidRPr="005F2829" w:rsidRDefault="00000000">
      <w:pPr>
        <w:pStyle w:val="FirstParagraph"/>
      </w:pPr>
      <w:r w:rsidRPr="005F2829">
        <w:t>Clinical datasets often exhibit arbitrary feature ordering that can introduce systematic biases in Transformer-based models. Different medical institutions may organize clinical variables in varying sequences, creating subtle but persistent ordering patterns that models may inadvertently exploit.</w:t>
      </w:r>
    </w:p>
    <w:p w14:paraId="031FD85C" w14:textId="77777777" w:rsidR="0055206D" w:rsidRPr="005F2829" w:rsidRDefault="00000000">
      <w:pPr>
        <w:pStyle w:val="a0"/>
      </w:pPr>
      <w:r w:rsidRPr="005F2829">
        <w:t>To address this challenge, feature rotation introduces positional diversity across ensemble members to counteract ordering biases. Each ensemble member applies a cyclical permutation to input features before processing:</w:t>
      </w:r>
    </w:p>
    <w:p w14:paraId="77BBF618" w14:textId="77777777" w:rsidR="0055206D" w:rsidRPr="005F2829" w:rsidRDefault="00000000">
      <w:pPr>
        <w:pStyle w:val="a0"/>
      </w:pPr>
      <m:oMathPara>
        <m:oMathParaPr>
          <m:jc m:val="center"/>
        </m:oMathParaPr>
        <m:oMath>
          <m:sSubSup>
            <m:sSubSupPr>
              <m:ctrlPr>
                <w:rPr>
                  <w:rFonts w:ascii="Cambria Math" w:hAnsi="Cambria Math"/>
                </w:rPr>
              </m:ctrlPr>
            </m:sSubSupPr>
            <m:e>
              <m:r>
                <m:rPr>
                  <m:sty m:val="b"/>
                </m:rPr>
                <w:rPr>
                  <w:rFonts w:ascii="Cambria Math" w:hAnsi="Cambria Math"/>
                </w:rPr>
                <m:t>x</m:t>
              </m:r>
            </m:e>
            <m:sub>
              <m:r>
                <m:rPr>
                  <m:nor/>
                </m:rPr>
                <m:t>rotated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m:rPr>
              <m:nor/>
            </m:rPr>
            <m:t>rotate</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 d</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 d</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 d</m:t>
              </m:r>
            </m:sub>
          </m:sSub>
          <m:r>
            <m:rPr>
              <m:sty m:val="p"/>
            </m:rPr>
            <w:rPr>
              <w:rFonts w:ascii="Cambria Math" w:hAnsi="Cambria Math"/>
            </w:rPr>
            <m:t>]</m:t>
          </m:r>
        </m:oMath>
      </m:oMathPara>
    </w:p>
    <w:p w14:paraId="00DCEB2A" w14:textId="77777777" w:rsidR="0055206D" w:rsidRPr="005F2829" w:rsidRDefault="00000000">
      <w:pPr>
        <w:pStyle w:val="FirstParagraph"/>
      </w:pPr>
      <w:r w:rsidRPr="005F2829">
        <w:t xml:space="preserve">where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oMath>
      <w:r w:rsidRPr="005F2829">
        <w:t xml:space="preserve"> represents the rotation offset specific to ensemble member </w:t>
      </w:r>
      <m:oMath>
        <m:r>
          <w:rPr>
            <w:rFonts w:ascii="Cambria Math" w:hAnsi="Cambria Math"/>
          </w:rPr>
          <m:t>k</m:t>
        </m:r>
      </m:oMath>
      <w:r w:rsidRPr="005F2829">
        <w:t xml:space="preserve">, and </w:t>
      </w:r>
      <m:oMath>
        <m:r>
          <w:rPr>
            <w:rFonts w:ascii="Cambria Math" w:hAnsi="Cambria Math"/>
          </w:rPr>
          <m:t>d</m:t>
        </m:r>
      </m:oMath>
      <w:r w:rsidRPr="005F2829">
        <w:t xml:space="preserve"> is the feature dimensionality. The rotation offset is generated using a deterministic sequence starting from a random seed:</w:t>
      </w:r>
    </w:p>
    <w:p w14:paraId="363658A4" w14:textId="77777777" w:rsidR="0055206D" w:rsidRPr="005F2829" w:rsidRDefault="00000000">
      <w:pPr>
        <w:pStyle w:val="a0"/>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m:rPr>
              <m:nor/>
            </m:rPr>
            <m:t>start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m:oMathPara>
    </w:p>
    <w:p w14:paraId="5DF34FC3" w14:textId="77777777" w:rsidR="0055206D" w:rsidRPr="005F2829" w:rsidRDefault="00000000">
      <w:pPr>
        <w:pStyle w:val="FirstParagraph"/>
      </w:pPr>
      <w:r w:rsidRPr="005F2829">
        <w:t xml:space="preserve">where </w:t>
      </w:r>
      <m:oMath>
        <m:r>
          <m:rPr>
            <m:nor/>
          </m:rPr>
          <m:t>start</m:t>
        </m:r>
        <m:r>
          <m:rPr>
            <m:sty m:val="p"/>
          </m:rPr>
          <w:rPr>
            <w:rFonts w:ascii="Cambria Math" w:hAnsi="Cambria Math"/>
          </w:rPr>
          <m:t>∼</m:t>
        </m:r>
        <m:r>
          <m:rPr>
            <m:nor/>
          </m:rPr>
          <m:t>Uniform</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oMath>
      <w:r w:rsidRPr="005F2829">
        <w:t xml:space="preserve"> and </w:t>
      </w:r>
      <m:oMath>
        <m:r>
          <w:rPr>
            <w:rFonts w:ascii="Cambria Math" w:hAnsi="Cambria Math"/>
          </w:rPr>
          <m:t>N</m:t>
        </m:r>
        <m:r>
          <m:rPr>
            <m:sty m:val="p"/>
          </m:rPr>
          <w:rPr>
            <w:rFonts w:ascii="Cambria Math" w:hAnsi="Cambria Math"/>
          </w:rPr>
          <m:t>=</m:t>
        </m:r>
        <m:r>
          <w:rPr>
            <w:rFonts w:ascii="Cambria Math" w:hAnsi="Cambria Math"/>
          </w:rPr>
          <m:t>32</m:t>
        </m:r>
      </m:oMath>
      <w:r w:rsidRPr="005F2829">
        <w:t xml:space="preserve"> ensemble members. To ensure diversity, rotation offsets are sampled without replacement to guarantee unique permutations across ensemble members. The rotation ensures consistent and reproducible feature permutations during both training and inference phases.</w:t>
      </w:r>
    </w:p>
    <w:p w14:paraId="5A47DC61" w14:textId="77777777" w:rsidR="0055206D" w:rsidRPr="005F2829" w:rsidRDefault="00000000">
      <w:pPr>
        <w:pStyle w:val="3"/>
        <w:rPr>
          <w:rFonts w:cs="Times New Roman"/>
          <w:color w:val="000000" w:themeColor="text1"/>
        </w:rPr>
      </w:pPr>
      <w:bookmarkStart w:id="51" w:name="adaptive-feature-transformation"/>
      <w:bookmarkEnd w:id="50"/>
      <w:r w:rsidRPr="005F2829">
        <w:rPr>
          <w:rFonts w:cs="Times New Roman"/>
          <w:color w:val="000000" w:themeColor="text1"/>
        </w:rPr>
        <w:t>Adaptive Feature Transformation</w:t>
      </w:r>
    </w:p>
    <w:p w14:paraId="11DE6EB3" w14:textId="77777777" w:rsidR="0055206D" w:rsidRPr="005F2829" w:rsidRDefault="00000000">
      <w:pPr>
        <w:pStyle w:val="FirstParagraph"/>
      </w:pPr>
      <w:r w:rsidRPr="005F2829">
        <w:t>Medical institutions employ diverse measurement protocols and equipment calibrations that result in systematic distributional differences. The preprocessing pipeline employs a dual-strategy approach:</w:t>
      </w:r>
    </w:p>
    <w:p w14:paraId="1D498D5D" w14:textId="77777777" w:rsidR="0055206D" w:rsidRPr="005F2829" w:rsidRDefault="00000000">
      <w:pPr>
        <w:pStyle w:val="a0"/>
      </w:pPr>
      <w:r w:rsidRPr="005F2829">
        <w:rPr>
          <w:b/>
          <w:bCs/>
        </w:rPr>
        <w:t>Enhanced Feature Transformation</w:t>
      </w:r>
      <w:r w:rsidRPr="005F2829">
        <w:t xml:space="preserve"> applies quantile transformation followed by dimensionality expansion:</w:t>
      </w:r>
    </w:p>
    <w:p w14:paraId="29C0F570" w14:textId="77777777" w:rsidR="0055206D" w:rsidRPr="005F2829"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x</m:t>
              </m:r>
            </m:e>
            <m:sub>
              <m:r>
                <m:rPr>
                  <m:nor/>
                </m:rPr>
                <m:t>quantile</m:t>
              </m:r>
            </m:sub>
          </m:sSub>
          <m:r>
            <m:rPr>
              <m:sty m:val="p"/>
            </m:rPr>
            <w:rPr>
              <w:rFonts w:ascii="Cambria Math" w:hAnsi="Cambria Math"/>
            </w:rPr>
            <m:t>=</m:t>
          </m:r>
          <m:r>
            <m:rPr>
              <m:nor/>
            </m:rPr>
            <m:t>QuantileTransformer</m:t>
          </m:r>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quantiles</m:t>
              </m:r>
            </m:sub>
          </m:sSub>
          <m:r>
            <m:rPr>
              <m:sty m:val="p"/>
            </m:rPr>
            <w:rPr>
              <w:rFonts w:ascii="Cambria Math" w:hAnsi="Cambria Math"/>
            </w:rPr>
            <m:t>=max(⌊</m:t>
          </m:r>
          <m:sSub>
            <m:sSubPr>
              <m:ctrlPr>
                <w:rPr>
                  <w:rFonts w:ascii="Cambria Math" w:hAnsi="Cambria Math"/>
                </w:rPr>
              </m:ctrlPr>
            </m:sSubPr>
            <m:e>
              <m:r>
                <w:rPr>
                  <w:rFonts w:ascii="Cambria Math" w:hAnsi="Cambria Math"/>
                </w:rPr>
                <m:t>n</m:t>
              </m:r>
            </m:e>
            <m:sub>
              <m:r>
                <m:rPr>
                  <m:nor/>
                </m:rPr>
                <m:t>samples</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A949C8E" w14:textId="77777777" w:rsidR="0055206D" w:rsidRPr="005F2829" w:rsidRDefault="00000000">
      <w:pPr>
        <w:pStyle w:val="FirstParagraph"/>
      </w:pPr>
      <w:r w:rsidRPr="005F2829">
        <w:lastRenderedPageBreak/>
        <w:t xml:space="preserve">where the quantile transformer maps each feature to a uniform distribution </w:t>
      </w:r>
      <m:oMath>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5F2829">
        <w:t xml:space="preserve"> using empirical quantiles. Following quantile transformation, SVD-based dimensionality expansion is applied:</w:t>
      </w:r>
    </w:p>
    <w:p w14:paraId="6246EFBE" w14:textId="77777777" w:rsidR="0055206D" w:rsidRPr="005F2829"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X</m:t>
              </m:r>
            </m:e>
            <m:sub>
              <m:r>
                <m:rPr>
                  <m:nor/>
                </m:rPr>
                <m:t>expanded</m:t>
              </m:r>
            </m:sub>
          </m:sSub>
          <m:r>
            <m:rPr>
              <m:sty m:val="p"/>
            </m:rPr>
            <w:rPr>
              <w:rFonts w:ascii="Cambria Math" w:hAnsi="Cambria Math"/>
            </w:rPr>
            <m:t>=</m:t>
          </m:r>
          <m:r>
            <m:rPr>
              <m:nor/>
            </m:rPr>
            <m:t>SVD</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m:rPr>
                  <m:nor/>
                </m:rPr>
                <m:t>quantile</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components</m:t>
              </m:r>
            </m:sub>
          </m:sSub>
          <m:r>
            <m:rPr>
              <m:sty m:val="p"/>
            </m:rPr>
            <w:rPr>
              <w:rFonts w:ascii="Cambria Math" w:hAnsi="Cambria Math"/>
            </w:rPr>
            <m:t>=min(</m:t>
          </m:r>
          <m:r>
            <w:rPr>
              <w:rFonts w:ascii="Cambria Math" w:hAnsi="Cambria Math"/>
            </w:rPr>
            <m:t>4</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5668250A" w14:textId="77777777" w:rsidR="0055206D" w:rsidRPr="005F2829" w:rsidRDefault="00000000">
      <w:pPr>
        <w:pStyle w:val="FirstParagraph"/>
      </w:pPr>
      <w:r w:rsidRPr="005F2829">
        <w:t>The final feature representation concatenates original and transformed features:</w:t>
      </w:r>
    </w:p>
    <w:p w14:paraId="7461C260" w14:textId="77777777" w:rsidR="0055206D" w:rsidRPr="005F2829"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x</m:t>
              </m:r>
            </m:e>
            <m:sub>
              <m:r>
                <m:rPr>
                  <m:nor/>
                </m:rPr>
                <m:t>final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m:rPr>
                  <m:nor/>
                </m:rPr>
                <m:t>original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m:rPr>
                  <m:nor/>
                </m:rPr>
                <m:t>quantile</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m:rPr>
                  <m:nor/>
                </m:rPr>
                <m:t>SVD</m:t>
              </m:r>
            </m:sub>
          </m:sSub>
          <m:r>
            <m:rPr>
              <m:sty m:val="p"/>
            </m:rPr>
            <w:rPr>
              <w:rFonts w:ascii="Cambria Math" w:hAnsi="Cambria Math"/>
            </w:rPr>
            <m:t>]</m:t>
          </m:r>
        </m:oMath>
      </m:oMathPara>
    </w:p>
    <w:p w14:paraId="656AE398" w14:textId="77777777" w:rsidR="0055206D" w:rsidRPr="005F2829" w:rsidRDefault="00000000">
      <w:pPr>
        <w:pStyle w:val="FirstParagraph"/>
      </w:pPr>
      <w:r w:rsidRPr="005F2829">
        <w:t>This increases dimensionality from 7 to 18 features (7 original + 7 quantile + 4 SVD), enhancing the model’s representational capacity.</w:t>
      </w:r>
    </w:p>
    <w:p w14:paraId="50AA2EAF" w14:textId="77777777" w:rsidR="0055206D" w:rsidRPr="005F2829" w:rsidRDefault="00000000">
      <w:pPr>
        <w:pStyle w:val="a0"/>
      </w:pPr>
      <w:r w:rsidRPr="005F2829">
        <w:rPr>
          <w:b/>
          <w:bCs/>
        </w:rPr>
        <w:t>Preserved Feature Transformation</w:t>
      </w:r>
      <w:r w:rsidRPr="005F2829">
        <w:t xml:space="preserve"> maintains raw feature distributions through identity transformation:</w:t>
      </w:r>
    </w:p>
    <w:p w14:paraId="2BCDE211" w14:textId="77777777" w:rsidR="0055206D" w:rsidRPr="005F2829"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x</m:t>
              </m:r>
            </m:e>
            <m:sub>
              <m:r>
                <m:rPr>
                  <m:nor/>
                </m:rPr>
                <m:t>preserved</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m:rPr>
                  <m:nor/>
                </m:rPr>
                <m:t>original</m:t>
              </m:r>
            </m:sub>
          </m:sSub>
        </m:oMath>
      </m:oMathPara>
    </w:p>
    <w:p w14:paraId="14666EA2" w14:textId="77777777" w:rsidR="0055206D" w:rsidRPr="005F2829" w:rsidRDefault="00000000">
      <w:pPr>
        <w:pStyle w:val="FirstParagraph"/>
      </w:pPr>
      <w:r w:rsidRPr="005F2829">
        <w:t>This maintains natural scale and distribution characteristics of clinical variables, resulting in unchanged 7-dimensional feature vectors. This configuration ensures that ensemble diversity encompasses both normalized and raw feature representations.</w:t>
      </w:r>
    </w:p>
    <w:p w14:paraId="38AF0921" w14:textId="77777777" w:rsidR="0055206D" w:rsidRPr="005F2829" w:rsidRDefault="00000000">
      <w:pPr>
        <w:pStyle w:val="3"/>
        <w:rPr>
          <w:rFonts w:cs="Times New Roman"/>
          <w:color w:val="000000" w:themeColor="text1"/>
        </w:rPr>
      </w:pPr>
      <w:bookmarkStart w:id="52" w:name="intelligent-categorical-encoding"/>
      <w:bookmarkEnd w:id="51"/>
      <w:r w:rsidRPr="005F2829">
        <w:rPr>
          <w:rFonts w:cs="Times New Roman"/>
          <w:color w:val="000000" w:themeColor="text1"/>
        </w:rPr>
        <w:t>Intelligent Categorical Encoding</w:t>
      </w:r>
    </w:p>
    <w:p w14:paraId="2DFE0D62" w14:textId="77777777" w:rsidR="0055206D" w:rsidRPr="005F2829" w:rsidRDefault="00000000">
      <w:pPr>
        <w:pStyle w:val="FirstParagraph"/>
      </w:pPr>
      <w:r w:rsidRPr="005F2829">
        <w:t>Categorical variable encoding represents a critical challenge in medical AI systems. The pipeline employs two distinct strategies:</w:t>
      </w:r>
    </w:p>
    <w:p w14:paraId="06542CA4" w14:textId="77777777" w:rsidR="0055206D" w:rsidRPr="005F2829" w:rsidRDefault="00000000">
      <w:pPr>
        <w:pStyle w:val="a0"/>
      </w:pPr>
      <w:r w:rsidRPr="005F2829">
        <w:rPr>
          <w:b/>
          <w:bCs/>
        </w:rPr>
        <w:t>Ordinal Encoding with Frequency Filtering</w:t>
      </w:r>
      <w:r w:rsidRPr="005F2829">
        <w:t xml:space="preserve"> applies selective ordinal encoding:</w:t>
      </w:r>
    </w:p>
    <w:p w14:paraId="6641405B" w14:textId="77777777" w:rsidR="0055206D" w:rsidRPr="005F2829" w:rsidRDefault="00000000">
      <w:pPr>
        <w:pStyle w:val="a0"/>
      </w:pPr>
      <m:oMathPara>
        <m:oMathParaPr>
          <m:jc m:val="center"/>
        </m:oMathParaPr>
        <m:oMath>
          <m:r>
            <m:rPr>
              <m:nor/>
            </m:rPr>
            <m:t>encode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e>
                  <m:e>
                    <m:r>
                      <m:rPr>
                        <m:nor/>
                      </m:rPr>
                      <m:t xml:space="preserve">if feature </m:t>
                    </m:r>
                    <m:r>
                      <w:rPr>
                        <w:rFonts w:ascii="Cambria Math" w:hAnsi="Cambria Math"/>
                      </w:rPr>
                      <m:t>j</m:t>
                    </m:r>
                    <m:r>
                      <m:rPr>
                        <m:nor/>
                      </m:rPr>
                      <m:t xml:space="preserve"> has frequently occurring categories</m:t>
                    </m:r>
                  </m:e>
                </m:mr>
                <m:mr>
                  <m:e>
                    <m:sSub>
                      <m:sSubPr>
                        <m:ctrlPr>
                          <w:rPr>
                            <w:rFonts w:ascii="Cambria Math" w:hAnsi="Cambria Math"/>
                          </w:rPr>
                        </m:ctrlPr>
                      </m:sSubPr>
                      <m:e>
                        <m:r>
                          <w:rPr>
                            <w:rFonts w:ascii="Cambria Math" w:hAnsi="Cambria Math"/>
                          </w:rPr>
                          <m:t>x</m:t>
                        </m:r>
                      </m:e>
                      <m:sub>
                        <m:r>
                          <w:rPr>
                            <w:rFonts w:ascii="Cambria Math" w:hAnsi="Cambria Math"/>
                          </w:rPr>
                          <m:t>ij</m:t>
                        </m:r>
                      </m:sub>
                    </m:sSub>
                  </m:e>
                  <m:e>
                    <m:r>
                      <m:rPr>
                        <m:nor/>
                      </m:rPr>
                      <m:t>otherwise</m:t>
                    </m:r>
                  </m:e>
                </m:mr>
              </m:m>
            </m:e>
          </m:d>
        </m:oMath>
      </m:oMathPara>
    </w:p>
    <w:p w14:paraId="704EC669" w14:textId="77777777" w:rsidR="0055206D" w:rsidRPr="005F2829" w:rsidRDefault="00000000">
      <w:pPr>
        <w:pStyle w:val="FirstParagraph"/>
      </w:pPr>
      <w:r w:rsidRPr="005F2829">
        <w:t xml:space="preserve">where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5F2829">
        <w:t xml:space="preserve"> represents the categorical value of feature </w:t>
      </w:r>
      <m:oMath>
        <m:r>
          <w:rPr>
            <w:rFonts w:ascii="Cambria Math" w:hAnsi="Cambria Math"/>
          </w:rPr>
          <m:t>j</m:t>
        </m:r>
      </m:oMath>
      <w:r w:rsidRPr="005F2829">
        <w:t xml:space="preserve"> for sample </w:t>
      </w:r>
      <m:oMath>
        <m:r>
          <w:rPr>
            <w:rFonts w:ascii="Cambria Math" w:hAnsi="Cambria Math"/>
          </w:rPr>
          <m:t>i</m:t>
        </m:r>
      </m:oMath>
      <w:r w:rsidRPr="005F2829">
        <w:t xml:space="preserve">, and frequently occurring categories are defined as features with individual category counts </w:t>
      </w:r>
      <m:oMath>
        <m:r>
          <m:rPr>
            <m:sty m:val="p"/>
          </m:rPr>
          <w:rPr>
            <w:rFonts w:ascii="Cambria Math" w:hAnsi="Cambria Math"/>
          </w:rPr>
          <m:t>≥</m:t>
        </m:r>
        <m:r>
          <w:rPr>
            <w:rFonts w:ascii="Cambria Math" w:hAnsi="Cambria Math"/>
          </w:rPr>
          <m:t>10</m:t>
        </m:r>
      </m:oMath>
      <w:r w:rsidRPr="005F2829">
        <w:t xml:space="preserve"> and total unique categories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m:rPr>
                <m:nor/>
              </m:rPr>
              <m:t>samples</m:t>
            </m:r>
          </m:sub>
        </m:sSub>
        <m:r>
          <m:rPr>
            <m:sty m:val="p"/>
          </m:rPr>
          <w:rPr>
            <w:rFonts w:ascii="Cambria Math" w:hAnsi="Cambria Math"/>
          </w:rPr>
          <m:t>/</m:t>
        </m:r>
        <m:r>
          <w:rPr>
            <w:rFonts w:ascii="Cambria Math" w:hAnsi="Cambria Math"/>
          </w:rPr>
          <m:t>10</m:t>
        </m:r>
      </m:oMath>
      <w:r w:rsidRPr="005F2829">
        <w:t>. The ordinal mapping employs randomized category-to-integer assignment for ensemble diversity:</w:t>
      </w:r>
    </w:p>
    <w:p w14:paraId="191EA4CE" w14:textId="77777777" w:rsidR="0055206D" w:rsidRPr="005F2829" w:rsidRDefault="00000000">
      <w:pPr>
        <w:pStyle w:val="a0"/>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47A533A6" w14:textId="77777777" w:rsidR="0055206D" w:rsidRPr="005F2829" w:rsidRDefault="00000000">
      <w:pPr>
        <w:pStyle w:val="FirstParagraph"/>
      </w:pPr>
      <w:r w:rsidRPr="005F2829">
        <w:t xml:space="preserve">where </w:t>
      </w:r>
      <m:oMath>
        <m:sSub>
          <m:sSubPr>
            <m:ctrlPr>
              <w:rPr>
                <w:rFonts w:ascii="Cambria Math" w:hAnsi="Cambria Math"/>
              </w:rPr>
            </m:ctrlPr>
          </m:sSubPr>
          <m:e>
            <m:r>
              <w:rPr>
                <w:rFonts w:ascii="Cambria Math" w:hAnsi="Cambria Math"/>
              </w:rPr>
              <m:t>ϕ</m:t>
            </m:r>
          </m:e>
          <m:sub>
            <m:r>
              <w:rPr>
                <w:rFonts w:ascii="Cambria Math" w:hAnsi="Cambria Math"/>
              </w:rPr>
              <m:t>j</m:t>
            </m:r>
          </m:sub>
        </m:sSub>
      </m:oMath>
      <w:r w:rsidRPr="005F2829">
        <w:t xml:space="preserve"> represents the ordinal mapping function for feature </w:t>
      </w:r>
      <m:oMath>
        <m:r>
          <w:rPr>
            <w:rFonts w:ascii="Cambria Math" w:hAnsi="Cambria Math"/>
          </w:rPr>
          <m:t>j</m:t>
        </m:r>
      </m:oMath>
      <w:r w:rsidRPr="005F2829">
        <w:t xml:space="preserve">, </w:t>
      </w:r>
      <m:oMath>
        <m:r>
          <w:rPr>
            <w:rFonts w:ascii="Cambria Math" w:hAnsi="Cambria Math"/>
          </w:rPr>
          <m:t>π</m:t>
        </m:r>
        <m:r>
          <m:rPr>
            <m:sty m:val="p"/>
          </m:rPr>
          <w:rPr>
            <w:rFonts w:ascii="Cambria Math" w:hAnsi="Cambria Math"/>
          </w:rPr>
          <m:t>(⋅)</m:t>
        </m:r>
      </m:oMath>
      <w:r w:rsidRPr="005F2829">
        <w:t xml:space="preserve"> denotes a random permutation operator, and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5F2829">
        <w:t xml:space="preserve"> is the set of unique categorical values in feature </w:t>
      </w:r>
      <m:oMath>
        <m:r>
          <w:rPr>
            <w:rFonts w:ascii="Cambria Math" w:hAnsi="Cambria Math"/>
          </w:rPr>
          <m:t>j</m:t>
        </m:r>
      </m:oMath>
      <w:r w:rsidRPr="005F2829">
        <w:t>.</w:t>
      </w:r>
    </w:p>
    <w:p w14:paraId="27BB45B7" w14:textId="77777777" w:rsidR="0055206D" w:rsidRPr="005F2829" w:rsidRDefault="00000000">
      <w:pPr>
        <w:pStyle w:val="a0"/>
      </w:pPr>
      <w:r w:rsidRPr="005F2829">
        <w:rPr>
          <w:b/>
          <w:bCs/>
        </w:rPr>
        <w:t>Numeric Treatment Strategy</w:t>
      </w:r>
      <w:r w:rsidRPr="005F2829">
        <w:t xml:space="preserve"> treats categorical features as continuous numeric values:</w:t>
      </w:r>
    </w:p>
    <w:p w14:paraId="566E5239" w14:textId="77777777" w:rsidR="0055206D" w:rsidRPr="005F2829" w:rsidRDefault="00000000">
      <w:pPr>
        <w:pStyle w:val="a0"/>
      </w:pPr>
      <m:oMathPara>
        <m:oMathParaPr>
          <m:jc m:val="center"/>
        </m:oMathParaPr>
        <m:oMath>
          <m:r>
            <m:rPr>
              <m:nor/>
            </m:rPr>
            <m:t>encode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m:rPr>
              <m:nor/>
            </m:rPr>
            <m:t>float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oMath>
      </m:oMathPara>
    </w:p>
    <w:p w14:paraId="61553F41" w14:textId="77777777" w:rsidR="0055206D" w:rsidRPr="005F2829" w:rsidRDefault="00000000">
      <w:pPr>
        <w:pStyle w:val="FirstParagraph"/>
      </w:pPr>
      <w:r w:rsidRPr="005F2829">
        <w:t>This approach enables direct processing of categorical variables through quantile transformations and other numerical operations, particularly effective for ordinal categorical variables with natural numeric interpretations.</w:t>
      </w:r>
    </w:p>
    <w:p w14:paraId="1E6885B2" w14:textId="77777777" w:rsidR="0055206D" w:rsidRPr="005F2829" w:rsidRDefault="00000000">
      <w:pPr>
        <w:pStyle w:val="a0"/>
      </w:pPr>
      <w:r w:rsidRPr="005F2829">
        <w:lastRenderedPageBreak/>
        <w:t>The complete 32-member ensemble integrates all preprocessing components through a systematic 4-branch design, with 8 ensemble members per branch differentiated through unique feature rotation patterns.</w:t>
      </w:r>
    </w:p>
    <w:p w14:paraId="2ADDB26A" w14:textId="77777777" w:rsidR="0055206D" w:rsidRPr="005F2829" w:rsidRDefault="00000000">
      <w:pPr>
        <w:pStyle w:val="2"/>
        <w:rPr>
          <w:rFonts w:ascii="Times New Roman" w:hAnsi="Times New Roman" w:cs="Times New Roman"/>
          <w:color w:val="000000" w:themeColor="text1"/>
        </w:rPr>
      </w:pPr>
      <w:bookmarkStart w:id="53" w:name="X2f4241f3f1bf816489d0996edb4bca714e7febd"/>
      <w:bookmarkEnd w:id="49"/>
      <w:bookmarkEnd w:id="52"/>
      <w:r w:rsidRPr="005F2829">
        <w:rPr>
          <w:rFonts w:ascii="Times New Roman" w:hAnsi="Times New Roman" w:cs="Times New Roman"/>
          <w:color w:val="000000" w:themeColor="text1"/>
        </w:rPr>
        <w:t>Recursive Feature Elimination with Foundation Models</w:t>
      </w:r>
    </w:p>
    <w:p w14:paraId="1612618E" w14:textId="77777777" w:rsidR="0055206D" w:rsidRPr="005F2829" w:rsidRDefault="00000000">
      <w:pPr>
        <w:pStyle w:val="3"/>
        <w:rPr>
          <w:rFonts w:cs="Times New Roman"/>
          <w:color w:val="000000" w:themeColor="text1"/>
        </w:rPr>
      </w:pPr>
      <w:bookmarkStart w:id="54" w:name="algorithm-overview"/>
      <w:r w:rsidRPr="005F2829">
        <w:rPr>
          <w:rFonts w:cs="Times New Roman"/>
          <w:color w:val="000000" w:themeColor="text1"/>
        </w:rPr>
        <w:t>Algorithm Overview</w:t>
      </w:r>
    </w:p>
    <w:p w14:paraId="5A353E48" w14:textId="77777777" w:rsidR="0055206D" w:rsidRPr="005F2829" w:rsidRDefault="00000000">
      <w:pPr>
        <w:pStyle w:val="FirstParagraph"/>
      </w:pPr>
      <w:r w:rsidRPr="005F2829">
        <w:t xml:space="preserve">Given a dataset </w:t>
      </w:r>
      <m:oMath>
        <m:r>
          <m:rPr>
            <m:scr m:val="script"/>
            <m:sty m:val="p"/>
          </m:rPr>
          <w:rPr>
            <w:rFonts w:ascii="Cambria Math" w:hAnsi="Cambria Math"/>
          </w:rPr>
          <m:t>D={(</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rsidRPr="005F2829">
        <w:t xml:space="preserve"> with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5F2829">
        <w:t xml:space="preserve"> and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5F2829">
        <w:t xml:space="preserve">, the RFE algorithm selects </w:t>
      </w:r>
      <m:oMath>
        <m:r>
          <w:rPr>
            <w:rFonts w:ascii="Cambria Math" w:hAnsi="Cambria Math"/>
          </w:rPr>
          <m:t>k</m:t>
        </m:r>
        <m:r>
          <m:rPr>
            <m:sty m:val="p"/>
          </m:rPr>
          <w:rPr>
            <w:rFonts w:ascii="Cambria Math" w:hAnsi="Cambria Math"/>
          </w:rPr>
          <m:t>&lt;</m:t>
        </m:r>
        <m:r>
          <w:rPr>
            <w:rFonts w:ascii="Cambria Math" w:hAnsi="Cambria Math"/>
          </w:rPr>
          <m:t>d</m:t>
        </m:r>
      </m:oMath>
      <w:r w:rsidRPr="005F2829">
        <w:t xml:space="preserve"> features by repeating the following steps:</w:t>
      </w:r>
    </w:p>
    <w:p w14:paraId="47A324C0" w14:textId="77777777" w:rsidR="0055206D" w:rsidRPr="005F2829" w:rsidRDefault="00000000">
      <w:pPr>
        <w:numPr>
          <w:ilvl w:val="0"/>
          <w:numId w:val="10"/>
        </w:numPr>
      </w:pPr>
      <w:r w:rsidRPr="005F2829">
        <w:t xml:space="preserve">Train the Pre-trained Tabular Foundation Model </w:t>
      </w:r>
      <m:oMath>
        <m:sSubSup>
          <m:sSubSupPr>
            <m:ctrlPr>
              <w:rPr>
                <w:rFonts w:ascii="Cambria Math" w:hAnsi="Cambria Math"/>
              </w:rPr>
            </m:ctrlPr>
          </m:sSubSupPr>
          <m:e>
            <m:r>
              <w:rPr>
                <w:rFonts w:ascii="Cambria Math" w:hAnsi="Cambria Math"/>
              </w:rPr>
              <m:t>f</m:t>
            </m:r>
          </m:e>
          <m:sub>
            <m:r>
              <m:rPr>
                <m:sty m:val="p"/>
              </m:rPr>
              <w:rPr>
                <w:rFonts w:ascii="Cambria Math" w:hAnsi="Cambria Math"/>
              </w:rPr>
              <m:t>Θ</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rsidRPr="005F2829">
        <w:t xml:space="preserve"> on the current feature subset </w:t>
      </w:r>
      <m:oMath>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sidRPr="005F2829">
        <w:t>.</w:t>
      </w:r>
    </w:p>
    <w:p w14:paraId="58C5B65C" w14:textId="77777777" w:rsidR="0055206D" w:rsidRPr="005F2829" w:rsidRDefault="00000000">
      <w:pPr>
        <w:numPr>
          <w:ilvl w:val="0"/>
          <w:numId w:val="10"/>
        </w:numPr>
      </w:pPr>
      <w:r w:rsidRPr="005F2829">
        <w:t xml:space="preserve">Estimate feature importance scores </w:t>
      </w:r>
      <m:oMath>
        <m:sSup>
          <m:sSupPr>
            <m:ctrlPr>
              <w:rPr>
                <w:rFonts w:ascii="Cambria Math" w:hAnsi="Cambria Math"/>
              </w:rPr>
            </m:ctrlPr>
          </m:sSupPr>
          <m:e>
            <m:r>
              <m:rPr>
                <m:sty m:val="b"/>
              </m:rPr>
              <w:rPr>
                <w:rFonts w:ascii="Cambria Math" w:hAnsi="Cambria Math"/>
              </w:rPr>
              <m:t>I</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2</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oMath>
      <w:r w:rsidRPr="005F2829">
        <w:t xml:space="preserve"> using permutation-based evaluation.</w:t>
      </w:r>
    </w:p>
    <w:p w14:paraId="33F1D4BE" w14:textId="77777777" w:rsidR="0055206D" w:rsidRPr="005F2829" w:rsidRDefault="00000000">
      <w:pPr>
        <w:numPr>
          <w:ilvl w:val="0"/>
          <w:numId w:val="10"/>
        </w:numPr>
      </w:pPr>
      <w:r w:rsidRPr="005F2829">
        <w:t>Eliminate the feature with the lowest importance score:</w:t>
      </w:r>
      <w:r w:rsidRPr="005F2829">
        <w:br/>
      </w:r>
      <m:oMath>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Sup>
          <m:sSubSupPr>
            <m:ctrlPr>
              <w:rPr>
                <w:rFonts w:ascii="Cambria Math" w:hAnsi="Cambria Math"/>
              </w:rPr>
            </m:ctrlPr>
          </m:sSubSupPr>
          <m:e>
            <m:r>
              <w:rPr>
                <w:rFonts w:ascii="Cambria Math" w:hAnsi="Cambria Math"/>
              </w:rPr>
              <m:t>I</m:t>
            </m:r>
          </m:e>
          <m:sub>
            <m:r>
              <w:rPr>
                <w:rFonts w:ascii="Cambria Math" w:hAnsi="Cambria Math"/>
              </w:rPr>
              <m:t>j</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oMath>
      <w:r w:rsidRPr="005F2829">
        <w:t>.</w:t>
      </w:r>
    </w:p>
    <w:p w14:paraId="5F7B5763" w14:textId="77777777" w:rsidR="0055206D" w:rsidRPr="005F2829" w:rsidRDefault="00000000">
      <w:pPr>
        <w:numPr>
          <w:ilvl w:val="0"/>
          <w:numId w:val="10"/>
        </w:numPr>
      </w:pPr>
      <w:r w:rsidRPr="005F2829">
        <w:t xml:space="preserve">Repeat until the target feature count </w:t>
      </w:r>
      <m:oMath>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k</m:t>
        </m:r>
      </m:oMath>
      <w:r w:rsidRPr="005F2829">
        <w:t xml:space="preserve"> is reached.</w:t>
      </w:r>
    </w:p>
    <w:p w14:paraId="19D44D0E" w14:textId="77777777" w:rsidR="0055206D" w:rsidRPr="005F2829" w:rsidRDefault="00000000">
      <w:pPr>
        <w:pStyle w:val="3"/>
        <w:rPr>
          <w:rFonts w:cs="Times New Roman"/>
          <w:color w:val="000000" w:themeColor="text1"/>
        </w:rPr>
      </w:pPr>
      <w:bookmarkStart w:id="55" w:name="permutation-importance-assessment"/>
      <w:bookmarkEnd w:id="54"/>
      <w:r w:rsidRPr="005F2829">
        <w:rPr>
          <w:rFonts w:cs="Times New Roman"/>
          <w:color w:val="000000" w:themeColor="text1"/>
        </w:rPr>
        <w:t>Permutation Importance Assessment</w:t>
      </w:r>
    </w:p>
    <w:p w14:paraId="009CCEA2" w14:textId="77777777" w:rsidR="0055206D" w:rsidRPr="005F2829" w:rsidRDefault="00000000">
      <w:pPr>
        <w:pStyle w:val="FirstParagraph"/>
      </w:pPr>
      <w:r w:rsidRPr="005F2829">
        <w:t xml:space="preserve">Feature importance is evaluated using permutation importance, a robust and model-agnostic metric. For a given feature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5F2829">
        <w:t>, its importance score is defined as the expected decrease in performance upon random shuffling:</w:t>
      </w:r>
    </w:p>
    <w:p w14:paraId="1AAFC757" w14:textId="77777777" w:rsidR="0055206D" w:rsidRPr="005F2829" w:rsidRDefault="00000000">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d>
                <m:dPr>
                  <m:begChr m:val="["/>
                  <m:endChr m:val="]"/>
                  <m:ctrlPr>
                    <w:rPr>
                      <w:rFonts w:ascii="Cambria Math" w:hAnsi="Cambria Math"/>
                    </w:rPr>
                  </m:ctrlPr>
                </m:dPr>
                <m:e>
                  <m:r>
                    <m:rPr>
                      <m:sty m:val="p"/>
                    </m:rPr>
                    <w:rPr>
                      <w:rFonts w:ascii="Cambria Math" w:hAnsi="Cambria Math"/>
                    </w:rPr>
                    <m:t>AUC(</m:t>
                  </m:r>
                  <m:sSub>
                    <m:sSubPr>
                      <m:ctrlPr>
                        <w:rPr>
                          <w:rFonts w:ascii="Cambria Math" w:hAnsi="Cambria Math"/>
                        </w:rPr>
                      </m:ctrlPr>
                    </m:sSubPr>
                    <m:e>
                      <m:r>
                        <w:rPr>
                          <w:rFonts w:ascii="Cambria Math" w:hAnsi="Cambria Math"/>
                        </w:rPr>
                        <m:t>f</m:t>
                      </m:r>
                    </m:e>
                    <m:sub>
                      <m:r>
                        <m:rPr>
                          <m:sty m:val="p"/>
                        </m:rPr>
                        <w:rPr>
                          <w:rFonts w:ascii="Cambria Math" w:hAnsi="Cambria Math"/>
                        </w:rPr>
                        <m:t>Θ</m:t>
                      </m:r>
                    </m:sub>
                  </m:sSub>
                  <m:r>
                    <m:rPr>
                      <m:scr m:val="script"/>
                      <m:sty m:val="p"/>
                    </m:rPr>
                    <w:rPr>
                      <w:rFonts w:ascii="Cambria Math" w:hAnsi="Cambria Math"/>
                    </w:rPr>
                    <m:t>,D</m:t>
                  </m:r>
                  <m:r>
                    <m:rPr>
                      <m:sty m:val="p"/>
                    </m:rPr>
                    <w:rPr>
                      <w:rFonts w:ascii="Cambria Math" w:hAnsi="Cambria Math"/>
                    </w:rPr>
                    <m:t>)-AUC(</m:t>
                  </m:r>
                  <m:sSub>
                    <m:sSubPr>
                      <m:ctrlPr>
                        <w:rPr>
                          <w:rFonts w:ascii="Cambria Math" w:hAnsi="Cambria Math"/>
                        </w:rPr>
                      </m:ctrlPr>
                    </m:sSubPr>
                    <m:e>
                      <m:r>
                        <w:rPr>
                          <w:rFonts w:ascii="Cambria Math" w:hAnsi="Cambria Math"/>
                        </w:rPr>
                        <m:t>f</m:t>
                      </m:r>
                    </m:e>
                    <m:sub>
                      <m:r>
                        <m:rPr>
                          <m:sty m:val="p"/>
                        </m:rPr>
                        <w:rPr>
                          <w:rFonts w:ascii="Cambria Math" w:hAnsi="Cambria Math"/>
                        </w:rPr>
                        <m:t>Θ</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D</m:t>
                      </m:r>
                    </m:e>
                    <m:sub>
                      <m:r>
                        <m:rPr>
                          <m:nor/>
                        </m:rPr>
                        <m:t>perm</m:t>
                      </m:r>
                      <m:r>
                        <m:rPr>
                          <m:sty m:val="p"/>
                        </m:rPr>
                        <w:rPr>
                          <w:rFonts w:ascii="Cambria Math" w:hAnsi="Cambria Math"/>
                        </w:rPr>
                        <m:t>(</m:t>
                      </m:r>
                      <m:r>
                        <w:rPr>
                          <w:rFonts w:ascii="Cambria Math" w:hAnsi="Cambria Math"/>
                        </w:rPr>
                        <m:t>j</m:t>
                      </m:r>
                      <m:r>
                        <m:rPr>
                          <m:sty m:val="p"/>
                        </m:rPr>
                        <w:rPr>
                          <w:rFonts w:ascii="Cambria Math" w:hAnsi="Cambria Math"/>
                        </w:rPr>
                        <m:t>)</m:t>
                      </m:r>
                    </m:sub>
                    <m:sup>
                      <m:r>
                        <m:rPr>
                          <m:sty m:val="p"/>
                        </m:rPr>
                        <w:rPr>
                          <w:rFonts w:ascii="Cambria Math" w:hAnsi="Cambria Math"/>
                        </w:rPr>
                        <m:t>(</m:t>
                      </m:r>
                      <m:r>
                        <w:rPr>
                          <w:rFonts w:ascii="Cambria Math" w:hAnsi="Cambria Math"/>
                        </w:rPr>
                        <m:t>r</m:t>
                      </m:r>
                      <m:r>
                        <m:rPr>
                          <m:sty m:val="p"/>
                        </m:rPr>
                        <w:rPr>
                          <w:rFonts w:ascii="Cambria Math" w:hAnsi="Cambria Math"/>
                        </w:rPr>
                        <m:t>)</m:t>
                      </m:r>
                    </m:sup>
                  </m:sSubSup>
                  <m:r>
                    <m:rPr>
                      <m:sty m:val="p"/>
                    </m:rPr>
                    <w:rPr>
                      <w:rFonts w:ascii="Cambria Math" w:hAnsi="Cambria Math"/>
                    </w:rPr>
                    <m:t>)</m:t>
                  </m:r>
                </m:e>
              </m:d>
            </m:e>
          </m:nary>
        </m:oMath>
      </m:oMathPara>
    </w:p>
    <w:p w14:paraId="647F07B5" w14:textId="77777777" w:rsidR="0055206D" w:rsidRPr="005F2829" w:rsidRDefault="00000000">
      <w:pPr>
        <w:pStyle w:val="FirstParagraph"/>
      </w:pPr>
      <w:r w:rsidRPr="005F2829">
        <w:t xml:space="preserve">where </w:t>
      </w:r>
      <m:oMath>
        <m:sSubSup>
          <m:sSubSupPr>
            <m:ctrlPr>
              <w:rPr>
                <w:rFonts w:ascii="Cambria Math" w:hAnsi="Cambria Math"/>
              </w:rPr>
            </m:ctrlPr>
          </m:sSubSupPr>
          <m:e>
            <m:r>
              <m:rPr>
                <m:scr m:val="script"/>
                <m:sty m:val="p"/>
              </m:rPr>
              <w:rPr>
                <w:rFonts w:ascii="Cambria Math" w:hAnsi="Cambria Math"/>
              </w:rPr>
              <m:t>D</m:t>
            </m:r>
          </m:e>
          <m:sub>
            <m:r>
              <m:rPr>
                <m:nor/>
              </m:rPr>
              <m:t>perm</m:t>
            </m:r>
            <m:r>
              <m:rPr>
                <m:sty m:val="p"/>
              </m:rPr>
              <w:rPr>
                <w:rFonts w:ascii="Cambria Math" w:hAnsi="Cambria Math"/>
              </w:rPr>
              <m:t>(</m:t>
            </m:r>
            <m:r>
              <w:rPr>
                <w:rFonts w:ascii="Cambria Math" w:hAnsi="Cambria Math"/>
              </w:rPr>
              <m:t>j</m:t>
            </m:r>
            <m:r>
              <m:rPr>
                <m:sty m:val="p"/>
              </m:rPr>
              <w:rPr>
                <w:rFonts w:ascii="Cambria Math" w:hAnsi="Cambria Math"/>
              </w:rPr>
              <m:t>)</m:t>
            </m:r>
          </m:sub>
          <m:sup>
            <m:r>
              <m:rPr>
                <m:sty m:val="p"/>
              </m:rPr>
              <w:rPr>
                <w:rFonts w:ascii="Cambria Math" w:hAnsi="Cambria Math"/>
              </w:rPr>
              <m:t>(</m:t>
            </m:r>
            <m:r>
              <w:rPr>
                <w:rFonts w:ascii="Cambria Math" w:hAnsi="Cambria Math"/>
              </w:rPr>
              <m:t>r</m:t>
            </m:r>
            <m:r>
              <m:rPr>
                <m:sty m:val="p"/>
              </m:rPr>
              <w:rPr>
                <w:rFonts w:ascii="Cambria Math" w:hAnsi="Cambria Math"/>
              </w:rPr>
              <m:t>)</m:t>
            </m:r>
          </m:sup>
        </m:sSubSup>
      </m:oMath>
      <w:r w:rsidRPr="005F2829">
        <w:t xml:space="preserve"> denotes the dataset with the </w:t>
      </w:r>
      <m:oMath>
        <m:r>
          <w:rPr>
            <w:rFonts w:ascii="Cambria Math" w:hAnsi="Cambria Math"/>
          </w:rPr>
          <m:t>j</m:t>
        </m:r>
      </m:oMath>
      <w:r w:rsidRPr="005F2829">
        <w:t xml:space="preserve">-th feature randomly permuted in the </w:t>
      </w:r>
      <m:oMath>
        <m:r>
          <w:rPr>
            <w:rFonts w:ascii="Cambria Math" w:hAnsi="Cambria Math"/>
          </w:rPr>
          <m:t>r</m:t>
        </m:r>
      </m:oMath>
      <w:r w:rsidRPr="005F2829">
        <w:t xml:space="preserve">-th repetition, and </w:t>
      </w:r>
      <m:oMath>
        <m:r>
          <w:rPr>
            <w:rFonts w:ascii="Cambria Math" w:hAnsi="Cambria Math"/>
          </w:rPr>
          <m:t>R</m:t>
        </m:r>
      </m:oMath>
      <w:r w:rsidRPr="005F2829">
        <w:t xml:space="preserve"> is the number of repetitions (we use </w:t>
      </w:r>
      <m:oMath>
        <m:r>
          <w:rPr>
            <w:rFonts w:ascii="Cambria Math" w:hAnsi="Cambria Math"/>
          </w:rPr>
          <m:t>R</m:t>
        </m:r>
        <m:r>
          <m:rPr>
            <m:sty m:val="p"/>
          </m:rPr>
          <w:rPr>
            <w:rFonts w:ascii="Cambria Math" w:hAnsi="Cambria Math"/>
          </w:rPr>
          <m:t>=</m:t>
        </m:r>
        <m:r>
          <w:rPr>
            <w:rFonts w:ascii="Cambria Math" w:hAnsi="Cambria Math"/>
          </w:rPr>
          <m:t>5</m:t>
        </m:r>
      </m:oMath>
      <w:r w:rsidRPr="005F2829">
        <w:t xml:space="preserve">). Larger </w:t>
      </w:r>
      <m:oMath>
        <m:sSub>
          <m:sSubPr>
            <m:ctrlPr>
              <w:rPr>
                <w:rFonts w:ascii="Cambria Math" w:hAnsi="Cambria Math"/>
              </w:rPr>
            </m:ctrlPr>
          </m:sSubPr>
          <m:e>
            <m:r>
              <w:rPr>
                <w:rFonts w:ascii="Cambria Math" w:hAnsi="Cambria Math"/>
              </w:rPr>
              <m:t>I</m:t>
            </m:r>
          </m:e>
          <m:sub>
            <m:r>
              <w:rPr>
                <w:rFonts w:ascii="Cambria Math" w:hAnsi="Cambria Math"/>
              </w:rPr>
              <m:t>j</m:t>
            </m:r>
          </m:sub>
        </m:sSub>
      </m:oMath>
      <w:r w:rsidRPr="005F2829">
        <w:t xml:space="preserve"> values indicate stronger influence on model predictions.</w:t>
      </w:r>
    </w:p>
    <w:p w14:paraId="78578B72" w14:textId="77777777" w:rsidR="0055206D" w:rsidRPr="005F2829" w:rsidRDefault="00000000">
      <w:pPr>
        <w:pStyle w:val="a0"/>
      </w:pPr>
      <w:r w:rsidRPr="005F2829">
        <w:t>This permutation-based approach is particularly suited to pre-trained foundation models, where gradient-based or weight-based importance scores are not directly interpretable due to multiple attention layers and ensemble components.</w:t>
      </w:r>
    </w:p>
    <w:p w14:paraId="518D9118" w14:textId="77777777" w:rsidR="0055206D" w:rsidRPr="005F2829" w:rsidRDefault="00000000">
      <w:pPr>
        <w:pStyle w:val="3"/>
        <w:rPr>
          <w:rFonts w:cs="Times New Roman"/>
          <w:color w:val="000000" w:themeColor="text1"/>
        </w:rPr>
      </w:pPr>
      <w:bookmarkStart w:id="56" w:name="multi-criteria-optimization"/>
      <w:bookmarkEnd w:id="55"/>
      <w:r w:rsidRPr="005F2829">
        <w:rPr>
          <w:rFonts w:cs="Times New Roman"/>
          <w:color w:val="000000" w:themeColor="text1"/>
        </w:rPr>
        <w:t>Multi-Criteria Optimization</w:t>
      </w:r>
    </w:p>
    <w:p w14:paraId="3F042926" w14:textId="77777777" w:rsidR="0055206D" w:rsidRPr="005F2829" w:rsidRDefault="00000000">
      <w:pPr>
        <w:pStyle w:val="FirstParagraph"/>
      </w:pPr>
      <w:r w:rsidRPr="005F2829">
        <w:t xml:space="preserve">Feature selection in medical applications requires balancing multiple competing objectives beyond simple predictive accuracy. Clinical deployment demands consideration of computational efficiency for real-time decision-making, performance stability across diverse patient populations, and model simplicity for clinical interpretability and regulatory compliance. Rather than optimizing for a single metric, </w:t>
      </w:r>
      <w:r w:rsidRPr="005F2829">
        <w:lastRenderedPageBreak/>
        <w:t>which may lead to suboptimal solutions that excel in one dimension while failing in others, we developed a principled multi-criteria optimization approach.</w:t>
      </w:r>
    </w:p>
    <w:p w14:paraId="1DAB7212" w14:textId="77777777" w:rsidR="0055206D" w:rsidRPr="005F2829" w:rsidRDefault="00000000">
      <w:pPr>
        <w:pStyle w:val="a0"/>
      </w:pPr>
      <w:r w:rsidRPr="005F2829">
        <w:t xml:space="preserve">To identify the globally optimal feature subset, we developed a comprehensive cost-effectiveness index that integrates multiple performance dimensions. Let </w:t>
      </w:r>
      <m:oMath>
        <m:r>
          <w:rPr>
            <w:rFonts w:ascii="Cambria Math" w:hAnsi="Cambria Math"/>
          </w:rPr>
          <m:t>n</m:t>
        </m:r>
      </m:oMath>
      <w:r w:rsidRPr="005F2829">
        <w:t xml:space="preserve"> denote the number of features in a given subset. The composite metric is defined as a weighted combination of four normalized scores:</w:t>
      </w:r>
    </w:p>
    <w:p w14:paraId="5543D928" w14:textId="77777777" w:rsidR="0055206D" w:rsidRPr="005F2829" w:rsidRDefault="00000000">
      <w:pPr>
        <w:pStyle w:val="a0"/>
      </w:pPr>
      <m:oMathPara>
        <m:oMathParaPr>
          <m:jc m:val="center"/>
        </m:oMathParaPr>
        <m:oMath>
          <m:r>
            <m:rPr>
              <m:nor/>
            </m:rPr>
            <m:t>CostEffectiveness</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perf</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eff</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stab</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simp</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26EEAB59" w14:textId="77777777" w:rsidR="0055206D" w:rsidRPr="005F2829" w:rsidRDefault="00000000">
      <w:pPr>
        <w:pStyle w:val="FirstParagraph"/>
      </w:pPr>
      <w:r w:rsidRPr="005F2829">
        <w:t xml:space="preserve">where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m:rPr>
            <m:sty m:val="p"/>
          </m:rPr>
          <w:rPr>
            <w:rFonts w:ascii="Cambria Math" w:hAnsi="Cambria Math"/>
          </w:rPr>
          <m:t>)=(</m:t>
        </m:r>
        <m:r>
          <w:rPr>
            <w:rFonts w:ascii="Cambria Math" w:hAnsi="Cambria Math"/>
          </w:rPr>
          <m:t>0.45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0.25</m:t>
        </m:r>
        <m:r>
          <m:rPr>
            <m:sty m:val="p"/>
          </m:rPr>
          <w:rPr>
            <w:rFonts w:ascii="Cambria Math" w:hAnsi="Cambria Math"/>
          </w:rPr>
          <m:t>)</m:t>
        </m:r>
      </m:oMath>
      <w:r w:rsidRPr="005F2829">
        <w:t xml:space="preserve"> represent theory-driven weights prioritizing performance for medical applications, with balanced consideration of stability, efficiency, and Occam’s Razor simplicity. Each component score is normalized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5F2829">
        <w:t xml:space="preserve"> as follows:</w:t>
      </w:r>
    </w:p>
    <w:p w14:paraId="2D304AAD" w14:textId="77777777" w:rsidR="0055206D" w:rsidRPr="005F2829" w:rsidRDefault="00000000">
      <w:pPr>
        <w:numPr>
          <w:ilvl w:val="0"/>
          <w:numId w:val="11"/>
        </w:numPr>
      </w:pPr>
      <w:r w:rsidRPr="005F2829">
        <w:rPr>
          <w:b/>
          <w:bCs/>
        </w:rPr>
        <w:t>Performance Score</w:t>
      </w:r>
      <w:r w:rsidRPr="005F2829">
        <w:t xml:space="preserve"> (</w:t>
      </w:r>
      <m:oMath>
        <m:sSub>
          <m:sSubPr>
            <m:ctrlPr>
              <w:rPr>
                <w:rFonts w:ascii="Cambria Math" w:hAnsi="Cambria Math"/>
              </w:rPr>
            </m:ctrlPr>
          </m:sSubPr>
          <m:e>
            <m:r>
              <w:rPr>
                <w:rFonts w:ascii="Cambria Math" w:hAnsi="Cambria Math"/>
              </w:rPr>
              <m:t>S</m:t>
            </m:r>
          </m:e>
          <m:sub>
            <m:r>
              <m:rPr>
                <m:nor/>
              </m:rPr>
              <m:t>perf</m:t>
            </m:r>
          </m:sub>
        </m:sSub>
      </m:oMath>
      <w:r w:rsidRPr="005F2829">
        <w:t>): A weighted combination of classification metrics:</w:t>
      </w:r>
    </w:p>
    <w:p w14:paraId="30ADA46B" w14:textId="77777777" w:rsidR="0055206D" w:rsidRPr="005F2829"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m:rPr>
                  <m:nor/>
                </m:rPr>
                <m:t>perf</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0.5</m:t>
          </m:r>
          <m:r>
            <m:rPr>
              <m:sty m:val="p"/>
            </m:rPr>
            <w:rPr>
              <w:rFonts w:ascii="Cambria Math" w:hAnsi="Cambria Math"/>
            </w:rPr>
            <m:t>⋅</m:t>
          </m:r>
          <m:r>
            <m:rPr>
              <m:nor/>
            </m:rPr>
            <m:t>AUC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0.3</m:t>
          </m:r>
          <m:r>
            <m:rPr>
              <m:sty m:val="p"/>
            </m:rPr>
            <w:rPr>
              <w:rFonts w:ascii="Cambria Math" w:hAnsi="Cambria Math"/>
            </w:rPr>
            <m:t>⋅</m:t>
          </m:r>
          <m:r>
            <m:rPr>
              <m:nor/>
            </m:rPr>
            <m:t>Accuracy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0.2</m:t>
          </m:r>
          <m:r>
            <m:rPr>
              <m:sty m:val="p"/>
            </m:rPr>
            <w:rPr>
              <w:rFonts w:ascii="Cambria Math" w:hAnsi="Cambria Math"/>
            </w:rPr>
            <m:t>⋅</m:t>
          </m:r>
          <m:r>
            <m:rPr>
              <m:nor/>
            </m:rPr>
            <m:t>F1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08960FC" w14:textId="77777777" w:rsidR="0055206D" w:rsidRPr="005F2829" w:rsidRDefault="00000000">
      <w:pPr>
        <w:numPr>
          <w:ilvl w:val="0"/>
          <w:numId w:val="11"/>
        </w:numPr>
      </w:pPr>
      <w:r w:rsidRPr="005F2829">
        <w:rPr>
          <w:b/>
          <w:bCs/>
        </w:rPr>
        <w:t>Efficiency Score</w:t>
      </w:r>
      <w:r w:rsidRPr="005F2829">
        <w:t xml:space="preserve"> (</w:t>
      </w:r>
      <m:oMath>
        <m:sSub>
          <m:sSubPr>
            <m:ctrlPr>
              <w:rPr>
                <w:rFonts w:ascii="Cambria Math" w:hAnsi="Cambria Math"/>
              </w:rPr>
            </m:ctrlPr>
          </m:sSubPr>
          <m:e>
            <m:r>
              <w:rPr>
                <w:rFonts w:ascii="Cambria Math" w:hAnsi="Cambria Math"/>
              </w:rPr>
              <m:t>S</m:t>
            </m:r>
          </m:e>
          <m:sub>
            <m:r>
              <m:rPr>
                <m:nor/>
              </m:rPr>
              <m:t>eff</m:t>
            </m:r>
          </m:sub>
        </m:sSub>
      </m:oMath>
      <w:r w:rsidRPr="005F2829">
        <w:t>): Training time efficiency, normalized using min-max scaling:</w:t>
      </w:r>
    </w:p>
    <w:p w14:paraId="015A5B4C" w14:textId="77777777" w:rsidR="0055206D" w:rsidRPr="005F2829"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m:rPr>
                  <m:nor/>
                </m:rPr>
                <m:t>eff</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min</m:t>
                  </m:r>
                </m:sub>
              </m:sSub>
            </m:den>
          </m:f>
        </m:oMath>
      </m:oMathPara>
    </w:p>
    <w:p w14:paraId="026D2B7C" w14:textId="77777777" w:rsidR="0055206D" w:rsidRPr="005F2829" w:rsidRDefault="00000000">
      <w:pPr>
        <w:numPr>
          <w:ilvl w:val="0"/>
          <w:numId w:val="2"/>
        </w:numPr>
      </w:pPr>
      <w:r w:rsidRPr="005F2829">
        <w:t xml:space="preserve">where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rsidRPr="005F2829">
        <w:t xml:space="preserve"> is the mean training time for </w:t>
      </w:r>
      <m:oMath>
        <m:r>
          <w:rPr>
            <w:rFonts w:ascii="Cambria Math" w:hAnsi="Cambria Math"/>
          </w:rPr>
          <m:t>n</m:t>
        </m:r>
      </m:oMath>
      <w:r w:rsidRPr="005F2829">
        <w:t xml:space="preserve"> features, and shorter training times yield higher scores.</w:t>
      </w:r>
    </w:p>
    <w:p w14:paraId="3129E25B" w14:textId="77777777" w:rsidR="0055206D" w:rsidRPr="005F2829" w:rsidRDefault="00000000">
      <w:pPr>
        <w:numPr>
          <w:ilvl w:val="0"/>
          <w:numId w:val="11"/>
        </w:numPr>
      </w:pPr>
      <w:r w:rsidRPr="005F2829">
        <w:rPr>
          <w:b/>
          <w:bCs/>
        </w:rPr>
        <w:t>Stability Score</w:t>
      </w:r>
      <w:r w:rsidRPr="005F2829">
        <w:t xml:space="preserve"> (</w:t>
      </w:r>
      <m:oMath>
        <m:sSub>
          <m:sSubPr>
            <m:ctrlPr>
              <w:rPr>
                <w:rFonts w:ascii="Cambria Math" w:hAnsi="Cambria Math"/>
              </w:rPr>
            </m:ctrlPr>
          </m:sSubPr>
          <m:e>
            <m:r>
              <w:rPr>
                <w:rFonts w:ascii="Cambria Math" w:hAnsi="Cambria Math"/>
              </w:rPr>
              <m:t>S</m:t>
            </m:r>
          </m:e>
          <m:sub>
            <m:r>
              <m:rPr>
                <m:nor/>
              </m:rPr>
              <m:t>stab</m:t>
            </m:r>
          </m:sub>
        </m:sSub>
      </m:oMath>
      <w:r w:rsidRPr="005F2829">
        <w:t>): Cross-validation consistency based on performance variance:</w:t>
      </w:r>
    </w:p>
    <w:p w14:paraId="2EDD85C7" w14:textId="77777777" w:rsidR="0055206D" w:rsidRPr="005F2829"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m:rPr>
                  <m:nor/>
                </m:rPr>
                <m:t>stab</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num>
            <m:den>
              <m:r>
                <w:rPr>
                  <w:rFonts w:ascii="Cambria Math" w:hAnsi="Cambria Math"/>
                </w:rPr>
                <m:t>C</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den>
          </m:f>
        </m:oMath>
      </m:oMathPara>
    </w:p>
    <w:p w14:paraId="0361DDC7" w14:textId="77777777" w:rsidR="0055206D" w:rsidRPr="005F2829" w:rsidRDefault="00000000">
      <w:pPr>
        <w:numPr>
          <w:ilvl w:val="0"/>
          <w:numId w:val="2"/>
        </w:numPr>
      </w:pPr>
      <w:r w:rsidRPr="005F2829">
        <w:t xml:space="preserve">where </w:t>
      </w:r>
      <m:oMath>
        <m:acc>
          <m:accPr>
            <m:chr m:val="‾"/>
            <m:ctrlPr>
              <w:rPr>
                <w:rFonts w:ascii="Cambria Math" w:hAnsi="Cambria Math"/>
              </w:rPr>
            </m:ctrlPr>
          </m:accPr>
          <m:e>
            <m:r>
              <w:rPr>
                <w:rFonts w:ascii="Cambria Math" w:hAnsi="Cambria Math"/>
              </w:rPr>
              <m:t>σ</m:t>
            </m:r>
          </m:e>
        </m:acc>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AUC</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Accuracy</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F1</m:t>
            </m:r>
          </m:sub>
        </m:sSub>
        <m:r>
          <m:rPr>
            <m:sty m:val="p"/>
          </m:rPr>
          <w:rPr>
            <w:rFonts w:ascii="Cambria Math" w:hAnsi="Cambria Math"/>
          </w:rPr>
          <m:t>(</m:t>
        </m:r>
        <m:r>
          <w:rPr>
            <w:rFonts w:ascii="Cambria Math" w:hAnsi="Cambria Math"/>
          </w:rPr>
          <m:t>n</m:t>
        </m:r>
        <m:r>
          <m:rPr>
            <m:sty m:val="p"/>
          </m:rPr>
          <w:rPr>
            <w:rFonts w:ascii="Cambria Math" w:hAnsi="Cambria Math"/>
          </w:rPr>
          <m:t>)]</m:t>
        </m:r>
      </m:oMath>
      <w:r w:rsidRPr="005F2829">
        <w:t xml:space="preserve"> is the average standard deviation across metrics.</w:t>
      </w:r>
    </w:p>
    <w:p w14:paraId="5C85D925" w14:textId="77777777" w:rsidR="0055206D" w:rsidRPr="005F2829" w:rsidRDefault="00000000">
      <w:pPr>
        <w:numPr>
          <w:ilvl w:val="0"/>
          <w:numId w:val="11"/>
        </w:numPr>
      </w:pPr>
      <w:r w:rsidRPr="005F2829">
        <w:rPr>
          <w:b/>
          <w:bCs/>
        </w:rPr>
        <w:t>Simplicity Score</w:t>
      </w:r>
      <w:r w:rsidRPr="005F2829">
        <w:t xml:space="preserve"> (</w:t>
      </w:r>
      <m:oMath>
        <m:sSub>
          <m:sSubPr>
            <m:ctrlPr>
              <w:rPr>
                <w:rFonts w:ascii="Cambria Math" w:hAnsi="Cambria Math"/>
              </w:rPr>
            </m:ctrlPr>
          </m:sSubPr>
          <m:e>
            <m:r>
              <w:rPr>
                <w:rFonts w:ascii="Cambria Math" w:hAnsi="Cambria Math"/>
              </w:rPr>
              <m:t>S</m:t>
            </m:r>
          </m:e>
          <m:sub>
            <m:r>
              <m:rPr>
                <m:nor/>
              </m:rPr>
              <m:t>simp</m:t>
            </m:r>
          </m:sub>
        </m:sSub>
      </m:oMath>
      <w:r w:rsidRPr="005F2829">
        <w:t>): Model complexity penalty following Occam’s Razor principle, implemented as an exponential decay function that naturally favors simpler models:</w:t>
      </w:r>
    </w:p>
    <w:p w14:paraId="15E84B54" w14:textId="77777777" w:rsidR="0055206D" w:rsidRPr="005F2829"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m:rPr>
                  <m:nor/>
                </m:rPr>
                <m:t>simp</m:t>
              </m:r>
            </m:sub>
          </m:sSub>
          <m:r>
            <m:rPr>
              <m:sty m:val="p"/>
            </m:rPr>
            <w:rPr>
              <w:rFonts w:ascii="Cambria Math" w:hAnsi="Cambria Math"/>
            </w:rPr>
            <m:t>(</m:t>
          </m:r>
          <m:r>
            <w:rPr>
              <w:rFonts w:ascii="Cambria Math" w:hAnsi="Cambria Math"/>
            </w:rPr>
            <m:t>n</m:t>
          </m:r>
          <m:r>
            <m:rPr>
              <m:sty m:val="p"/>
            </m:rPr>
            <w:rPr>
              <w:rFonts w:ascii="Cambria Math" w:hAnsi="Cambria Math"/>
            </w:rPr>
            <m:t>)=exp(-</m:t>
          </m:r>
          <m:r>
            <w:rPr>
              <w:rFonts w:ascii="Cambria Math" w:hAnsi="Cambria Math"/>
            </w:rPr>
            <m:t>α</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0B9EA073" w14:textId="77777777" w:rsidR="0055206D" w:rsidRPr="005F2829" w:rsidRDefault="00000000">
      <w:pPr>
        <w:numPr>
          <w:ilvl w:val="0"/>
          <w:numId w:val="2"/>
        </w:numPr>
      </w:pPr>
      <w:r w:rsidRPr="005F2829">
        <w:t xml:space="preserve">where </w:t>
      </w:r>
      <m:oMath>
        <m:r>
          <w:rPr>
            <w:rFonts w:ascii="Cambria Math" w:hAnsi="Cambria Math"/>
          </w:rPr>
          <m:t>α</m:t>
        </m:r>
        <m:r>
          <m:rPr>
            <m:sty m:val="p"/>
          </m:rPr>
          <w:rPr>
            <w:rFonts w:ascii="Cambria Math" w:hAnsi="Cambria Math"/>
          </w:rPr>
          <m:t>=</m:t>
        </m:r>
        <m:r>
          <w:rPr>
            <w:rFonts w:ascii="Cambria Math" w:hAnsi="Cambria Math"/>
          </w:rPr>
          <m:t>0.015</m:t>
        </m:r>
      </m:oMath>
      <w:r w:rsidRPr="005F2829">
        <w:t xml:space="preserve"> is the complexity penalty coefficient. This pure mathematical function ensures that fewer features always receive higher scores, strictly adhering to Occam’s Razor without arbitrary cutoffs or baseline assumptions.</w:t>
      </w:r>
    </w:p>
    <w:p w14:paraId="5F7E0177" w14:textId="77777777" w:rsidR="0055206D" w:rsidRPr="005F2829" w:rsidRDefault="00000000">
      <w:pPr>
        <w:pStyle w:val="FirstParagraph"/>
      </w:pPr>
      <w:r w:rsidRPr="005F2829">
        <w:t>The optimization problem becomes:</w:t>
      </w:r>
    </w:p>
    <w:p w14:paraId="000B1A16" w14:textId="77777777" w:rsidR="0055206D" w:rsidRPr="005F2829" w:rsidRDefault="00000000">
      <w:pPr>
        <w:pStyle w:val="a0"/>
      </w:pPr>
      <m:oMathPara>
        <m:oMathParaPr>
          <m:jc m:val="center"/>
        </m:oMathParaP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n</m:t>
              </m:r>
            </m:lim>
          </m:limLow>
          <m:r>
            <m:rPr>
              <m:nor/>
            </m:rPr>
            <m:t>CostEffectiveness</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44F46807" w14:textId="77777777" w:rsidR="0055206D" w:rsidRPr="005F2829" w:rsidRDefault="00000000">
      <w:pPr>
        <w:pStyle w:val="FirstParagraph"/>
      </w:pPr>
      <w:r w:rsidRPr="005F2829">
        <w:t>This multi-criteria optimization framework objectively determines the optimal feature subset while balancing all evaluation dimensions critical for medical deployment.</w:t>
      </w:r>
    </w:p>
    <w:p w14:paraId="6F47AA8F" w14:textId="77777777" w:rsidR="0055206D" w:rsidRPr="005F2829" w:rsidRDefault="00000000">
      <w:pPr>
        <w:pStyle w:val="2"/>
        <w:rPr>
          <w:rFonts w:ascii="Times New Roman" w:hAnsi="Times New Roman" w:cs="Times New Roman"/>
          <w:color w:val="000000" w:themeColor="text1"/>
        </w:rPr>
      </w:pPr>
      <w:bookmarkStart w:id="57" w:name="Xcb65f0e184de776d15b68c6f4ccb3cc76ca818a"/>
      <w:bookmarkEnd w:id="53"/>
      <w:bookmarkEnd w:id="56"/>
      <w:r w:rsidRPr="005F2829">
        <w:rPr>
          <w:rFonts w:ascii="Times New Roman" w:hAnsi="Times New Roman" w:cs="Times New Roman"/>
          <w:color w:val="000000" w:themeColor="text1"/>
        </w:rPr>
        <w:t>Transfer Component Analysis for Domain Adaptation</w:t>
      </w:r>
    </w:p>
    <w:p w14:paraId="2B672B82" w14:textId="77777777" w:rsidR="0055206D" w:rsidRPr="005F2829" w:rsidRDefault="00000000">
      <w:pPr>
        <w:pStyle w:val="3"/>
        <w:rPr>
          <w:rFonts w:cs="Times New Roman"/>
          <w:color w:val="000000" w:themeColor="text1"/>
        </w:rPr>
      </w:pPr>
      <w:bookmarkStart w:id="58" w:name="Xd02367b938c9b186723bdb48ab306f168f79b03"/>
      <w:r w:rsidRPr="005F2829">
        <w:rPr>
          <w:rFonts w:cs="Times New Roman"/>
          <w:color w:val="000000" w:themeColor="text1"/>
        </w:rPr>
        <w:t>Mathematical Framework and Domain Alignment</w:t>
      </w:r>
    </w:p>
    <w:p w14:paraId="2FFCE1EF" w14:textId="77777777" w:rsidR="0055206D" w:rsidRPr="005F2829" w:rsidRDefault="00000000">
      <w:pPr>
        <w:pStyle w:val="FirstParagraph"/>
      </w:pPr>
      <w:r w:rsidRPr="005F2829">
        <w:t>TCA projects both source and target domain data into a shared latent subspace where their marginal distributions are statistically aligned while preserving discriminative information.</w:t>
      </w:r>
    </w:p>
    <w:p w14:paraId="13746126" w14:textId="77777777" w:rsidR="0055206D" w:rsidRPr="005F2829" w:rsidRDefault="00000000">
      <w:pPr>
        <w:pStyle w:val="a0"/>
      </w:pPr>
      <w:r w:rsidRPr="005F2829">
        <w:t xml:space="preserve">Let </w:t>
      </w:r>
      <m:oMath>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rsidRPr="005F2829">
        <w:t xml:space="preserve"> and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d</m:t>
            </m:r>
          </m:sup>
        </m:sSup>
      </m:oMath>
      <w:r w:rsidRPr="005F2829">
        <w:t xml:space="preserve"> denote the source and target domain feature matrices, with </w:t>
      </w:r>
      <m:oMath>
        <m:r>
          <w:rPr>
            <w:rFonts w:ascii="Cambria Math" w:hAnsi="Cambria Math"/>
          </w:rPr>
          <m:t>n</m:t>
        </m:r>
        <m:r>
          <m:rPr>
            <m:sty m:val="p"/>
          </m:rPr>
          <w:rPr>
            <w:rFonts w:ascii="Cambria Math" w:hAnsi="Cambria Math"/>
          </w:rPr>
          <m:t>+</m:t>
        </m:r>
        <m:r>
          <w:rPr>
            <w:rFonts w:ascii="Cambria Math" w:hAnsi="Cambria Math"/>
          </w:rPr>
          <m:t>m</m:t>
        </m:r>
      </m:oMath>
      <w:r w:rsidRPr="005F2829">
        <w:t xml:space="preserve"> total samples and </w:t>
      </w:r>
      <m:oMath>
        <m:r>
          <w:rPr>
            <w:rFonts w:ascii="Cambria Math" w:hAnsi="Cambria Math"/>
          </w:rPr>
          <m:t>d</m:t>
        </m:r>
      </m:oMath>
      <w:r w:rsidRPr="005F2829">
        <w:t xml:space="preserve">-dimensional features. TCA constructs a combined kernel matrix </w:t>
      </w:r>
      <m:oMath>
        <m:r>
          <w:rPr>
            <w:rFonts w:ascii="Cambria Math" w:hAnsi="Cambria Math"/>
          </w:rPr>
          <m:t>K</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up>
        </m:sSup>
      </m:oMath>
      <w:r w:rsidRPr="005F2829">
        <w:t xml:space="preserve"> using a linear kernel for computational efficiency:</w:t>
      </w:r>
    </w:p>
    <w:p w14:paraId="72BFA1AE" w14:textId="77777777" w:rsidR="0055206D" w:rsidRPr="005F2829" w:rsidRDefault="00000000">
      <w:pPr>
        <w:pStyle w:val="a0"/>
      </w:pPr>
      <m:oMathPara>
        <m:oMathParaPr>
          <m:jc m:val="center"/>
        </m:oMathParaP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3CAA76DD" w14:textId="77777777" w:rsidR="0055206D" w:rsidRPr="005F2829" w:rsidRDefault="00000000">
      <w:pPr>
        <w:pStyle w:val="FirstParagraph"/>
      </w:pPr>
      <w:r w:rsidRPr="005F2829">
        <w:t xml:space="preserve">The composite kernel </w:t>
      </w:r>
      <m:oMath>
        <m:r>
          <w:rPr>
            <w:rFonts w:ascii="Cambria Math" w:hAnsi="Cambria Math"/>
          </w:rPr>
          <m:t>K</m:t>
        </m:r>
      </m:oMath>
      <w:r w:rsidRPr="005F2829">
        <w:t xml:space="preserve"> is partitioned as:</w:t>
      </w:r>
    </w:p>
    <w:p w14:paraId="729ED047" w14:textId="77777777" w:rsidR="0055206D" w:rsidRPr="005F2829" w:rsidRDefault="00000000">
      <w:pPr>
        <w:pStyle w:val="a0"/>
      </w:pPr>
      <m:oMathPara>
        <m:oMathParaPr>
          <m:jc m:val="center"/>
        </m:oMathParaPr>
        <m:oMath>
          <m:r>
            <w:rPr>
              <w:rFonts w:ascii="Cambria Math" w:hAnsi="Cambria Math"/>
            </w:rPr>
            <m:t>K</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ss</m:t>
                        </m:r>
                      </m:sub>
                    </m:sSub>
                  </m:e>
                  <m:e>
                    <m:sSub>
                      <m:sSubPr>
                        <m:ctrlPr>
                          <w:rPr>
                            <w:rFonts w:ascii="Cambria Math" w:hAnsi="Cambria Math"/>
                          </w:rPr>
                        </m:ctrlPr>
                      </m:sSubPr>
                      <m:e>
                        <m:r>
                          <w:rPr>
                            <w:rFonts w:ascii="Cambria Math" w:hAnsi="Cambria Math"/>
                          </w:rPr>
                          <m:t>K</m:t>
                        </m:r>
                      </m:e>
                      <m:sub>
                        <m:r>
                          <w:rPr>
                            <w:rFonts w:ascii="Cambria Math" w:hAnsi="Cambria Math"/>
                          </w:rPr>
                          <m:t>st</m:t>
                        </m:r>
                      </m:sub>
                    </m:sSub>
                  </m:e>
                </m:mr>
                <m:mr>
                  <m:e>
                    <m:sSub>
                      <m:sSubPr>
                        <m:ctrlPr>
                          <w:rPr>
                            <w:rFonts w:ascii="Cambria Math" w:hAnsi="Cambria Math"/>
                          </w:rPr>
                        </m:ctrlPr>
                      </m:sSubPr>
                      <m:e>
                        <m:r>
                          <w:rPr>
                            <w:rFonts w:ascii="Cambria Math" w:hAnsi="Cambria Math"/>
                          </w:rPr>
                          <m:t>K</m:t>
                        </m:r>
                      </m:e>
                      <m:sub>
                        <m:r>
                          <w:rPr>
                            <w:rFonts w:ascii="Cambria Math" w:hAnsi="Cambria Math"/>
                          </w:rPr>
                          <m:t>ts</m:t>
                        </m:r>
                      </m:sub>
                    </m:sSub>
                  </m:e>
                  <m:e>
                    <m:sSub>
                      <m:sSubPr>
                        <m:ctrlPr>
                          <w:rPr>
                            <w:rFonts w:ascii="Cambria Math" w:hAnsi="Cambria Math"/>
                          </w:rPr>
                        </m:ctrlPr>
                      </m:sSubPr>
                      <m:e>
                        <m:r>
                          <w:rPr>
                            <w:rFonts w:ascii="Cambria Math" w:hAnsi="Cambria Math"/>
                          </w:rPr>
                          <m:t>K</m:t>
                        </m:r>
                      </m:e>
                      <m:sub>
                        <m:r>
                          <w:rPr>
                            <w:rFonts w:ascii="Cambria Math" w:hAnsi="Cambria Math"/>
                          </w:rPr>
                          <m:t>tt</m:t>
                        </m:r>
                      </m:sub>
                    </m:sSub>
                  </m:e>
                </m:mr>
              </m:m>
            </m:e>
          </m:d>
          <m:r>
            <m:rPr>
              <m:sty m:val="p"/>
            </m:rPr>
            <w:rPr>
              <w:rFonts w:ascii="Cambria Math" w:hAnsi="Cambria Math"/>
            </w:rPr>
            <m:t>,</m:t>
          </m:r>
        </m:oMath>
      </m:oMathPara>
    </w:p>
    <w:p w14:paraId="51A92562" w14:textId="77777777" w:rsidR="0055206D" w:rsidRPr="005F2829" w:rsidRDefault="00000000">
      <w:pPr>
        <w:pStyle w:val="FirstParagraph"/>
      </w:pPr>
      <w:r w:rsidRPr="005F2829">
        <w:t xml:space="preserve">where </w:t>
      </w:r>
      <m:oMath>
        <m:sSub>
          <m:sSubPr>
            <m:ctrlPr>
              <w:rPr>
                <w:rFonts w:ascii="Cambria Math" w:hAnsi="Cambria Math"/>
              </w:rPr>
            </m:ctrlPr>
          </m:sSubPr>
          <m:e>
            <m:r>
              <w:rPr>
                <w:rFonts w:ascii="Cambria Math" w:hAnsi="Cambria Math"/>
              </w:rPr>
              <m:t>K</m:t>
            </m:r>
          </m:e>
          <m:sub>
            <m:r>
              <w:rPr>
                <w:rFonts w:ascii="Cambria Math" w:hAnsi="Cambria Math"/>
              </w:rPr>
              <m:t>ss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oMath>
      <w:r w:rsidRPr="005F2829">
        <w:t xml:space="preserve">, </w:t>
      </w:r>
      <m:oMath>
        <m:sSub>
          <m:sSubPr>
            <m:ctrlPr>
              <w:rPr>
                <w:rFonts w:ascii="Cambria Math" w:hAnsi="Cambria Math"/>
              </w:rPr>
            </m:ctrlPr>
          </m:sSubPr>
          <m:e>
            <m:r>
              <w:rPr>
                <w:rFonts w:ascii="Cambria Math" w:hAnsi="Cambria Math"/>
              </w:rPr>
              <m:t>K</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oMath>
      <w:r w:rsidRPr="005F2829">
        <w:t xml:space="preserve">, and </w:t>
      </w:r>
      <m:oMath>
        <m:sSub>
          <m:sSubPr>
            <m:ctrlPr>
              <w:rPr>
                <w:rFonts w:ascii="Cambria Math" w:hAnsi="Cambria Math"/>
              </w:rPr>
            </m:ctrlPr>
          </m:sSubPr>
          <m:e>
            <m:r>
              <w:rPr>
                <w:rFonts w:ascii="Cambria Math" w:hAnsi="Cambria Math"/>
              </w:rPr>
              <m:t>K</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oMath>
      <w:r w:rsidRPr="005F2829">
        <w:t>.</w:t>
      </w:r>
    </w:p>
    <w:p w14:paraId="610C0887" w14:textId="77777777" w:rsidR="0055206D" w:rsidRPr="005F2829" w:rsidRDefault="00000000">
      <w:pPr>
        <w:pStyle w:val="a0"/>
      </w:pPr>
      <w:r w:rsidRPr="005F2829">
        <w:t xml:space="preserve">A projection matrix </w:t>
      </w:r>
      <m:oMath>
        <m: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sup>
        </m:sSup>
      </m:oMath>
      <w:r w:rsidRPr="005F2829">
        <w:t xml:space="preserve"> is learned by solving:</w:t>
      </w:r>
    </w:p>
    <w:p w14:paraId="25AFFA69" w14:textId="77777777" w:rsidR="0055206D" w:rsidRPr="005F2829"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 </m:t>
          </m:r>
          <m:r>
            <m:rPr>
              <m:sty m:val="p"/>
            </m:rPr>
            <w:rPr>
              <w:rFonts w:ascii="Cambria Math" w:hAnsi="Cambria Math"/>
            </w:rPr>
            <m:t>tr(</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KL</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W</m:t>
          </m:r>
          <m:r>
            <m:rPr>
              <m:sty m:val="p"/>
            </m:rPr>
            <w:rPr>
              <w:rFonts w:ascii="Cambria Math" w:hAnsi="Cambria Math"/>
            </w:rPr>
            <m:t>)+</m:t>
          </m:r>
          <m:r>
            <w:rPr>
              <w:rFonts w:ascii="Cambria Math" w:hAnsi="Cambria Math"/>
            </w:rPr>
            <m:t>μ</m:t>
          </m:r>
          <m:r>
            <m:rPr>
              <m:sty m:val="p"/>
            </m:rPr>
            <w:rPr>
              <w:rFonts w:ascii="Cambria Math" w:hAnsi="Cambria Math"/>
            </w:rPr>
            <m:t>⋅tr(</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KH</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W</m:t>
          </m:r>
          <m:r>
            <m:rPr>
              <m:sty m:val="p"/>
            </m:rPr>
            <w:rPr>
              <w:rFonts w:ascii="Cambria Math" w:hAnsi="Cambria Math"/>
            </w:rPr>
            <m:t>),</m:t>
          </m:r>
        </m:oMath>
      </m:oMathPara>
    </w:p>
    <w:p w14:paraId="6B26600A" w14:textId="77777777" w:rsidR="0055206D" w:rsidRPr="005F2829" w:rsidRDefault="00000000">
      <w:pPr>
        <w:pStyle w:val="FirstParagraph"/>
      </w:pPr>
      <w:r w:rsidRPr="005F2829">
        <w:t xml:space="preserve">where </w:t>
      </w:r>
      <m:oMath>
        <m:r>
          <w:rPr>
            <w:rFonts w:ascii="Cambria Math" w:hAnsi="Cambria Math"/>
          </w:rPr>
          <m:t>L</m:t>
        </m:r>
      </m:oMath>
      <w:r w:rsidRPr="005F2829">
        <w:t xml:space="preserve"> is a domain alignment matrix based on maximum mean discrepancy (MMD), </w:t>
      </w:r>
      <m:oMath>
        <m:r>
          <w:rPr>
            <w:rFonts w:ascii="Cambria Math" w:hAnsi="Cambria Math"/>
          </w:rPr>
          <m:t>H</m:t>
        </m:r>
      </m:oMath>
      <w:r w:rsidRPr="005F2829">
        <w:t xml:space="preserve"> is a centering matrix, and </w:t>
      </w:r>
      <m:oMath>
        <m:r>
          <w:rPr>
            <w:rFonts w:ascii="Cambria Math" w:hAnsi="Cambria Math"/>
          </w:rPr>
          <m:t>μ</m:t>
        </m:r>
        <m:r>
          <m:rPr>
            <m:sty m:val="p"/>
          </m:rPr>
          <w:rPr>
            <w:rFonts w:ascii="Cambria Math" w:hAnsi="Cambria Math"/>
          </w:rPr>
          <m:t>&gt;</m:t>
        </m:r>
        <m:r>
          <w:rPr>
            <w:rFonts w:ascii="Cambria Math" w:hAnsi="Cambria Math"/>
          </w:rPr>
          <m:t>0</m:t>
        </m:r>
      </m:oMath>
      <w:r w:rsidRPr="005F2829">
        <w:t xml:space="preserve"> is a regularization coefficient.</w:t>
      </w:r>
    </w:p>
    <w:p w14:paraId="3A3F4DEE" w14:textId="77777777" w:rsidR="0055206D" w:rsidRPr="005F2829" w:rsidRDefault="00000000">
      <w:pPr>
        <w:pStyle w:val="3"/>
        <w:rPr>
          <w:rFonts w:cs="Times New Roman"/>
          <w:color w:val="000000" w:themeColor="text1"/>
        </w:rPr>
      </w:pPr>
      <w:bookmarkStart w:id="59" w:name="domain-alignment-and-centering-matrices"/>
      <w:bookmarkEnd w:id="58"/>
      <w:r w:rsidRPr="005F2829">
        <w:rPr>
          <w:rFonts w:cs="Times New Roman"/>
          <w:color w:val="000000" w:themeColor="text1"/>
        </w:rPr>
        <w:t>Domain Alignment and Centering Matrices</w:t>
      </w:r>
    </w:p>
    <w:p w14:paraId="299D6553" w14:textId="77777777" w:rsidR="0055206D" w:rsidRPr="005F2829" w:rsidRDefault="00000000">
      <w:pPr>
        <w:pStyle w:val="FirstParagraph"/>
      </w:pPr>
      <w:r w:rsidRPr="005F2829">
        <w:t xml:space="preserve">The alignment matrix </w:t>
      </w:r>
      <m:oMath>
        <m:r>
          <w:rPr>
            <w:rFonts w:ascii="Cambria Math" w:hAnsi="Cambria Math"/>
          </w:rPr>
          <m:t>L</m:t>
        </m:r>
      </m:oMath>
      <w:r w:rsidRPr="005F2829">
        <w:t xml:space="preserve"> encourages samples from different domains to align while preserving within-domain relationships:</w:t>
      </w:r>
    </w:p>
    <w:p w14:paraId="1644EE08" w14:textId="77777777" w:rsidR="0055206D" w:rsidRPr="005F2829" w:rsidRDefault="00000000">
      <w:pPr>
        <w:pStyle w:val="a0"/>
      </w:pPr>
      <m:oMathPara>
        <m:oMathParaPr>
          <m:jc m:val="center"/>
        </m:oMathParaPr>
        <m:oMath>
          <m:r>
            <w:rPr>
              <w:rFonts w:ascii="Cambria Math" w:hAnsi="Cambria Math"/>
            </w:rPr>
            <m:t>L</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r>
                              <w:rPr>
                                <w:rFonts w:ascii="Cambria Math" w:hAnsi="Cambria Math"/>
                              </w:rPr>
                              <m:t>2</m:t>
                            </m:r>
                          </m:sup>
                        </m:sSup>
                      </m:den>
                    </m:f>
                    <m:sSub>
                      <m:sSubPr>
                        <m:ctrlPr>
                          <w:rPr>
                            <w:rFonts w:ascii="Cambria Math" w:hAnsi="Cambria Math"/>
                          </w:rPr>
                        </m:ctrlPr>
                      </m:sSubPr>
                      <m:e>
                        <m:r>
                          <m:rPr>
                            <m:sty m:val="b"/>
                          </m:rPr>
                          <w:rPr>
                            <w:rFonts w:ascii="Cambria Math" w:hAnsi="Cambria Math"/>
                          </w:rPr>
                          <m:t>1</m:t>
                        </m:r>
                      </m:e>
                      <m:sub>
                        <m:r>
                          <w:rPr>
                            <w:rFonts w:ascii="Cambria Math" w:hAnsi="Cambria Math"/>
                          </w:rPr>
                          <m:t>n</m:t>
                        </m:r>
                        <m:r>
                          <m:rPr>
                            <m:sty m:val="p"/>
                          </m:rPr>
                          <w:rPr>
                            <w:rFonts w:ascii="Cambria Math" w:hAnsi="Cambria Math"/>
                          </w:rPr>
                          <m:t>×</m:t>
                        </m:r>
                        <m:r>
                          <w:rPr>
                            <w:rFonts w:ascii="Cambria Math" w:hAnsi="Cambria Math"/>
                          </w:rPr>
                          <m:t>n</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m:t>
                        </m:r>
                      </m:den>
                    </m:f>
                    <m:sSub>
                      <m:sSubPr>
                        <m:ctrlPr>
                          <w:rPr>
                            <w:rFonts w:ascii="Cambria Math" w:hAnsi="Cambria Math"/>
                          </w:rPr>
                        </m:ctrlPr>
                      </m:sSubPr>
                      <m:e>
                        <m:r>
                          <m:rPr>
                            <m:sty m:val="b"/>
                          </m:rPr>
                          <w:rPr>
                            <w:rFonts w:ascii="Cambria Math" w:hAnsi="Cambria Math"/>
                          </w:rPr>
                          <m:t>1</m:t>
                        </m:r>
                      </m:e>
                      <m:sub>
                        <m:r>
                          <w:rPr>
                            <w:rFonts w:ascii="Cambria Math" w:hAnsi="Cambria Math"/>
                          </w:rPr>
                          <m:t>n</m:t>
                        </m:r>
                        <m:r>
                          <m:rPr>
                            <m:sty m:val="p"/>
                          </m:rPr>
                          <w:rPr>
                            <w:rFonts w:ascii="Cambria Math" w:hAnsi="Cambria Math"/>
                          </w:rPr>
                          <m:t>×</m:t>
                        </m:r>
                        <m:r>
                          <w:rPr>
                            <w:rFonts w:ascii="Cambria Math" w:hAnsi="Cambria Math"/>
                          </w:rPr>
                          <m:t>m</m:t>
                        </m:r>
                      </m:sub>
                    </m:sSub>
                  </m:e>
                </m:mr>
                <m:m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m:t>
                        </m:r>
                      </m:den>
                    </m:f>
                    <m:sSub>
                      <m:sSubPr>
                        <m:ctrlPr>
                          <w:rPr>
                            <w:rFonts w:ascii="Cambria Math" w:hAnsi="Cambria Math"/>
                          </w:rPr>
                        </m:ctrlPr>
                      </m:sSubPr>
                      <m:e>
                        <m:r>
                          <m:rPr>
                            <m:sty m:val="b"/>
                          </m:rPr>
                          <w:rPr>
                            <w:rFonts w:ascii="Cambria Math" w:hAnsi="Cambria Math"/>
                          </w:rPr>
                          <m:t>1</m:t>
                        </m:r>
                      </m:e>
                      <m:sub>
                        <m:r>
                          <w:rPr>
                            <w:rFonts w:ascii="Cambria Math" w:hAnsi="Cambria Math"/>
                          </w:rPr>
                          <m:t>m</m:t>
                        </m:r>
                        <m:r>
                          <m:rPr>
                            <m:sty m:val="p"/>
                          </m:rPr>
                          <w:rPr>
                            <w:rFonts w:ascii="Cambria Math" w:hAnsi="Cambria Math"/>
                          </w:rPr>
                          <m:t>×</m:t>
                        </m:r>
                        <m:r>
                          <w:rPr>
                            <w:rFonts w:ascii="Cambria Math" w:hAnsi="Cambria Math"/>
                          </w:rPr>
                          <m:t>n</m:t>
                        </m:r>
                      </m:sub>
                    </m:sSub>
                  </m:e>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m</m:t>
                            </m:r>
                          </m:e>
                          <m:sup>
                            <m:r>
                              <w:rPr>
                                <w:rFonts w:ascii="Cambria Math" w:hAnsi="Cambria Math"/>
                              </w:rPr>
                              <m:t>2</m:t>
                            </m:r>
                          </m:sup>
                        </m:sSup>
                      </m:den>
                    </m:f>
                    <m:sSub>
                      <m:sSubPr>
                        <m:ctrlPr>
                          <w:rPr>
                            <w:rFonts w:ascii="Cambria Math" w:hAnsi="Cambria Math"/>
                          </w:rPr>
                        </m:ctrlPr>
                      </m:sSubPr>
                      <m:e>
                        <m:r>
                          <m:rPr>
                            <m:sty m:val="b"/>
                          </m:rPr>
                          <w:rPr>
                            <w:rFonts w:ascii="Cambria Math" w:hAnsi="Cambria Math"/>
                          </w:rPr>
                          <m:t>1</m:t>
                        </m:r>
                      </m:e>
                      <m:sub>
                        <m:r>
                          <w:rPr>
                            <w:rFonts w:ascii="Cambria Math" w:hAnsi="Cambria Math"/>
                          </w:rPr>
                          <m:t>m</m:t>
                        </m:r>
                        <m:r>
                          <m:rPr>
                            <m:sty m:val="p"/>
                          </m:rPr>
                          <w:rPr>
                            <w:rFonts w:ascii="Cambria Math" w:hAnsi="Cambria Math"/>
                          </w:rPr>
                          <m:t>×</m:t>
                        </m:r>
                        <m:r>
                          <w:rPr>
                            <w:rFonts w:ascii="Cambria Math" w:hAnsi="Cambria Math"/>
                          </w:rPr>
                          <m:t>m</m:t>
                        </m:r>
                      </m:sub>
                    </m:sSub>
                  </m:e>
                </m:mr>
              </m:m>
            </m:e>
          </m:d>
          <m:r>
            <m:rPr>
              <m:sty m:val="p"/>
            </m:rPr>
            <w:rPr>
              <w:rFonts w:ascii="Cambria Math" w:hAnsi="Cambria Math"/>
            </w:rPr>
            <m:t>.</m:t>
          </m:r>
        </m:oMath>
      </m:oMathPara>
    </w:p>
    <w:p w14:paraId="6D6C6A51" w14:textId="77777777" w:rsidR="0055206D" w:rsidRPr="005F2829" w:rsidRDefault="00000000">
      <w:pPr>
        <w:pStyle w:val="FirstParagraph"/>
      </w:pPr>
      <w:r w:rsidRPr="005F2829">
        <w:t>The centering matrix ensures zero-centered features:</w:t>
      </w:r>
    </w:p>
    <w:p w14:paraId="73379537" w14:textId="77777777" w:rsidR="0055206D" w:rsidRPr="005F2829" w:rsidRDefault="00000000">
      <w:pPr>
        <w:pStyle w:val="a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m</m:t>
              </m:r>
            </m:den>
          </m:f>
          <m:r>
            <m:rPr>
              <m:sty m:val="b"/>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m:rPr>
              <m:sty m:val="p"/>
            </m:rPr>
            <w:rPr>
              <w:rFonts w:ascii="Cambria Math" w:hAnsi="Cambria Math"/>
            </w:rPr>
            <m:t>.</m:t>
          </m:r>
        </m:oMath>
      </m:oMathPara>
    </w:p>
    <w:p w14:paraId="36645F7C" w14:textId="77777777" w:rsidR="0055206D" w:rsidRPr="005F2829" w:rsidRDefault="00000000">
      <w:pPr>
        <w:pStyle w:val="3"/>
        <w:rPr>
          <w:rFonts w:cs="Times New Roman"/>
          <w:color w:val="000000" w:themeColor="text1"/>
        </w:rPr>
      </w:pPr>
      <w:bookmarkStart w:id="60" w:name="projection-and-inference"/>
      <w:bookmarkEnd w:id="59"/>
      <w:r w:rsidRPr="005F2829">
        <w:rPr>
          <w:rFonts w:cs="Times New Roman"/>
          <w:color w:val="000000" w:themeColor="text1"/>
        </w:rPr>
        <w:t>Projection and Inference</w:t>
      </w:r>
    </w:p>
    <w:p w14:paraId="43AFDF4E" w14:textId="77777777" w:rsidR="0055206D" w:rsidRPr="005F2829" w:rsidRDefault="00000000">
      <w:pPr>
        <w:pStyle w:val="FirstParagraph"/>
      </w:pPr>
      <w:r w:rsidRPr="005F2829">
        <w:t>The optimization is solved via eigen-decomposition. The generalized eigensystem:</w:t>
      </w:r>
    </w:p>
    <w:p w14:paraId="4D168336" w14:textId="77777777" w:rsidR="0055206D" w:rsidRPr="005F2829" w:rsidRDefault="00000000">
      <w:pPr>
        <w:pStyle w:val="a0"/>
      </w:pPr>
      <m:oMathPara>
        <m:oMathParaPr>
          <m:jc m:val="center"/>
        </m:oMathParaPr>
        <m:oMath>
          <m:r>
            <m:rPr>
              <m:sty m:val="p"/>
            </m:rPr>
            <w:rPr>
              <w:rFonts w:ascii="Cambria Math" w:hAnsi="Cambria Math"/>
            </w:rPr>
            <w:lastRenderedPageBreak/>
            <m:t>(</m:t>
          </m:r>
          <m:r>
            <w:rPr>
              <w:rFonts w:ascii="Cambria Math" w:hAnsi="Cambria Math"/>
            </w:rPr>
            <m:t>I</m:t>
          </m:r>
          <m:r>
            <m:rPr>
              <m:sty m:val="p"/>
            </m:rPr>
            <w:rPr>
              <w:rFonts w:ascii="Cambria Math" w:hAnsi="Cambria Math"/>
            </w:rPr>
            <m:t>+</m:t>
          </m:r>
          <m:r>
            <w:rPr>
              <w:rFonts w:ascii="Cambria Math" w:hAnsi="Cambria Math"/>
            </w:rPr>
            <m:t>μKLK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KHKS</m:t>
          </m:r>
        </m:oMath>
      </m:oMathPara>
    </w:p>
    <w:p w14:paraId="73B47A38" w14:textId="77777777" w:rsidR="0055206D" w:rsidRPr="005F2829" w:rsidRDefault="00000000">
      <w:pPr>
        <w:pStyle w:val="FirstParagraph"/>
      </w:pPr>
      <w:r w:rsidRPr="005F2829">
        <w:t xml:space="preserve">is decomposed into eigenvectors </w:t>
      </w:r>
      <m:oMath>
        <m:r>
          <w:rPr>
            <w:rFonts w:ascii="Cambria Math" w:hAnsi="Cambria Math"/>
          </w:rPr>
          <m:t>S</m:t>
        </m:r>
        <m:r>
          <m:rPr>
            <m:sty m:val="p"/>
          </m:rPr>
          <w:rPr>
            <w:rFonts w:ascii="Cambria Math" w:hAnsi="Cambria Math"/>
          </w:rPr>
          <m:t>=</m:t>
        </m:r>
        <m:r>
          <w:rPr>
            <w:rFonts w:ascii="Cambria Math" w:hAnsi="Cambria Math"/>
          </w:rPr>
          <m:t>U</m:t>
        </m:r>
        <m:r>
          <m:rPr>
            <m:sty m:val="p"/>
          </m:rPr>
          <w:rPr>
            <w:rFonts w:ascii="Cambria Math" w:hAnsi="Cambria Math"/>
          </w:rPr>
          <m:t>Λ</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rsidRPr="005F2829">
        <w:t>, and the top-</w:t>
      </w:r>
      <m:oMath>
        <m:r>
          <w:rPr>
            <w:rFonts w:ascii="Cambria Math" w:hAnsi="Cambria Math"/>
          </w:rPr>
          <m:t>k</m:t>
        </m:r>
      </m:oMath>
      <w:r w:rsidRPr="005F2829">
        <w:t xml:space="preserve"> eigenvectors construct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ub>
        </m:sSub>
      </m:oMath>
      <w:r w:rsidRPr="005F2829">
        <w:t>.</w:t>
      </w:r>
    </w:p>
    <w:p w14:paraId="6DC19ABF" w14:textId="77777777" w:rsidR="0055206D" w:rsidRPr="005F2829" w:rsidRDefault="00000000">
      <w:pPr>
        <w:pStyle w:val="a0"/>
      </w:pPr>
      <w:r w:rsidRPr="005F2829">
        <w:t>Source and target samples are projected via:</w:t>
      </w:r>
    </w:p>
    <w:p w14:paraId="375A7A83" w14:textId="77777777" w:rsidR="0055206D" w:rsidRPr="005F2829"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W</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W</m:t>
          </m:r>
          <m:r>
            <m:rPr>
              <m:sty m:val="p"/>
            </m:rPr>
            <w:rPr>
              <w:rFonts w:ascii="Cambria Math" w:hAnsi="Cambria Math"/>
            </w:rPr>
            <m:t>,</m:t>
          </m:r>
        </m:oMath>
      </m:oMathPara>
    </w:p>
    <w:p w14:paraId="251AC770" w14:textId="77777777" w:rsidR="0055206D" w:rsidRPr="005F2829" w:rsidRDefault="00000000">
      <w:pPr>
        <w:pStyle w:val="FirstParagraph"/>
      </w:pPr>
      <w:r w:rsidRPr="005F2829">
        <w:t xml:space="preserve">where </w:t>
      </w:r>
      <m:oMath>
        <m:sSub>
          <m:sSubPr>
            <m:ctrlPr>
              <w:rPr>
                <w:rFonts w:ascii="Cambria Math" w:hAnsi="Cambria Math"/>
              </w:rPr>
            </m:ctrlPr>
          </m:sSubPr>
          <m:e>
            <m:r>
              <w:rPr>
                <w:rFonts w:ascii="Cambria Math" w:hAnsi="Cambria Math"/>
              </w:rPr>
              <m:t>K</m:t>
            </m:r>
          </m:e>
          <m:sub>
            <m:r>
              <w:rPr>
                <w:rFonts w:ascii="Cambria Math" w:hAnsi="Cambria Math"/>
              </w:rPr>
              <m:t>s</m:t>
            </m:r>
          </m:sub>
        </m:sSub>
      </m:oMath>
      <w:r w:rsidRPr="005F2829">
        <w:t xml:space="preserve"> and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5F2829">
        <w:t xml:space="preserve"> are kernel submatrices. A logistic regression classifier trained on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oMath>
      <w:r w:rsidRPr="005F2829">
        <w:t xml:space="preserve"> is applied to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5F2829">
        <w:t xml:space="preserve"> for prediction.</w:t>
      </w:r>
    </w:p>
    <w:p w14:paraId="0F61D0FB" w14:textId="77777777" w:rsidR="0055206D" w:rsidRPr="005F2829" w:rsidRDefault="00000000">
      <w:pPr>
        <w:pStyle w:val="3"/>
        <w:rPr>
          <w:rFonts w:cs="Times New Roman"/>
          <w:color w:val="000000" w:themeColor="text1"/>
        </w:rPr>
      </w:pPr>
      <w:bookmarkStart w:id="61" w:name="cross-domain-validation"/>
      <w:bookmarkEnd w:id="60"/>
      <w:r w:rsidRPr="005F2829">
        <w:rPr>
          <w:rFonts w:cs="Times New Roman"/>
          <w:color w:val="000000" w:themeColor="text1"/>
        </w:rPr>
        <w:t>Cross-Domain Validation</w:t>
      </w:r>
    </w:p>
    <w:p w14:paraId="369AF6FD" w14:textId="77777777" w:rsidR="0055206D" w:rsidRPr="005F2829" w:rsidRDefault="00000000">
      <w:pPr>
        <w:pStyle w:val="FirstParagraph"/>
      </w:pPr>
      <w:r w:rsidRPr="005F2829">
        <w:t>TCA performance is validated through multiple metrics:</w:t>
      </w:r>
    </w:p>
    <w:p w14:paraId="72021E86" w14:textId="77777777" w:rsidR="0055206D" w:rsidRPr="005F2829" w:rsidRDefault="00000000">
      <w:pPr>
        <w:numPr>
          <w:ilvl w:val="0"/>
          <w:numId w:val="12"/>
        </w:numPr>
      </w:pPr>
      <w:r w:rsidRPr="005F2829">
        <w:rPr>
          <w:b/>
          <w:bCs/>
        </w:rPr>
        <w:t>Distribution Alignment</w:t>
      </w:r>
      <w:r w:rsidRPr="005F2829">
        <w:t>: MMD reduction between transformed source and target distributions</w:t>
      </w:r>
    </w:p>
    <w:p w14:paraId="5659F9FB" w14:textId="77777777" w:rsidR="0055206D" w:rsidRPr="005F2829" w:rsidRDefault="00000000">
      <w:pPr>
        <w:numPr>
          <w:ilvl w:val="0"/>
          <w:numId w:val="12"/>
        </w:numPr>
      </w:pPr>
      <w:r w:rsidRPr="005F2829">
        <w:rPr>
          <w:b/>
          <w:bCs/>
        </w:rPr>
        <w:t>Preservation of Discriminative Information</w:t>
      </w:r>
      <w:r w:rsidRPr="005F2829">
        <w:t>: Maintained class separability after transformation</w:t>
      </w:r>
    </w:p>
    <w:p w14:paraId="54D80366" w14:textId="77777777" w:rsidR="0055206D" w:rsidRPr="005F2829" w:rsidRDefault="00000000">
      <w:pPr>
        <w:numPr>
          <w:ilvl w:val="0"/>
          <w:numId w:val="12"/>
        </w:numPr>
      </w:pPr>
      <w:r w:rsidRPr="005F2829">
        <w:rPr>
          <w:b/>
          <w:bCs/>
        </w:rPr>
        <w:t>Clinical Interpretability</w:t>
      </w:r>
      <w:r w:rsidRPr="005F2829">
        <w:t>: Retained meaningful feature relationships in latent space</w:t>
      </w:r>
    </w:p>
    <w:p w14:paraId="7E074B80" w14:textId="77777777" w:rsidR="0055206D" w:rsidRPr="005F2829" w:rsidRDefault="00000000">
      <w:pPr>
        <w:pStyle w:val="3"/>
        <w:rPr>
          <w:rFonts w:cs="Times New Roman"/>
          <w:color w:val="000000" w:themeColor="text1"/>
        </w:rPr>
      </w:pPr>
      <w:bookmarkStart w:id="62" w:name="standardized-domain-distance-metrics"/>
      <w:bookmarkEnd w:id="61"/>
      <w:r w:rsidRPr="005F2829">
        <w:rPr>
          <w:rFonts w:cs="Times New Roman"/>
          <w:color w:val="000000" w:themeColor="text1"/>
        </w:rPr>
        <w:t>Standardized Domain Distance Metrics</w:t>
      </w:r>
    </w:p>
    <w:p w14:paraId="78E85978" w14:textId="77777777" w:rsidR="0055206D" w:rsidRPr="005F2829" w:rsidRDefault="00000000">
      <w:pPr>
        <w:pStyle w:val="FirstParagraph"/>
      </w:pPr>
      <w:r w:rsidRPr="005F2829">
        <w:t xml:space="preserve">To quantitatively assess domain alignment, we compute multiple distance metrics using standardized features. Let </w:t>
      </w:r>
      <m:oMath>
        <m:r>
          <w:rPr>
            <w:rFonts w:ascii="Cambria Math" w:hAnsi="Cambria Math"/>
          </w:rPr>
          <m:t>μ</m:t>
        </m:r>
        <m:r>
          <m:rPr>
            <m:sty m:val="p"/>
          </m:rPr>
          <w:rPr>
            <w:rFonts w:ascii="Cambria Math" w:hAnsi="Cambria Math"/>
          </w:rPr>
          <m:t>(⋅)</m:t>
        </m:r>
      </m:oMath>
      <w:r w:rsidRPr="005F2829">
        <w:t xml:space="preserve"> and </w:t>
      </w:r>
      <m:oMath>
        <m:r>
          <w:rPr>
            <w:rFonts w:ascii="Cambria Math" w:hAnsi="Cambria Math"/>
          </w:rPr>
          <m:t>σ</m:t>
        </m:r>
        <m:r>
          <m:rPr>
            <m:sty m:val="p"/>
          </m:rPr>
          <w:rPr>
            <w:rFonts w:ascii="Cambria Math" w:hAnsi="Cambria Math"/>
          </w:rPr>
          <m:t>(⋅)</m:t>
        </m:r>
      </m:oMath>
      <w:r w:rsidRPr="005F2829">
        <w:t xml:space="preserve"> denote feature-wise mean and standard deviation. The standardized features are computed as:</w:t>
      </w:r>
    </w:p>
    <w:p w14:paraId="04BD470F" w14:textId="77777777" w:rsidR="0055206D" w:rsidRPr="005F2829" w:rsidRDefault="00000000">
      <w:pPr>
        <w:pStyle w:val="a0"/>
      </w:pPr>
      <m:oMathPara>
        <m:oMathParaPr>
          <m:jc m:val="center"/>
        </m:oMathParaPr>
        <m:oMath>
          <m:acc>
            <m:accPr>
              <m:ctrlPr>
                <w:rPr>
                  <w:rFonts w:ascii="Cambria Math" w:hAnsi="Cambria Math"/>
                </w:rPr>
              </m:ctrlPr>
            </m:accPr>
            <m:e>
              <m:r>
                <w:rPr>
                  <w:rFonts w:ascii="Cambria Math" w:hAnsi="Cambria Math"/>
                </w:rPr>
                <m:t>μ</m:t>
              </m:r>
            </m:e>
          </m:acc>
          <m:r>
            <m:rPr>
              <m:sty m:val="p"/>
            </m:rPr>
            <w:rPr>
              <w:rFonts w:ascii="Cambria Math" w:hAnsi="Cambria Math"/>
            </w:rPr>
            <m:t>=</m:t>
          </m:r>
          <m:f>
            <m:fPr>
              <m:ctrlPr>
                <w:rPr>
                  <w:rFonts w:ascii="Cambria Math" w:hAnsi="Cambria Math"/>
                </w:rPr>
              </m:ctrlPr>
            </m:fPr>
            <m:num>
              <m:r>
                <w:rPr>
                  <w:rFonts w:ascii="Cambria Math" w:hAnsi="Cambria Math"/>
                </w:rPr>
                <m:t>μ</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σ</m:t>
              </m:r>
            </m:e>
          </m:acc>
          <m:r>
            <m:rPr>
              <m:sty m:val="p"/>
            </m:rPr>
            <w:rPr>
              <w:rFonts w:ascii="Cambria Math" w:hAnsi="Cambria Math"/>
            </w:rPr>
            <m:t>=</m:t>
          </m:r>
          <m:f>
            <m:fPr>
              <m:ctrlPr>
                <w:rPr>
                  <w:rFonts w:ascii="Cambria Math" w:hAnsi="Cambria Math"/>
                </w:rPr>
              </m:ctrlPr>
            </m:fPr>
            <m:num>
              <m:r>
                <w:rPr>
                  <w:rFonts w:ascii="Cambria Math" w:hAnsi="Cambria Math"/>
                </w:rPr>
                <m:t>σ</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num>
            <m:den>
              <m:r>
                <w:rPr>
                  <w:rFonts w:ascii="Cambria Math" w:hAnsi="Cambria Math"/>
                </w:rPr>
                <m:t>2</m:t>
              </m:r>
            </m:den>
          </m:f>
        </m:oMath>
      </m:oMathPara>
    </w:p>
    <w:p w14:paraId="6C5BC4AB" w14:textId="77777777" w:rsidR="0055206D" w:rsidRPr="005F2829" w:rsidRDefault="00000000">
      <w:pPr>
        <w:pStyle w:val="FirstParagraph"/>
      </w:pPr>
      <m:oMathPara>
        <m:oMathParaPr>
          <m:jc m:val="center"/>
        </m:oMathParaPr>
        <m:oMath>
          <m:sSubSup>
            <m:sSubSupPr>
              <m:ctrlPr>
                <w:rPr>
                  <w:rFonts w:ascii="Cambria Math" w:hAnsi="Cambria Math"/>
                </w:rPr>
              </m:ctrlPr>
            </m:sSubSupPr>
            <m:e>
              <m:r>
                <m:rPr>
                  <m:sty m:val="b"/>
                </m:rPr>
                <w:rPr>
                  <w:rFonts w:ascii="Cambria Math" w:hAnsi="Cambria Math"/>
                </w:rPr>
                <m:t>X</m:t>
              </m:r>
            </m:e>
            <m:sub>
              <m:r>
                <w:rPr>
                  <w:rFonts w:ascii="Cambria Math" w:hAnsi="Cambria Math"/>
                </w:rPr>
                <m:t>s</m:t>
              </m:r>
            </m:sub>
            <m:sup>
              <m:r>
                <m:rPr>
                  <m:nor/>
                </m:rPr>
                <m:t>norm</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acc>
                <m:accPr>
                  <m:ctrlPr>
                    <w:rPr>
                      <w:rFonts w:ascii="Cambria Math" w:hAnsi="Cambria Math"/>
                    </w:rPr>
                  </m:ctrlPr>
                </m:accPr>
                <m:e>
                  <m:r>
                    <w:rPr>
                      <w:rFonts w:ascii="Cambria Math" w:hAnsi="Cambria Math"/>
                    </w:rPr>
                    <m:t>μ</m:t>
                  </m:r>
                </m:e>
              </m:acc>
            </m:num>
            <m:den>
              <m:acc>
                <m:accPr>
                  <m:ctrlPr>
                    <w:rPr>
                      <w:rFonts w:ascii="Cambria Math" w:hAnsi="Cambria Math"/>
                    </w:rPr>
                  </m:ctrlPr>
                </m:accPr>
                <m:e>
                  <m:r>
                    <w:rPr>
                      <w:rFonts w:ascii="Cambria Math" w:hAnsi="Cambria Math"/>
                    </w:rPr>
                    <m:t>σ</m:t>
                  </m:r>
                </m:e>
              </m:acc>
            </m:den>
          </m:f>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
                </m:rPr>
                <w:rPr>
                  <w:rFonts w:ascii="Cambria Math" w:hAnsi="Cambria Math"/>
                </w:rPr>
                <m:t>X</m:t>
              </m:r>
            </m:e>
            <m:sub>
              <m:r>
                <w:rPr>
                  <w:rFonts w:ascii="Cambria Math" w:hAnsi="Cambria Math"/>
                </w:rPr>
                <m:t>t</m:t>
              </m:r>
            </m:sub>
            <m:sup>
              <m:r>
                <m:rPr>
                  <m:nor/>
                </m:rPr>
                <m:t>norm</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acc>
                <m:accPr>
                  <m:ctrlPr>
                    <w:rPr>
                      <w:rFonts w:ascii="Cambria Math" w:hAnsi="Cambria Math"/>
                    </w:rPr>
                  </m:ctrlPr>
                </m:accPr>
                <m:e>
                  <m:r>
                    <w:rPr>
                      <w:rFonts w:ascii="Cambria Math" w:hAnsi="Cambria Math"/>
                    </w:rPr>
                    <m:t>μ</m:t>
                  </m:r>
                </m:e>
              </m:acc>
            </m:num>
            <m:den>
              <m:acc>
                <m:accPr>
                  <m:ctrlPr>
                    <w:rPr>
                      <w:rFonts w:ascii="Cambria Math" w:hAnsi="Cambria Math"/>
                    </w:rPr>
                  </m:ctrlPr>
                </m:accPr>
                <m:e>
                  <m:r>
                    <w:rPr>
                      <w:rFonts w:ascii="Cambria Math" w:hAnsi="Cambria Math"/>
                    </w:rPr>
                    <m:t>σ</m:t>
                  </m:r>
                </m:e>
              </m:acc>
            </m:den>
          </m:f>
        </m:oMath>
      </m:oMathPara>
    </w:p>
    <w:p w14:paraId="1794B322" w14:textId="77777777" w:rsidR="0055206D" w:rsidRPr="005F2829" w:rsidRDefault="00000000">
      <w:pPr>
        <w:pStyle w:val="FirstParagraph"/>
      </w:pPr>
      <w:r w:rsidRPr="005F2829">
        <w:t>Then, we compute the following domain divergence metrics:</w:t>
      </w:r>
    </w:p>
    <w:p w14:paraId="3EA8DF1E" w14:textId="77777777" w:rsidR="0055206D" w:rsidRPr="005F2829" w:rsidRDefault="00000000">
      <w:pPr>
        <w:pStyle w:val="4"/>
        <w:rPr>
          <w:rFonts w:cs="Times New Roman"/>
          <w:color w:val="000000" w:themeColor="text1"/>
        </w:rPr>
      </w:pPr>
      <w:bookmarkStart w:id="63" w:name="wasserstein-distance"/>
      <w:r w:rsidRPr="005F2829">
        <w:rPr>
          <w:rFonts w:cs="Times New Roman"/>
          <w:color w:val="000000" w:themeColor="text1"/>
        </w:rPr>
        <w:t>Wasserstein Distance:</w:t>
      </w:r>
    </w:p>
    <w:p w14:paraId="6F844B7A" w14:textId="77777777" w:rsidR="0055206D" w:rsidRPr="005F2829" w:rsidRDefault="00000000">
      <w:pPr>
        <w:pStyle w:val="FirstParagraph"/>
      </w:pPr>
      <m:oMathPara>
        <m:oMathParaPr>
          <m:jc m:val="center"/>
        </m:oMathParaPr>
        <m:oMath>
          <m:sSub>
            <m:sSubPr>
              <m:ctrlPr>
                <w:rPr>
                  <w:rFonts w:ascii="Cambria Math" w:hAnsi="Cambria Math"/>
                </w:rPr>
              </m:ctrlPr>
            </m:sSubPr>
            <m:e>
              <m:r>
                <w:rPr>
                  <w:rFonts w:ascii="Cambria Math" w:hAnsi="Cambria Math"/>
                </w:rPr>
                <m:t>W</m:t>
              </m:r>
            </m:e>
            <m:sub>
              <m:r>
                <m:rPr>
                  <m:nor/>
                </m:rPr>
                <m:t>norm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W</m:t>
                  </m:r>
                </m:e>
                <m:sub>
                  <m:r>
                    <w:rPr>
                      <w:rFonts w:ascii="Cambria Math" w:hAnsi="Cambria Math"/>
                    </w:rPr>
                    <m:t>1</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i</m:t>
              </m:r>
            </m:sub>
            <m:sup>
              <m:r>
                <m:rPr>
                  <m:nor/>
                </m:rPr>
                <m:t>norm</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up>
              <m:r>
                <m:rPr>
                  <m:nor/>
                </m:rPr>
                <m:t>norm</m:t>
              </m:r>
            </m:sup>
          </m:sSubSup>
          <m:r>
            <m:rPr>
              <m:sty m:val="p"/>
            </m:rPr>
            <w:rPr>
              <w:rFonts w:ascii="Cambria Math" w:hAnsi="Cambria Math"/>
            </w:rPr>
            <m:t>)</m:t>
          </m:r>
        </m:oMath>
      </m:oMathPara>
    </w:p>
    <w:p w14:paraId="41506F65" w14:textId="77777777" w:rsidR="0055206D" w:rsidRPr="005F2829" w:rsidRDefault="00000000">
      <w:pPr>
        <w:pStyle w:val="4"/>
        <w:rPr>
          <w:rFonts w:cs="Times New Roman"/>
          <w:color w:val="000000" w:themeColor="text1"/>
        </w:rPr>
      </w:pPr>
      <w:bookmarkStart w:id="64" w:name="symmetric-kl-divergence"/>
      <w:bookmarkEnd w:id="63"/>
      <w:r w:rsidRPr="005F2829">
        <w:rPr>
          <w:rFonts w:cs="Times New Roman"/>
          <w:color w:val="000000" w:themeColor="text1"/>
        </w:rPr>
        <w:t>Symmetric KL Divergence:</w:t>
      </w:r>
    </w:p>
    <w:p w14:paraId="45CE5B12" w14:textId="77777777" w:rsidR="0055206D" w:rsidRPr="005F2829" w:rsidRDefault="00000000">
      <w:pPr>
        <w:pStyle w:val="FirstParagraph"/>
      </w:pPr>
      <m:oMathPara>
        <m:oMathParaPr>
          <m:jc m:val="center"/>
        </m:oMathParaPr>
        <m:oMath>
          <m:r>
            <w:rPr>
              <w:rFonts w:ascii="Cambria Math" w:hAnsi="Cambria Math"/>
            </w:rPr>
            <m:t>K</m:t>
          </m:r>
          <m:sSub>
            <m:sSubPr>
              <m:ctrlPr>
                <w:rPr>
                  <w:rFonts w:ascii="Cambria Math" w:hAnsi="Cambria Math"/>
                </w:rPr>
              </m:ctrlPr>
            </m:sSubPr>
            <m:e>
              <m:r>
                <w:rPr>
                  <w:rFonts w:ascii="Cambria Math" w:hAnsi="Cambria Math"/>
                </w:rPr>
                <m:t>L</m:t>
              </m:r>
            </m:e>
            <m:sub>
              <m:r>
                <m:rPr>
                  <m:nor/>
                </m:rPr>
                <m:t>norm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r>
                    <w:rPr>
                      <w:rFonts w:ascii="Cambria Math" w:hAnsi="Cambria Math"/>
                    </w:rPr>
                    <m:t>KL</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i</m:t>
                      </m:r>
                    </m:sub>
                    <m:sup>
                      <m:r>
                        <m:rPr>
                          <m:nor/>
                        </m:rPr>
                        <m:t>norm</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i</m:t>
                      </m:r>
                    </m:sub>
                    <m:sup>
                      <m:r>
                        <m:rPr>
                          <m:nor/>
                        </m:rPr>
                        <m:t>norm</m:t>
                      </m:r>
                    </m:sup>
                  </m:sSubSup>
                  <m:r>
                    <m:rPr>
                      <m:sty m:val="p"/>
                    </m:rPr>
                    <w:rPr>
                      <w:rFonts w:ascii="Cambria Math" w:hAnsi="Cambria Math"/>
                    </w:rPr>
                    <m:t>)+</m:t>
                  </m:r>
                  <m:r>
                    <w:rPr>
                      <w:rFonts w:ascii="Cambria Math" w:hAnsi="Cambria Math"/>
                    </w:rPr>
                    <m:t>KL</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i</m:t>
                      </m:r>
                    </m:sub>
                    <m:sup>
                      <m:r>
                        <m:rPr>
                          <m:nor/>
                        </m:rPr>
                        <m:t>norm</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i</m:t>
                      </m:r>
                    </m:sub>
                    <m:sup>
                      <m:r>
                        <m:rPr>
                          <m:nor/>
                        </m:rPr>
                        <m:t>norm</m:t>
                      </m:r>
                    </m:sup>
                  </m:sSubSup>
                  <m:r>
                    <m:rPr>
                      <m:sty m:val="p"/>
                    </m:rPr>
                    <w:rPr>
                      <w:rFonts w:ascii="Cambria Math" w:hAnsi="Cambria Math"/>
                    </w:rPr>
                    <m:t>)</m:t>
                  </m:r>
                </m:num>
                <m:den>
                  <m:r>
                    <w:rPr>
                      <w:rFonts w:ascii="Cambria Math" w:hAnsi="Cambria Math"/>
                    </w:rPr>
                    <m:t>2</m:t>
                  </m:r>
                </m:den>
              </m:f>
            </m:e>
          </m:nary>
        </m:oMath>
      </m:oMathPara>
    </w:p>
    <w:p w14:paraId="1888922A" w14:textId="77777777" w:rsidR="0055206D" w:rsidRPr="005F2829" w:rsidRDefault="00000000">
      <w:pPr>
        <w:pStyle w:val="4"/>
        <w:rPr>
          <w:rFonts w:cs="Times New Roman"/>
          <w:color w:val="000000" w:themeColor="text1"/>
        </w:rPr>
      </w:pPr>
      <w:bookmarkStart w:id="65" w:name="mmd-with-rbf-kernel"/>
      <w:bookmarkEnd w:id="64"/>
      <w:r w:rsidRPr="005F2829">
        <w:rPr>
          <w:rFonts w:cs="Times New Roman"/>
          <w:color w:val="000000" w:themeColor="text1"/>
        </w:rPr>
        <w:lastRenderedPageBreak/>
        <w:t>MMD with RBF Kernel:</w:t>
      </w:r>
    </w:p>
    <w:p w14:paraId="4A5C19D1" w14:textId="77777777" w:rsidR="0055206D" w:rsidRPr="005F2829" w:rsidRDefault="00000000">
      <w:pPr>
        <w:pStyle w:val="FirstParagraph"/>
      </w:pPr>
      <m:oMathPara>
        <m:oMathParaPr>
          <m:jc m:val="center"/>
        </m:oMathParaPr>
        <m:oMath>
          <m:sSup>
            <m:sSupPr>
              <m:ctrlPr>
                <w:rPr>
                  <w:rFonts w:ascii="Cambria Math" w:hAnsi="Cambria Math"/>
                </w:rPr>
              </m:ctrlPr>
            </m:sSupPr>
            <m:e>
              <m:r>
                <m:rPr>
                  <m:nor/>
                </m:rPr>
                <m:t>MMD</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k</m:t>
              </m:r>
            </m:e>
          </m:nary>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s</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k</m:t>
              </m:r>
            </m:e>
          </m:nary>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t</m:t>
              </m:r>
            </m:sup>
          </m:sSubSup>
          <m:r>
            <m:rPr>
              <m:sty m:val="p"/>
            </m:rP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k</m:t>
              </m:r>
            </m:e>
          </m:nary>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t</m:t>
              </m:r>
            </m:sup>
          </m:sSubSup>
          <m:r>
            <m:rPr>
              <m:sty m:val="p"/>
            </m:rPr>
            <w:rPr>
              <w:rFonts w:ascii="Cambria Math" w:hAnsi="Cambria Math"/>
            </w:rPr>
            <m:t>)</m:t>
          </m:r>
        </m:oMath>
      </m:oMathPara>
    </w:p>
    <w:p w14:paraId="4A57487B" w14:textId="77777777" w:rsidR="0055206D" w:rsidRPr="005F2829" w:rsidRDefault="00000000">
      <w:pPr>
        <w:pStyle w:val="FirstParagraph"/>
      </w:pPr>
      <w:r w:rsidRPr="005F2829">
        <w:t xml:space="preserve">where </w:t>
      </w:r>
      <m:oMath>
        <m:r>
          <w:rPr>
            <w:rFonts w:ascii="Cambria Math" w:hAnsi="Cambria Math"/>
          </w:rPr>
          <m:t>k</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y</m:t>
        </m:r>
        <m:r>
          <m:rPr>
            <m:sty m:val="p"/>
          </m:rPr>
          <w:rPr>
            <w:rFonts w:ascii="Cambria Math" w:hAnsi="Cambria Math"/>
          </w:rPr>
          <m:t>)=exp(-</m:t>
        </m:r>
        <m:r>
          <w:rPr>
            <w:rFonts w:ascii="Cambria Math" w:hAnsi="Cambria Math"/>
          </w:rPr>
          <m:t>γ</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5F2829">
        <w:t xml:space="preserve"> is the RBF kernel.</w:t>
      </w:r>
    </w:p>
    <w:p w14:paraId="1184838F" w14:textId="77777777" w:rsidR="0055206D" w:rsidRPr="005F2829" w:rsidRDefault="00000000">
      <w:pPr>
        <w:pStyle w:val="a0"/>
      </w:pPr>
      <w:r w:rsidRPr="005F2829">
        <w:t>These complementary metrics provide comprehensive assessment of domain alignment, with TCA using linear kernel for projection while RBF-kernel MMD offers a nonlinear perspective.</w:t>
      </w:r>
    </w:p>
    <w:p w14:paraId="23B7B581" w14:textId="77777777" w:rsidR="0055206D" w:rsidRPr="005F2829" w:rsidRDefault="00000000">
      <w:pPr>
        <w:pStyle w:val="2"/>
        <w:rPr>
          <w:rFonts w:ascii="Times New Roman" w:hAnsi="Times New Roman" w:cs="Times New Roman"/>
          <w:color w:val="000000" w:themeColor="text1"/>
        </w:rPr>
      </w:pPr>
      <w:bookmarkStart w:id="66" w:name="X9dabf7aa337f2e32bb58a4c77c9a99cfebf24fa"/>
      <w:bookmarkEnd w:id="57"/>
      <w:bookmarkEnd w:id="62"/>
      <w:bookmarkEnd w:id="65"/>
      <w:r w:rsidRPr="005F2829">
        <w:rPr>
          <w:rFonts w:ascii="Times New Roman" w:hAnsi="Times New Roman" w:cs="Times New Roman"/>
          <w:color w:val="000000" w:themeColor="text1"/>
        </w:rPr>
        <w:t>TabPFN Foundation Model Mathematical Framework</w:t>
      </w:r>
    </w:p>
    <w:p w14:paraId="59BAE450" w14:textId="77777777" w:rsidR="0055206D" w:rsidRPr="005F2829" w:rsidRDefault="00000000">
      <w:pPr>
        <w:pStyle w:val="3"/>
        <w:rPr>
          <w:rFonts w:cs="Times New Roman"/>
          <w:color w:val="000000" w:themeColor="text1"/>
        </w:rPr>
      </w:pPr>
      <w:bookmarkStart w:id="67" w:name="per-feature-transformer-architecture"/>
      <w:r w:rsidRPr="005F2829">
        <w:rPr>
          <w:rFonts w:cs="Times New Roman"/>
          <w:color w:val="000000" w:themeColor="text1"/>
        </w:rPr>
        <w:t>Per-Feature Transformer Architecture</w:t>
      </w:r>
    </w:p>
    <w:p w14:paraId="71D5B1B8" w14:textId="77777777" w:rsidR="0055206D" w:rsidRPr="005F2829" w:rsidRDefault="00000000">
      <w:pPr>
        <w:pStyle w:val="FirstParagraph"/>
      </w:pPr>
      <w:r w:rsidRPr="005F2829">
        <w:t xml:space="preserve">Each structured input sample </w:t>
      </w:r>
      <m:oMath>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5F2829">
        <w:t xml:space="preserve"> is treated as a sequence of tokens, where each feature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F2829">
        <w:t xml:space="preserve"> corresponds to an individual token. This per-feature tokenization enables the model to learn feature-specific representations while modeling inter-feature dependencies through attention mechanisms.</w:t>
      </w:r>
    </w:p>
    <w:p w14:paraId="2E0FC5D3" w14:textId="77777777" w:rsidR="0055206D" w:rsidRPr="005F2829" w:rsidRDefault="00000000">
      <w:pPr>
        <w:pStyle w:val="a0"/>
      </w:pPr>
      <w:r w:rsidRPr="005F2829">
        <w:t>The feature encoding process follows a multi-step transformation:</w:t>
      </w:r>
    </w:p>
    <w:p w14:paraId="2E24EB5F" w14:textId="77777777" w:rsidR="0055206D" w:rsidRPr="005F2829"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r>
            <m:rPr>
              <m:nor/>
            </m:rPr>
            <m:t>Embed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m:oMathPara>
    </w:p>
    <w:p w14:paraId="59666C6F" w14:textId="77777777" w:rsidR="0055206D" w:rsidRPr="005F2829" w:rsidRDefault="00000000">
      <w:pPr>
        <w:pStyle w:val="FirstParagraph"/>
      </w:pPr>
      <w:r w:rsidRPr="005F2829">
        <w:t xml:space="preserve">where </w:t>
      </w:r>
      <m:oMath>
        <m:r>
          <m:rPr>
            <m:nor/>
          </m:rPr>
          <m:t>Embed</m:t>
        </m:r>
        <m:r>
          <m:rPr>
            <m:scr m:val="double-struck"/>
            <m:sty m:val="p"/>
          </m:rPr>
          <w:rPr>
            <w:rFonts w:ascii="Cambria Math" w:hAnsi="Cambria Math"/>
          </w:rPr>
          <m:t>(⋅):R→</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sup>
        </m:sSup>
      </m:oMath>
      <w:r w:rsidRPr="005F2829">
        <w:t xml:space="preserve"> maps each feature value to a </w:t>
      </w:r>
      <m:oMath>
        <m:sSub>
          <m:sSubPr>
            <m:ctrlPr>
              <w:rPr>
                <w:rFonts w:ascii="Cambria Math" w:hAnsi="Cambria Math"/>
              </w:rPr>
            </m:ctrlPr>
          </m:sSubPr>
          <m:e>
            <m:r>
              <w:rPr>
                <w:rFonts w:ascii="Cambria Math" w:hAnsi="Cambria Math"/>
              </w:rPr>
              <m:t>d</m:t>
            </m:r>
          </m:e>
          <m:sub>
            <m:r>
              <m:rPr>
                <m:nor/>
              </m:rPr>
              <m:t>model</m:t>
            </m:r>
          </m:sub>
        </m:sSub>
      </m:oMath>
      <w:r w:rsidRPr="005F2829">
        <w:t xml:space="preserve">-dimensional embedding space (where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192</m:t>
        </m:r>
        <m:r>
          <m:rPr>
            <m:sty m:val="p"/>
          </m:rPr>
          <w:rPr>
            <w:rFonts w:ascii="Cambria Math" w:hAnsi="Cambria Math"/>
          </w:rPr>
          <m:t>}</m:t>
        </m:r>
      </m:oMath>
      <w:r w:rsidRPr="005F2829">
        <w:t xml:space="preserve"> depending on model configuration), and </w:t>
      </w:r>
      <m:oMath>
        <m:sSub>
          <m:sSubPr>
            <m:ctrlPr>
              <w:rPr>
                <w:rFonts w:ascii="Cambria Math" w:hAnsi="Cambria Math"/>
              </w:rPr>
            </m:ctrlPr>
          </m:sSubPr>
          <m:e>
            <m:r>
              <m:rPr>
                <m:sty m:val="b"/>
              </m:rP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sup>
        </m:sSup>
      </m:oMath>
      <w:r w:rsidRPr="005F2829">
        <w:t xml:space="preserve"> represents learned positional encodings that capture feature ordering information.</w:t>
      </w:r>
    </w:p>
    <w:p w14:paraId="495ABEC2" w14:textId="77777777" w:rsidR="0055206D" w:rsidRPr="005F2829" w:rsidRDefault="00000000">
      <w:pPr>
        <w:pStyle w:val="a0"/>
      </w:pPr>
      <w:r w:rsidRPr="005F2829">
        <w:t xml:space="preserve">The embedded sequence </w:t>
      </w:r>
      <m:oMath>
        <m:r>
          <m:rPr>
            <m:sty m:val="b"/>
          </m:rPr>
          <w:rPr>
            <w:rFonts w:ascii="Cambria Math" w:hAnsi="Cambria Math"/>
          </w:rPr>
          <m:t>E</m:t>
        </m:r>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d</m:t>
            </m:r>
          </m:sub>
        </m:sSub>
        <m:r>
          <m:rPr>
            <m:sty m:val="p"/>
          </m:rPr>
          <w:rPr>
            <w:rFonts w:ascii="Cambria Math" w:hAnsi="Cambria Math"/>
          </w:rPr>
          <m:t>]</m:t>
        </m:r>
      </m:oMath>
      <w:r w:rsidRPr="005F2829">
        <w:t xml:space="preserve"> is processed through a 12-layer Transformer encoder. Each layer </w:t>
      </w:r>
      <m:oMath>
        <m:r>
          <m:rPr>
            <m:scr m:val="script"/>
          </m:rPr>
          <w:rPr>
            <w:rFonts w:ascii="Cambria Math" w:hAnsi="Cambria Math"/>
          </w:rPr>
          <m:t>l</m:t>
        </m:r>
      </m:oMath>
      <w:r w:rsidRPr="005F2829">
        <w:t xml:space="preserve"> applies multi-head self-attention followed by a feedforward network:</w:t>
      </w:r>
    </w:p>
    <w:p w14:paraId="3954E98D" w14:textId="77777777" w:rsidR="0055206D" w:rsidRPr="005F2829" w:rsidRDefault="00000000">
      <w:pPr>
        <w:pStyle w:val="a0"/>
      </w:pPr>
      <m:oMathPara>
        <m:oMathParaPr>
          <m:jc m:val="center"/>
        </m:oMathParaPr>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r>
            <m:rPr>
              <m:sty m:val="p"/>
            </m:rPr>
            <w:rPr>
              <w:rFonts w:ascii="Cambria Math" w:hAnsi="Cambria Math"/>
            </w:rPr>
            <m:t>=</m:t>
          </m:r>
          <m:r>
            <m:rPr>
              <m:nor/>
            </m:rPr>
            <m:t>LayerNorm</m:t>
          </m:r>
          <m:r>
            <m:rPr>
              <m:sty m:val="p"/>
            </m:rPr>
            <w:rPr>
              <w:rFonts w:ascii="Cambria Math" w:hAnsi="Cambria Math"/>
            </w:rPr>
            <m:t>(</m:t>
          </m:r>
          <m:r>
            <m:rPr>
              <m:nor/>
            </m:rPr>
            <m:t>MultiHead</m:t>
          </m:r>
          <m:r>
            <m:rPr>
              <m:sty m:val="p"/>
            </m:rPr>
            <w:rPr>
              <w:rFonts w:ascii="Cambria Math" w:hAnsi="Cambria Math"/>
            </w:rPr>
            <m:t>(</m:t>
          </m:r>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oMath>
      </m:oMathPara>
    </w:p>
    <w:p w14:paraId="09908E3B" w14:textId="77777777" w:rsidR="0055206D" w:rsidRPr="005F2829" w:rsidRDefault="00000000">
      <w:pPr>
        <w:pStyle w:val="FirstParagraph"/>
      </w:pPr>
      <m:oMathPara>
        <m:oMathParaPr>
          <m:jc m:val="center"/>
        </m:oMathParaPr>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m:rPr>
              <m:nor/>
            </m:rPr>
            <m:t>LayerNorm</m:t>
          </m:r>
          <m:r>
            <m:rPr>
              <m:sty m:val="p"/>
            </m:rPr>
            <w:rPr>
              <w:rFonts w:ascii="Cambria Math" w:hAnsi="Cambria Math"/>
            </w:rPr>
            <m:t>(</m:t>
          </m:r>
          <m:r>
            <m:rPr>
              <m:nor/>
            </m:rPr>
            <m:t>FFN</m:t>
          </m:r>
          <m:r>
            <m:rPr>
              <m:sty m:val="p"/>
            </m:rPr>
            <w:rPr>
              <w:rFonts w:ascii="Cambria Math" w:hAnsi="Cambria Math"/>
            </w:rPr>
            <m:t>(</m:t>
          </m:r>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r>
            <m:rPr>
              <m:sty m:val="p"/>
            </m:rPr>
            <w:rPr>
              <w:rFonts w:ascii="Cambria Math" w:hAnsi="Cambria Math"/>
            </w:rPr>
            <m:t>)</m:t>
          </m:r>
        </m:oMath>
      </m:oMathPara>
    </w:p>
    <w:p w14:paraId="09AD3644" w14:textId="77777777" w:rsidR="0055206D" w:rsidRPr="005F2829" w:rsidRDefault="00000000">
      <w:pPr>
        <w:pStyle w:val="FirstParagraph"/>
      </w:pPr>
      <w:r w:rsidRPr="005F2829">
        <w:t xml:space="preserve">where </w:t>
      </w:r>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r>
          <m:rPr>
            <m:sty m:val="b"/>
          </m:rPr>
          <w:rPr>
            <w:rFonts w:ascii="Cambria Math" w:hAnsi="Cambria Math"/>
          </w:rPr>
          <m:t>E</m:t>
        </m:r>
      </m:oMath>
      <w:r w:rsidRPr="005F2829">
        <w:t xml:space="preserve">, and the feedforward network </w:t>
      </w:r>
      <m:oMath>
        <m:r>
          <m:rPr>
            <m:nor/>
          </m:rPr>
          <m:t>FFN</m:t>
        </m:r>
      </m:oMath>
      <w:r w:rsidRPr="005F2829">
        <w:t xml:space="preserve"> has </w:t>
      </w:r>
      <m:oMath>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rsidRPr="005F2829">
        <w:t xml:space="preserve"> hidden units. The multi-head attention mechanism employs 4 or 6 attention heads (depending on configuration), enabling the model to capture diverse feature interaction patterns simultaneously.</w:t>
      </w:r>
    </w:p>
    <w:p w14:paraId="55079775" w14:textId="77777777" w:rsidR="0055206D" w:rsidRPr="005F2829" w:rsidRDefault="00000000">
      <w:pPr>
        <w:pStyle w:val="3"/>
        <w:rPr>
          <w:rFonts w:cs="Times New Roman"/>
          <w:color w:val="000000" w:themeColor="text1"/>
        </w:rPr>
      </w:pPr>
      <w:bookmarkStart w:id="68" w:name="X0c207b562d82eeb62b1ef53b75e887ede1163ea"/>
      <w:bookmarkEnd w:id="67"/>
      <w:r w:rsidRPr="005F2829">
        <w:rPr>
          <w:rFonts w:cs="Times New Roman"/>
          <w:color w:val="000000" w:themeColor="text1"/>
        </w:rPr>
        <w:lastRenderedPageBreak/>
        <w:t>Synthetic Task Generation and Pre-training</w:t>
      </w:r>
    </w:p>
    <w:p w14:paraId="1F4A4BA8" w14:textId="77777777" w:rsidR="0055206D" w:rsidRPr="005F2829" w:rsidRDefault="00000000">
      <w:pPr>
        <w:pStyle w:val="FirstParagraph"/>
      </w:pPr>
      <w:r w:rsidRPr="005F2829">
        <w:t>Medical tabular datasets present fundamental challenges that necessitate pre-training approaches. To address data scarcity while ensuring broad coverage of tabular reasoning patterns, TabPFN employs a stochastic task generator that synthesizes classification problems from diverse function priors.</w:t>
      </w:r>
    </w:p>
    <w:p w14:paraId="004531F2" w14:textId="77777777" w:rsidR="0055206D" w:rsidRPr="005F2829" w:rsidRDefault="00000000">
      <w:pPr>
        <w:pStyle w:val="a0"/>
      </w:pPr>
      <w:r w:rsidRPr="005F2829">
        <w:t xml:space="preserve">Let </w:t>
      </w:r>
      <m:oMath>
        <m:r>
          <m:rPr>
            <m:scr m:val="script"/>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5F2829">
        <w:t xml:space="preserve"> and </w:t>
      </w:r>
      <m:oMath>
        <m:r>
          <m:rPr>
            <m:scr m:val="script"/>
            <m:sty m:val="p"/>
          </m:rPr>
          <w:rPr>
            <w:rFonts w:ascii="Cambria Math" w:hAnsi="Cambria Math"/>
          </w:rPr>
          <m:t>Y={</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oMath>
      <w:r w:rsidRPr="005F2829">
        <w:t xml:space="preserve"> for classification. For each training batch, we first sample a prior family and its hyperparameters:</w:t>
      </w:r>
    </w:p>
    <w:p w14:paraId="7999B015" w14:textId="77777777" w:rsidR="0055206D" w:rsidRPr="005F2829" w:rsidRDefault="00000000">
      <w:pPr>
        <w:pStyle w:val="a0"/>
      </w:pPr>
      <m:oMathPara>
        <m:oMathParaPr>
          <m:jc m:val="center"/>
        </m:oMathParaPr>
        <m:oMath>
          <m:r>
            <w:rPr>
              <w:rFonts w:ascii="Cambria Math" w:hAnsi="Cambria Math"/>
            </w:rPr>
            <m:t>r</m:t>
          </m:r>
          <m:r>
            <m:rPr>
              <m:sty m:val="p"/>
            </m:rPr>
            <w:rPr>
              <w:rFonts w:ascii="Cambria Math" w:hAnsi="Cambria Math"/>
            </w:rPr>
            <m:t>∼Categorical(</m:t>
          </m:r>
          <m:r>
            <m:rPr>
              <m:sty m:val="b"/>
            </m:rPr>
            <w:rPr>
              <w:rFonts w:ascii="Cambria Math" w:hAnsi="Cambria Math"/>
            </w:rPr>
            <m:t>π</m:t>
          </m:r>
          <m:r>
            <m:rPr>
              <m:sty m:val="p"/>
            </m:rPr>
            <w:rPr>
              <w:rFonts w:ascii="Cambria Math" w:hAnsi="Cambria Math"/>
            </w:rPr>
            <m:t>),</m:t>
          </m:r>
          <m:r>
            <w:rPr>
              <w:rFonts w:ascii="Cambria Math" w:hAnsi="Cambria Math"/>
            </w:rPr>
            <m:t>  </m:t>
          </m:r>
          <m:r>
            <m:rPr>
              <m:sty m:val="b"/>
            </m:rPr>
            <w:rPr>
              <w:rFonts w:ascii="Cambria Math" w:hAnsi="Cambria Math"/>
            </w:rPr>
            <m:t>θ</m:t>
          </m:r>
          <m:r>
            <m:rPr>
              <m:sty m:val="p"/>
            </m:rPr>
            <w:rPr>
              <w:rFonts w:ascii="Cambria Math" w:hAnsi="Cambria Math"/>
            </w:rPr>
            <m:t>∼</m:t>
          </m:r>
          <m:r>
            <w:rPr>
              <w:rFonts w:ascii="Cambria Math" w:hAnsi="Cambria Math"/>
            </w:rPr>
            <m:t>p</m:t>
          </m:r>
          <m:r>
            <m:rPr>
              <m:sty m:val="p"/>
            </m:rPr>
            <w:rPr>
              <w:rFonts w:ascii="Cambria Math" w:hAnsi="Cambria Math"/>
            </w:rPr>
            <m:t>(</m:t>
          </m:r>
          <m:r>
            <m:rPr>
              <m:sty m:val="b"/>
            </m:rPr>
            <w:rPr>
              <w:rFonts w:ascii="Cambria Math" w:hAnsi="Cambria Math"/>
            </w:rPr>
            <m:t>θ</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1805050D" w14:textId="77777777" w:rsidR="0055206D" w:rsidRPr="005F2829" w:rsidRDefault="00000000">
      <w:pPr>
        <w:pStyle w:val="FirstParagraph"/>
      </w:pPr>
      <w:r w:rsidRPr="005F2829">
        <w:t xml:space="preserve">where </w:t>
      </w:r>
      <m:oMath>
        <m:r>
          <w:rPr>
            <w:rFonts w:ascii="Cambria Math" w:hAnsi="Cambria Math"/>
          </w:rPr>
          <m:t>r</m:t>
        </m:r>
        <m:r>
          <m:rPr>
            <m:sty m:val="p"/>
          </m:rPr>
          <w:rPr>
            <w:rFonts w:ascii="Cambria Math" w:hAnsi="Cambria Math"/>
          </w:rPr>
          <m:t>∈{</m:t>
        </m:r>
        <m:r>
          <m:rPr>
            <m:nor/>
          </m:rPr>
          <m:t>gp</m:t>
        </m:r>
        <m:r>
          <m:rPr>
            <m:sty m:val="p"/>
          </m:rPr>
          <w:rPr>
            <w:rFonts w:ascii="Cambria Math" w:hAnsi="Cambria Math"/>
          </w:rPr>
          <m:t>,</m:t>
        </m:r>
        <m:r>
          <m:rPr>
            <m:nor/>
          </m:rPr>
          <m:t>mlp</m:t>
        </m:r>
        <m:r>
          <m:rPr>
            <m:sty m:val="p"/>
          </m:rPr>
          <w:rPr>
            <w:rFonts w:ascii="Cambria Math" w:hAnsi="Cambria Math"/>
          </w:rPr>
          <m:t>,</m:t>
        </m:r>
        <m:r>
          <m:rPr>
            <m:nor/>
          </m:rPr>
          <m:t>ridge</m:t>
        </m:r>
        <m:r>
          <m:rPr>
            <m:sty m:val="p"/>
          </m:rPr>
          <w:rPr>
            <w:rFonts w:ascii="Cambria Math" w:hAnsi="Cambria Math"/>
          </w:rPr>
          <m:t>,</m:t>
        </m:r>
        <m:r>
          <m:rPr>
            <m:nor/>
          </m:rPr>
          <m:t>mix_gp</m:t>
        </m:r>
        <m:r>
          <m:rPr>
            <m:sty m:val="p"/>
          </m:rPr>
          <w:rPr>
            <w:rFonts w:ascii="Cambria Math" w:hAnsi="Cambria Math"/>
          </w:rPr>
          <m:t>}</m:t>
        </m:r>
      </m:oMath>
      <w:r w:rsidRPr="005F2829">
        <w:t xml:space="preserve"> indexes different function priors including Gaussian Process (GP), Multi-Layer Perceptron (MLP), ridge regression, and mixed GP priors, </w:t>
      </w:r>
      <m:oMath>
        <m:r>
          <m:rPr>
            <m:sty m:val="b"/>
          </m:rPr>
          <w:rPr>
            <w:rFonts w:ascii="Cambria Math" w:hAnsi="Cambria Math"/>
          </w:rPr>
          <m:t>π</m:t>
        </m:r>
      </m:oMath>
      <w:r w:rsidRPr="005F2829">
        <w:t xml:space="preserve"> represents probability weights for prior family selection, and </w:t>
      </w:r>
      <m:oMath>
        <m:r>
          <m:rPr>
            <m:sty m:val="b"/>
          </m:rPr>
          <w:rPr>
            <w:rFonts w:ascii="Cambria Math" w:hAnsi="Cambria Math"/>
          </w:rPr>
          <m:t>θ</m:t>
        </m:r>
      </m:oMath>
      <w:r w:rsidRPr="005F2829">
        <w:t xml:space="preserve"> is a hyperparameter vector containing kernel/architecture specifications, noise level, class count, and input scaling parameters.</w:t>
      </w:r>
    </w:p>
    <w:p w14:paraId="139F8956" w14:textId="77777777" w:rsidR="0055206D" w:rsidRPr="005F2829" w:rsidRDefault="00000000">
      <w:pPr>
        <w:pStyle w:val="a0"/>
      </w:pPr>
      <w:r w:rsidRPr="005F2829">
        <w:t xml:space="preserve">We draw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eval</m:t>
            </m:r>
          </m:sub>
        </m:sSub>
      </m:oMath>
      <w:r w:rsidRPr="005F2829">
        <w:t xml:space="preserve"> inputs where </w:t>
      </w:r>
      <m:oMath>
        <m:sSub>
          <m:sSubPr>
            <m:ctrlPr>
              <w:rPr>
                <w:rFonts w:ascii="Cambria Math" w:hAnsi="Cambria Math"/>
              </w:rPr>
            </m:ctrlPr>
          </m:sSubPr>
          <m:e>
            <m:r>
              <w:rPr>
                <w:rFonts w:ascii="Cambria Math" w:hAnsi="Cambria Math"/>
              </w:rPr>
              <m:t>n</m:t>
            </m:r>
          </m:e>
          <m:sub>
            <m:r>
              <m:rPr>
                <m:nor/>
              </m:rPr>
              <m:t>ctx</m:t>
            </m:r>
          </m:sub>
        </m:sSub>
      </m:oMath>
      <w:r w:rsidRPr="005F2829">
        <w:t xml:space="preserve"> is the number of context (training) examples per synthetic task, </w:t>
      </w:r>
      <m:oMath>
        <m:sSub>
          <m:sSubPr>
            <m:ctrlPr>
              <w:rPr>
                <w:rFonts w:ascii="Cambria Math" w:hAnsi="Cambria Math"/>
              </w:rPr>
            </m:ctrlPr>
          </m:sSubPr>
          <m:e>
            <m:r>
              <w:rPr>
                <w:rFonts w:ascii="Cambria Math" w:hAnsi="Cambria Math"/>
              </w:rPr>
              <m:t>n</m:t>
            </m:r>
          </m:e>
          <m:sub>
            <m:r>
              <m:rPr>
                <m:nor/>
              </m:rPr>
              <m:t>eval</m:t>
            </m:r>
          </m:sub>
        </m:sSub>
      </m:oMath>
      <w:r w:rsidRPr="005F2829">
        <w:t xml:space="preserve"> is the number of evaluation (test) examples per synthetic task, and </w:t>
      </w:r>
      <m:oMath>
        <m:r>
          <w:rPr>
            <w:rFonts w:ascii="Cambria Math" w:hAnsi="Cambria Math"/>
          </w:rPr>
          <m:t>T</m:t>
        </m:r>
      </m:oMath>
      <w:r w:rsidRPr="005F2829">
        <w:t xml:space="preserve"> is the total sequence length. Inputs are sampled independently from a factorized base distribution and optionally transformed:</w:t>
      </w:r>
    </w:p>
    <w:p w14:paraId="6A6451E6" w14:textId="77777777" w:rsidR="0055206D" w:rsidRPr="005F2829"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base</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b"/>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oMath>
      </m:oMathPara>
    </w:p>
    <w:p w14:paraId="25A6E476" w14:textId="77777777" w:rsidR="0055206D" w:rsidRPr="005F2829" w:rsidRDefault="00000000">
      <w:pPr>
        <w:pStyle w:val="FirstParagraph"/>
      </w:pPr>
      <w:r w:rsidRPr="005F2829">
        <w:t xml:space="preserve">where </w:t>
      </w:r>
      <m:oMath>
        <m:sSub>
          <m:sSubPr>
            <m:ctrlPr>
              <w:rPr>
                <w:rFonts w:ascii="Cambria Math" w:hAnsi="Cambria Math"/>
              </w:rPr>
            </m:ctrlPr>
          </m:sSubPr>
          <m:e>
            <m:r>
              <w:rPr>
                <w:rFonts w:ascii="Cambria Math" w:hAnsi="Cambria Math"/>
              </w:rPr>
              <m:t>p</m:t>
            </m:r>
          </m:e>
          <m:sub>
            <m:r>
              <m:rPr>
                <m:nor/>
              </m:rPr>
              <m:t>base</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oMath>
      <w:r w:rsidRPr="005F2829">
        <w:t xml:space="preserve"> is a factorized base distribution (often uniform or Gaussian per feature) and </w:t>
      </w:r>
      <m:oMath>
        <m:sSub>
          <m:sSubPr>
            <m:ctrlPr>
              <w:rPr>
                <w:rFonts w:ascii="Cambria Math" w:hAnsi="Cambria Math"/>
              </w:rPr>
            </m:ctrlPr>
          </m:sSubPr>
          <m:e>
            <m:r>
              <w:rPr>
                <w:rFonts w:ascii="Cambria Math" w:hAnsi="Cambria Math"/>
              </w:rPr>
              <m:t>ψ</m:t>
            </m:r>
          </m:e>
          <m:sub>
            <m:r>
              <m:rPr>
                <m:sty m:val="b"/>
              </m:rPr>
              <w:rPr>
                <w:rFonts w:ascii="Cambria Math" w:hAnsi="Cambria Math"/>
              </w:rPr>
              <m:t>θ</m:t>
            </m:r>
          </m:sub>
        </m:sSub>
        <m:r>
          <m:rPr>
            <m:sty m:val="p"/>
          </m:rPr>
          <w:rPr>
            <w:rFonts w:ascii="Cambria Math" w:hAnsi="Cambria Math"/>
          </w:rPr>
          <m:t>(⋅)</m:t>
        </m:r>
      </m:oMath>
      <w:r w:rsidRPr="005F2829">
        <w:t xml:space="preserve"> is a feature transform function.</w:t>
      </w:r>
    </w:p>
    <w:p w14:paraId="0E9738AB" w14:textId="77777777" w:rsidR="0055206D" w:rsidRPr="005F2829" w:rsidRDefault="00000000">
      <w:pPr>
        <w:pStyle w:val="a0"/>
      </w:pPr>
      <w:r w:rsidRPr="005F2829">
        <w:t xml:space="preserve">Conditioned on </w:t>
      </w:r>
      <m:oMath>
        <m:r>
          <m:rPr>
            <m:sty m:val="p"/>
          </m:rPr>
          <w:rPr>
            <w:rFonts w:ascii="Cambria Math" w:hAnsi="Cambria Math"/>
          </w:rPr>
          <m:t>(</m:t>
        </m:r>
        <m:r>
          <w:rPr>
            <w:rFonts w:ascii="Cambria Math" w:hAnsi="Cambria Math"/>
          </w:rPr>
          <m:t>r</m:t>
        </m:r>
        <m:r>
          <m:rPr>
            <m:sty m:val="p"/>
          </m:rPr>
          <w:rPr>
            <w:rFonts w:ascii="Cambria Math" w:hAnsi="Cambria Math"/>
          </w:rPr>
          <m:t>,</m:t>
        </m:r>
        <m:r>
          <m:rPr>
            <m:sty m:val="b"/>
          </m:rPr>
          <w:rPr>
            <w:rFonts w:ascii="Cambria Math" w:hAnsi="Cambria Math"/>
          </w:rPr>
          <m:t>θ</m:t>
        </m:r>
        <m:r>
          <m:rPr>
            <m:sty m:val="p"/>
          </m:rPr>
          <w:rPr>
            <w:rFonts w:ascii="Cambria Math" w:hAnsi="Cambria Math"/>
          </w:rPr>
          <m:t>)</m:t>
        </m:r>
      </m:oMath>
      <w:r w:rsidRPr="005F2829">
        <w:t xml:space="preserve">, a random function </w:t>
      </w:r>
      <m:oMath>
        <m:sSub>
          <m:sSubPr>
            <m:ctrlPr>
              <w:rPr>
                <w:rFonts w:ascii="Cambria Math" w:hAnsi="Cambria Math"/>
              </w:rPr>
            </m:ctrlPr>
          </m:sSubPr>
          <m:e>
            <m:r>
              <w:rPr>
                <w:rFonts w:ascii="Cambria Math" w:hAnsi="Cambria Math"/>
              </w:rPr>
              <m:t>f</m:t>
            </m:r>
          </m:e>
          <m:sub>
            <m:r>
              <m:rPr>
                <m:sty m:val="p"/>
              </m:rPr>
              <w:rPr>
                <w:rFonts w:ascii="Cambria Math" w:hAnsi="Cambria Math"/>
              </w:rPr>
              <m:t>Θ</m:t>
            </m:r>
          </m:sub>
        </m:sSub>
      </m:oMath>
      <w:r w:rsidRPr="005F2829">
        <w:t xml:space="preserve"> generates latent outputs. For a GP prior, each class logit is an independent draw from a GP with zero mean and kernel </w:t>
      </w:r>
      <m:oMath>
        <m:sSub>
          <m:sSubPr>
            <m:ctrlPr>
              <w:rPr>
                <w:rFonts w:ascii="Cambria Math" w:hAnsi="Cambria Math"/>
              </w:rPr>
            </m:ctrlPr>
          </m:sSubPr>
          <m:e>
            <m:r>
              <w:rPr>
                <w:rFonts w:ascii="Cambria Math" w:hAnsi="Cambria Math"/>
              </w:rPr>
              <m:t>k</m:t>
            </m:r>
          </m:e>
          <m:sub>
            <m:r>
              <m:rPr>
                <m:sty m:val="b"/>
              </m:rPr>
              <w:rPr>
                <w:rFonts w:ascii="Cambria Math" w:hAnsi="Cambria Math"/>
              </w:rPr>
              <m:t>θ</m:t>
            </m:r>
          </m:sub>
        </m:sSub>
      </m:oMath>
      <w:r w:rsidRPr="005F2829">
        <w:t xml:space="preserve"> (e.g., RBF with length-scale </w:t>
      </w:r>
      <m:oMath>
        <m:r>
          <m:rPr>
            <m:scr m:val="script"/>
          </m:rPr>
          <w:rPr>
            <w:rFonts w:ascii="Cambria Math" w:hAnsi="Cambria Math"/>
          </w:rPr>
          <m:t>l</m:t>
        </m:r>
      </m:oMath>
      <w:r w:rsidRPr="005F2829">
        <w:t xml:space="preserve"> and output scale </w:t>
      </w:r>
      <m:oMath>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oMath>
      <w:r w:rsidRPr="005F2829">
        <w:t xml:space="preserve">). For random-MLP priors, depth/width and weights are sampled, with nonlinearity </w:t>
      </w:r>
      <m:oMath>
        <m:r>
          <w:rPr>
            <w:rFonts w:ascii="Cambria Math" w:hAnsi="Cambria Math"/>
          </w:rPr>
          <m:t>ϕ</m:t>
        </m:r>
      </m:oMath>
      <w:r w:rsidRPr="005F2829">
        <w:t xml:space="preserve"> (e.g., ReLU).</w:t>
      </w:r>
    </w:p>
    <w:p w14:paraId="5A65BBA1" w14:textId="77777777" w:rsidR="0055206D" w:rsidRPr="005F2829" w:rsidRDefault="00000000">
      <w:pPr>
        <w:pStyle w:val="a0"/>
      </w:pPr>
      <w:r w:rsidRPr="005F2829">
        <w:t xml:space="preserve">The model output dimensionality </w:t>
      </w:r>
      <m:oMath>
        <m:sSub>
          <m:sSubPr>
            <m:ctrlPr>
              <w:rPr>
                <w:rFonts w:ascii="Cambria Math" w:hAnsi="Cambria Math"/>
              </w:rPr>
            </m:ctrlPr>
          </m:sSubPr>
          <m:e>
            <m:r>
              <w:rPr>
                <w:rFonts w:ascii="Cambria Math" w:hAnsi="Cambria Math"/>
              </w:rPr>
              <m:t>n</m:t>
            </m:r>
          </m:e>
          <m:sub>
            <m:r>
              <m:rPr>
                <m:nor/>
              </m:rPr>
              <m:t>out</m:t>
            </m:r>
          </m:sub>
        </m:sSub>
      </m:oMath>
      <w:r w:rsidRPr="005F2829">
        <w:t xml:space="preserve"> is determined by the task type: - For classification with </w:t>
      </w:r>
      <m:oMath>
        <m:r>
          <w:rPr>
            <w:rFonts w:ascii="Cambria Math" w:hAnsi="Cambria Math"/>
          </w:rPr>
          <m:t>C</m:t>
        </m:r>
      </m:oMath>
      <w:r w:rsidRPr="005F2829">
        <w:t xml:space="preserve"> classes: </w:t>
      </w:r>
      <m:oMath>
        <m:sSub>
          <m:sSubPr>
            <m:ctrlPr>
              <w:rPr>
                <w:rFonts w:ascii="Cambria Math" w:hAnsi="Cambria Math"/>
              </w:rPr>
            </m:ctrlPr>
          </m:sSubPr>
          <m:e>
            <m:r>
              <w:rPr>
                <w:rFonts w:ascii="Cambria Math" w:hAnsi="Cambria Math"/>
              </w:rPr>
              <m:t>n</m:t>
            </m:r>
          </m:e>
          <m:sub>
            <m:r>
              <m:rPr>
                <m:nor/>
              </m:rPr>
              <m:t>out</m:t>
            </m:r>
          </m:sub>
        </m:sSub>
        <m:r>
          <m:rPr>
            <m:sty m:val="p"/>
          </m:rPr>
          <w:rPr>
            <w:rFonts w:ascii="Cambria Math" w:hAnsi="Cambria Math"/>
          </w:rPr>
          <m:t>=</m:t>
        </m:r>
        <m:r>
          <w:rPr>
            <w:rFonts w:ascii="Cambria Math" w:hAnsi="Cambria Math"/>
          </w:rPr>
          <m:t>C</m:t>
        </m:r>
      </m:oMath>
      <w:r w:rsidRPr="005F2829">
        <w:t xml:space="preserve"> - For binary classification: </w:t>
      </w:r>
      <m:oMath>
        <m:sSub>
          <m:sSubPr>
            <m:ctrlPr>
              <w:rPr>
                <w:rFonts w:ascii="Cambria Math" w:hAnsi="Cambria Math"/>
              </w:rPr>
            </m:ctrlPr>
          </m:sSubPr>
          <m:e>
            <m:r>
              <w:rPr>
                <w:rFonts w:ascii="Cambria Math" w:hAnsi="Cambria Math"/>
              </w:rPr>
              <m:t>n</m:t>
            </m:r>
          </m:e>
          <m:sub>
            <m:r>
              <m:rPr>
                <m:nor/>
              </m:rPr>
              <m:t>out</m:t>
            </m:r>
          </m:sub>
        </m:sSub>
        <m:r>
          <m:rPr>
            <m:sty m:val="p"/>
          </m:rPr>
          <w:rPr>
            <w:rFonts w:ascii="Cambria Math" w:hAnsi="Cambria Math"/>
          </w:rPr>
          <m:t>=</m:t>
        </m:r>
        <m:r>
          <w:rPr>
            <w:rFonts w:ascii="Cambria Math" w:hAnsi="Cambria Math"/>
          </w:rPr>
          <m:t>2</m:t>
        </m:r>
      </m:oMath>
      <w:r w:rsidRPr="005F2829">
        <w:t xml:space="preserve"> - For regression: </w:t>
      </w:r>
      <m:oMath>
        <m:sSub>
          <m:sSubPr>
            <m:ctrlPr>
              <w:rPr>
                <w:rFonts w:ascii="Cambria Math" w:hAnsi="Cambria Math"/>
              </w:rPr>
            </m:ctrlPr>
          </m:sSubPr>
          <m:e>
            <m:r>
              <w:rPr>
                <w:rFonts w:ascii="Cambria Math" w:hAnsi="Cambria Math"/>
              </w:rPr>
              <m:t>n</m:t>
            </m:r>
          </m:e>
          <m:sub>
            <m:r>
              <m:rPr>
                <m:nor/>
              </m:rPr>
              <m:t>out</m:t>
            </m:r>
          </m:sub>
        </m:sSub>
        <m:r>
          <m:rPr>
            <m:sty m:val="p"/>
          </m:rPr>
          <w:rPr>
            <w:rFonts w:ascii="Cambria Math" w:hAnsi="Cambria Math"/>
          </w:rPr>
          <m:t>=</m:t>
        </m:r>
        <m:r>
          <w:rPr>
            <w:rFonts w:ascii="Cambria Math" w:hAnsi="Cambria Math"/>
          </w:rPr>
          <m:t>1</m:t>
        </m:r>
      </m:oMath>
    </w:p>
    <w:p w14:paraId="0BDC0295" w14:textId="77777777" w:rsidR="0055206D" w:rsidRPr="005F2829" w:rsidRDefault="00000000">
      <w:pPr>
        <w:pStyle w:val="3"/>
        <w:rPr>
          <w:rFonts w:cs="Times New Roman"/>
          <w:color w:val="000000" w:themeColor="text1"/>
        </w:rPr>
      </w:pPr>
      <w:bookmarkStart w:id="69" w:name="in-context-learning-and-inference"/>
      <w:bookmarkEnd w:id="68"/>
      <w:r w:rsidRPr="005F2829">
        <w:rPr>
          <w:rFonts w:cs="Times New Roman"/>
          <w:color w:val="000000" w:themeColor="text1"/>
        </w:rPr>
        <w:t>In-Context Learning and Inference</w:t>
      </w:r>
    </w:p>
    <w:p w14:paraId="125BC19C" w14:textId="77777777" w:rsidR="0055206D" w:rsidRPr="005F2829" w:rsidRDefault="00000000">
      <w:pPr>
        <w:pStyle w:val="FirstParagraph"/>
      </w:pPr>
      <w:r w:rsidRPr="005F2829">
        <w:t xml:space="preserve">TabPFN employs in-context learning for prediction without parameter updates. Given context examples </w:t>
      </w:r>
      <m:oMath>
        <m:sSub>
          <m:sSubPr>
            <m:ctrlPr>
              <w:rPr>
                <w:rFonts w:ascii="Cambria Math" w:hAnsi="Cambria Math"/>
              </w:rPr>
            </m:ctrlPr>
          </m:sSubPr>
          <m:e>
            <m:r>
              <m:rPr>
                <m:scr m:val="script"/>
                <m:sty m:val="p"/>
              </m:rPr>
              <w:rPr>
                <w:rFonts w:ascii="Cambria Math" w:hAnsi="Cambria Math"/>
              </w:rPr>
              <m:t>D</m:t>
            </m:r>
          </m:e>
          <m:sub>
            <m:r>
              <m:rPr>
                <m:nor/>
              </m:rPr>
              <m:t>ctx</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nor/>
                  </m:rPr>
                  <m:t>ctx</m:t>
                </m:r>
              </m:sub>
            </m:sSub>
          </m:sup>
        </m:sSubSup>
      </m:oMath>
      <w:r w:rsidRPr="005F2829">
        <w:t xml:space="preserve"> and query inputs </w:t>
      </w:r>
      <m:oMath>
        <m:sSub>
          <m:sSubPr>
            <m:ctrlPr>
              <w:rPr>
                <w:rFonts w:ascii="Cambria Math" w:hAnsi="Cambria Math"/>
              </w:rPr>
            </m:ctrlPr>
          </m:sSubPr>
          <m:e>
            <m:r>
              <m:rPr>
                <m:sty m:val="b"/>
              </m:rPr>
              <w:rPr>
                <w:rFonts w:ascii="Cambria Math" w:hAnsi="Cambria Math"/>
              </w:rPr>
              <m:t>x</m:t>
            </m:r>
          </m:e>
          <m:sub>
            <m:r>
              <m:rPr>
                <m:nor/>
              </m:rPr>
              <m:t>query</m:t>
            </m:r>
          </m:sub>
        </m:sSub>
      </m:oMath>
      <w:r w:rsidRPr="005F2829">
        <w:t>, the model processes the entire sequence:</w:t>
      </w:r>
    </w:p>
    <w:p w14:paraId="651F28FA" w14:textId="77777777" w:rsidR="0055206D" w:rsidRPr="005F2829" w:rsidRDefault="00000000">
      <w:pPr>
        <w:pStyle w:val="a0"/>
      </w:pPr>
      <m:oMathPara>
        <m:oMathParaPr>
          <m:jc m:val="center"/>
        </m:oMathParaPr>
        <m:oMath>
          <m:r>
            <m:rPr>
              <m:sty m:val="b"/>
            </m:rPr>
            <w:rPr>
              <w:rFonts w:ascii="Cambria Math" w:hAnsi="Cambria Math"/>
            </w:rPr>
            <m:t>z</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sSub>
                <m:sSubPr>
                  <m:ctrlPr>
                    <w:rPr>
                      <w:rFonts w:ascii="Cambria Math" w:hAnsi="Cambria Math"/>
                    </w:rPr>
                  </m:ctrlPr>
                </m:sSubPr>
                <m:e>
                  <m:r>
                    <w:rPr>
                      <w:rFonts w:ascii="Cambria Math" w:hAnsi="Cambria Math"/>
                    </w:rPr>
                    <m:t>n</m:t>
                  </m:r>
                </m:e>
                <m:sub>
                  <m:r>
                    <m:rPr>
                      <m:nor/>
                    </m:rPr>
                    <m:t>ctx</m:t>
                  </m:r>
                </m:sub>
              </m:sSub>
            </m:sub>
          </m:sSub>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n</m:t>
                  </m:r>
                </m:e>
                <m:sub>
                  <m:r>
                    <m:rPr>
                      <m:nor/>
                    </m:rPr>
                    <m:t>ctx</m:t>
                  </m:r>
                </m:sub>
              </m:sSub>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m:rPr>
                  <m:nor/>
                </m:rPr>
                <m:t>query</m:t>
              </m:r>
            </m:sub>
          </m:sSub>
          <m:r>
            <m:rPr>
              <m:sty m:val="p"/>
            </m:rPr>
            <w:rPr>
              <w:rFonts w:ascii="Cambria Math" w:hAnsi="Cambria Math"/>
            </w:rPr>
            <m:t>]</m:t>
          </m:r>
        </m:oMath>
      </m:oMathPara>
    </w:p>
    <w:p w14:paraId="7773FE92" w14:textId="77777777" w:rsidR="0055206D" w:rsidRPr="005F2829" w:rsidRDefault="00000000">
      <w:pPr>
        <w:pStyle w:val="FirstParagraph"/>
      </w:pPr>
      <w:r w:rsidRPr="005F2829">
        <w:t>The pre-training objective employs positional loss computation, where losses are calculated for each position in the sequence and averaged across valid positions. For in-context learning scenarios, only the query positions contribute to the loss calculation:</w:t>
      </w:r>
    </w:p>
    <w:p w14:paraId="37FA1BA1" w14:textId="77777777" w:rsidR="0055206D" w:rsidRPr="005F2829"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ICL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ctx</m:t>
                      </m:r>
                    </m:sub>
                  </m:sSub>
                  <m:r>
                    <m:rPr>
                      <m:sty m:val="p"/>
                    </m:rPr>
                    <w:rPr>
                      <w:rFonts w:ascii="Cambria Math" w:hAnsi="Cambria Math"/>
                    </w:rPr>
                    <m:t>+</m:t>
                  </m:r>
                  <m:r>
                    <w:rPr>
                      <w:rFonts w:ascii="Cambria Math" w:hAnsi="Cambria Math"/>
                    </w:rPr>
                    <m:t>1</m:t>
                  </m:r>
                </m:sub>
                <m:sup>
                  <m:r>
                    <w:rPr>
                      <w:rFonts w:ascii="Cambria Math" w:hAnsi="Cambria Math"/>
                    </w:rPr>
                    <m:t>T</m:t>
                  </m:r>
                </m:sup>
                <m:e>
                  <m:r>
                    <m:rPr>
                      <m:scr m:val="script"/>
                    </m:rPr>
                    <w:rPr>
                      <w:rFonts w:ascii="Cambria Math" w:hAnsi="Cambria Math"/>
                    </w:rPr>
                    <m:t>l</m:t>
                  </m:r>
                </m:e>
              </m:nary>
            </m:e>
          </m:nary>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oMath>
      </m:oMathPara>
    </w:p>
    <w:p w14:paraId="1102BB3E" w14:textId="77777777" w:rsidR="0055206D" w:rsidRPr="005F2829" w:rsidRDefault="00000000">
      <w:pPr>
        <w:pStyle w:val="FirstParagraph"/>
      </w:pPr>
      <w:r w:rsidRPr="005F2829">
        <w:t xml:space="preserve">where </w:t>
      </w:r>
      <m:oMath>
        <m:r>
          <w:rPr>
            <w:rFonts w:ascii="Cambria Math" w:hAnsi="Cambria Math"/>
          </w:rPr>
          <m:t>N</m:t>
        </m:r>
      </m:oMath>
      <w:r w:rsidRPr="005F2829">
        <w:t xml:space="preserve"> is the batch size. The model applies causal masking to prevent gradient flow from test sample predictions back to model parameters, enabling predictions for test samples without gradient updates.</w:t>
      </w:r>
    </w:p>
    <w:p w14:paraId="30D60581" w14:textId="77777777" w:rsidR="0055206D" w:rsidRPr="005F2829" w:rsidRDefault="00000000">
      <w:pPr>
        <w:pStyle w:val="3"/>
        <w:rPr>
          <w:rFonts w:cs="Times New Roman"/>
          <w:color w:val="000000" w:themeColor="text1"/>
        </w:rPr>
      </w:pPr>
      <w:bookmarkStart w:id="70" w:name="medical-domain-adaptations"/>
      <w:bookmarkEnd w:id="69"/>
      <w:r w:rsidRPr="005F2829">
        <w:rPr>
          <w:rFonts w:cs="Times New Roman"/>
          <w:color w:val="000000" w:themeColor="text1"/>
        </w:rPr>
        <w:t>Medical Domain Adaptations</w:t>
      </w:r>
    </w:p>
    <w:p w14:paraId="1D9DE062" w14:textId="77777777" w:rsidR="0055206D" w:rsidRPr="005F2829" w:rsidRDefault="00000000">
      <w:pPr>
        <w:pStyle w:val="FirstParagraph"/>
      </w:pPr>
      <w:r w:rsidRPr="005F2829">
        <w:t>For medical applications, TabPFN is adapted through specialized ensemble strategies and preprocessing:</w:t>
      </w:r>
    </w:p>
    <w:p w14:paraId="4CB5E41F" w14:textId="77777777" w:rsidR="0055206D" w:rsidRPr="005F2829" w:rsidRDefault="00000000">
      <w:pPr>
        <w:pStyle w:val="4"/>
        <w:rPr>
          <w:rFonts w:cs="Times New Roman"/>
          <w:color w:val="000000" w:themeColor="text1"/>
        </w:rPr>
      </w:pPr>
      <w:bookmarkStart w:id="71" w:name="class-imbalance-handling"/>
      <w:r w:rsidRPr="005F2829">
        <w:rPr>
          <w:rFonts w:cs="Times New Roman"/>
          <w:color w:val="000000" w:themeColor="text1"/>
        </w:rPr>
        <w:t>Class Imbalance Handling:</w:t>
      </w:r>
    </w:p>
    <w:p w14:paraId="78FD4EE7" w14:textId="77777777" w:rsidR="0055206D" w:rsidRPr="005F2829" w:rsidRDefault="00000000">
      <w:pPr>
        <w:pStyle w:val="FirstParagraph"/>
      </w:pPr>
      <w:r w:rsidRPr="005F2829">
        <w:t>To address the intrinsic label imbalance in medical datasets, inverse-frequency reweighting is applied during output aggregation:</w:t>
      </w:r>
    </w:p>
    <w:p w14:paraId="28C8E55C" w14:textId="77777777" w:rsidR="0055206D" w:rsidRPr="005F2829" w:rsidRDefault="00000000">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m:t>
              </m:r>
            </m:sub>
            <m:sup>
              <m:r>
                <m:rPr>
                  <m:nor/>
                </m:rPr>
                <m:t>balanced</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den>
          </m:f>
        </m:oMath>
      </m:oMathPara>
    </w:p>
    <w:p w14:paraId="3E13D469" w14:textId="77777777" w:rsidR="0055206D" w:rsidRPr="005F2829" w:rsidRDefault="00000000">
      <w:pPr>
        <w:pStyle w:val="FirstParagraph"/>
      </w:pPr>
      <w:r w:rsidRPr="005F2829">
        <w:t xml:space="preserve">where </w:t>
      </w:r>
      <m:oMath>
        <m:acc>
          <m:accPr>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oMath>
      <w:r w:rsidRPr="005F2829">
        <w:t xml:space="preserve"> are predicted class probabilities and </w:t>
      </w:r>
      <m:oMath>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oMath>
      <w:r w:rsidRPr="005F2829">
        <w:t xml:space="preserve"> represents empirical class distribution from training data.</w:t>
      </w:r>
    </w:p>
    <w:p w14:paraId="19C89FC1" w14:textId="77777777" w:rsidR="0055206D" w:rsidRPr="005F2829" w:rsidRDefault="00000000">
      <w:pPr>
        <w:pStyle w:val="4"/>
        <w:rPr>
          <w:rFonts w:cs="Times New Roman"/>
          <w:color w:val="000000" w:themeColor="text1"/>
        </w:rPr>
      </w:pPr>
      <w:bookmarkStart w:id="72" w:name="ensemble-aggregation"/>
      <w:bookmarkEnd w:id="71"/>
      <w:r w:rsidRPr="005F2829">
        <w:rPr>
          <w:rFonts w:cs="Times New Roman"/>
          <w:color w:val="000000" w:themeColor="text1"/>
        </w:rPr>
        <w:t>Ensemble Aggregation:</w:t>
      </w:r>
    </w:p>
    <w:p w14:paraId="40A58043" w14:textId="77777777" w:rsidR="0055206D" w:rsidRPr="005F2829" w:rsidRDefault="00000000">
      <w:pPr>
        <w:pStyle w:val="FirstParagraph"/>
      </w:pPr>
      <w:r w:rsidRPr="005F2829">
        <w:t xml:space="preserve">Predictions from </w:t>
      </w:r>
      <m:oMath>
        <m:r>
          <w:rPr>
            <w:rFonts w:ascii="Cambria Math" w:hAnsi="Cambria Math"/>
          </w:rPr>
          <m:t>N</m:t>
        </m:r>
        <m:r>
          <m:rPr>
            <m:sty m:val="p"/>
          </m:rPr>
          <w:rPr>
            <w:rFonts w:ascii="Cambria Math" w:hAnsi="Cambria Math"/>
          </w:rPr>
          <m:t>=</m:t>
        </m:r>
        <m:r>
          <w:rPr>
            <w:rFonts w:ascii="Cambria Math" w:hAnsi="Cambria Math"/>
          </w:rPr>
          <m:t>32</m:t>
        </m:r>
      </m:oMath>
      <w:r w:rsidRPr="005F2829">
        <w:t xml:space="preserve"> ensemble members are aggregated using temperature-scaled probability averaging:</w:t>
      </w:r>
    </w:p>
    <w:p w14:paraId="28365951" w14:textId="77777777" w:rsidR="0055206D" w:rsidRPr="005F2829" w:rsidRDefault="0000000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m:t>
          </m:r>
          <m:r>
            <m:rPr>
              <m:sty m:val="b"/>
            </m:rP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p"/>
                    </m:rPr>
                    <w:rPr>
                      <w:rFonts w:ascii="Cambria Math" w:hAnsi="Cambria Math"/>
                    </w:rPr>
                    <m:t>exp(</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c</m:t>
                      </m:r>
                    </m:sup>
                  </m:sSubSup>
                  <m:r>
                    <m:rPr>
                      <m:sty m:val="p"/>
                    </m:rPr>
                    <w:rPr>
                      <w:rFonts w:ascii="Cambria Math" w:hAnsi="Cambria Math"/>
                    </w:rPr>
                    <m:t>/</m:t>
                  </m:r>
                  <m:r>
                    <w:rPr>
                      <w:rFonts w:ascii="Cambria Math" w:hAnsi="Cambria Math"/>
                    </w:rPr>
                    <m:t>T</m:t>
                  </m:r>
                  <m:r>
                    <m:rPr>
                      <m:sty m:val="p"/>
                    </m:rPr>
                    <w:rPr>
                      <w:rFonts w:ascii="Cambria Math" w:hAnsi="Cambria Math"/>
                    </w:rPr>
                    <m:t>)</m:t>
                  </m:r>
                </m:num>
                <m:den>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exp</m:t>
                      </m:r>
                    </m:e>
                  </m:nary>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sSup>
                        <m:sSupPr>
                          <m:ctrlPr>
                            <w:rPr>
                              <w:rFonts w:ascii="Cambria Math" w:hAnsi="Cambria Math"/>
                            </w:rPr>
                          </m:ctrlPr>
                        </m:sSupPr>
                        <m:e>
                          <m:r>
                            <w:rPr>
                              <w:rFonts w:ascii="Cambria Math" w:hAnsi="Cambria Math"/>
                            </w:rPr>
                            <m:t>c</m:t>
                          </m:r>
                        </m:e>
                        <m:sup>
                          <m:r>
                            <m:rPr>
                              <m:sty m:val="p"/>
                            </m:rPr>
                            <w:rPr>
                              <w:rFonts w:ascii="Cambria Math" w:hAnsi="Cambria Math"/>
                            </w:rPr>
                            <m:t>'</m:t>
                          </m:r>
                        </m:sup>
                      </m:sSup>
                    </m:sup>
                  </m:sSubSup>
                  <m:r>
                    <m:rPr>
                      <m:sty m:val="p"/>
                    </m:rPr>
                    <w:rPr>
                      <w:rFonts w:ascii="Cambria Math" w:hAnsi="Cambria Math"/>
                    </w:rPr>
                    <m:t>/</m:t>
                  </m:r>
                  <m:r>
                    <w:rPr>
                      <w:rFonts w:ascii="Cambria Math" w:hAnsi="Cambria Math"/>
                    </w:rPr>
                    <m:t>T</m:t>
                  </m:r>
                  <m:r>
                    <m:rPr>
                      <m:sty m:val="p"/>
                    </m:rPr>
                    <w:rPr>
                      <w:rFonts w:ascii="Cambria Math" w:hAnsi="Cambria Math"/>
                    </w:rPr>
                    <m:t>)</m:t>
                  </m:r>
                </m:den>
              </m:f>
            </m:e>
          </m:nary>
        </m:oMath>
      </m:oMathPara>
    </w:p>
    <w:p w14:paraId="480D3D23" w14:textId="77777777" w:rsidR="0055206D" w:rsidRPr="005F2829" w:rsidRDefault="00000000">
      <w:pPr>
        <w:pStyle w:val="FirstParagraph"/>
      </w:pPr>
      <w:r w:rsidRPr="005F2829">
        <w:t xml:space="preserve">where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c</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m:rPr>
                    <m:nor/>
                  </m:rPr>
                  <m:t>test</m:t>
                </m:r>
              </m:sub>
            </m:sSub>
            <m:r>
              <m:rPr>
                <m:sty m:val="p"/>
              </m:rPr>
              <w:rPr>
                <w:rFonts w:ascii="Cambria Math" w:hAnsi="Cambria Math"/>
              </w:rPr>
              <m:t>×</m:t>
            </m:r>
            <m:r>
              <w:rPr>
                <w:rFonts w:ascii="Cambria Math" w:hAnsi="Cambria Math"/>
              </w:rPr>
              <m:t>C</m:t>
            </m:r>
          </m:sup>
        </m:sSup>
      </m:oMath>
      <w:r w:rsidRPr="005F2829">
        <w:t xml:space="preserve"> denotes the logits from the </w:t>
      </w:r>
      <m:oMath>
        <m:r>
          <w:rPr>
            <w:rFonts w:ascii="Cambria Math" w:hAnsi="Cambria Math"/>
          </w:rPr>
          <m:t>i</m:t>
        </m:r>
      </m:oMath>
      <w:r w:rsidRPr="005F2829">
        <w:t xml:space="preserve">-th member, </w:t>
      </w:r>
      <m:oMath>
        <m:r>
          <w:rPr>
            <w:rFonts w:ascii="Cambria Math" w:hAnsi="Cambria Math"/>
          </w:rPr>
          <m:t>T</m:t>
        </m:r>
        <m:r>
          <m:rPr>
            <m:sty m:val="p"/>
          </m:rPr>
          <w:rPr>
            <w:rFonts w:ascii="Cambria Math" w:hAnsi="Cambria Math"/>
          </w:rPr>
          <m:t>=</m:t>
        </m:r>
        <m:r>
          <w:rPr>
            <w:rFonts w:ascii="Cambria Math" w:hAnsi="Cambria Math"/>
          </w:rPr>
          <m:t>0.9</m:t>
        </m:r>
      </m:oMath>
      <w:r w:rsidRPr="005F2829">
        <w:t xml:space="preserve"> is the softmax temperature.</w:t>
      </w:r>
    </w:p>
    <w:p w14:paraId="3EEF30D8" w14:textId="77777777" w:rsidR="0055206D" w:rsidRPr="005F2829" w:rsidRDefault="00000000">
      <w:pPr>
        <w:pStyle w:val="a0"/>
      </w:pPr>
      <w:r w:rsidRPr="005F2829">
        <w:t>This mathematical framework provides TabPFN with strong theoretical foundations for medical tabular learning while maintaining computational efficiency necessary for clinical deployment.</w:t>
      </w:r>
    </w:p>
    <w:p w14:paraId="7931B318" w14:textId="77777777" w:rsidR="0055206D" w:rsidRPr="005F2829" w:rsidRDefault="00000000">
      <w:pPr>
        <w:pStyle w:val="a0"/>
      </w:pPr>
      <w:r w:rsidRPr="005F2829">
        <w:t>This comprehensive analysis framework ensures that the PANDA method delivers reliable, interpretable, and clinically actionable predictions across diverse institutional settings while maintaining theoretical guarantees and computational efficiency necessary for real-world deployment.</w:t>
      </w:r>
    </w:p>
    <w:p w14:paraId="02B09DC1" w14:textId="77777777" w:rsidR="0055206D" w:rsidRPr="005F2829" w:rsidRDefault="00000000" w:rsidP="000672B5">
      <w:pPr>
        <w:pStyle w:val="1"/>
      </w:pPr>
      <w:bookmarkStart w:id="73" w:name="sec:evaluation"/>
      <w:bookmarkEnd w:id="48"/>
      <w:bookmarkEnd w:id="66"/>
      <w:bookmarkEnd w:id="70"/>
      <w:bookmarkEnd w:id="72"/>
      <w:r w:rsidRPr="005F2829">
        <w:t>Evaluation</w:t>
      </w:r>
    </w:p>
    <w:p w14:paraId="4CA09628" w14:textId="77777777" w:rsidR="0055206D" w:rsidRPr="005F2829" w:rsidRDefault="00000000">
      <w:pPr>
        <w:pStyle w:val="FirstParagraph"/>
      </w:pPr>
      <w:r w:rsidRPr="005F2829">
        <w:t xml:space="preserve">We present comprehensive experimental evaluation of the PANDA framework across multiple dimensions, including cross-institutional performance, domain adaptation </w:t>
      </w:r>
      <w:r w:rsidRPr="005F2829">
        <w:lastRenderedPageBreak/>
        <w:t>effectiveness, model explainability, and clinical utility. Our evaluation protocol reflects realistic deployment scenarios in multi-institutional medical environments.</w:t>
      </w:r>
    </w:p>
    <w:p w14:paraId="47AD5A58" w14:textId="77777777" w:rsidR="0055206D" w:rsidRPr="005F2829" w:rsidRDefault="00000000">
      <w:pPr>
        <w:pStyle w:val="2"/>
        <w:rPr>
          <w:rFonts w:ascii="Times New Roman" w:hAnsi="Times New Roman" w:cs="Times New Roman"/>
          <w:color w:val="000000" w:themeColor="text1"/>
        </w:rPr>
      </w:pPr>
      <w:bookmarkStart w:id="74" w:name="X3dc2ed24dc64bee859a60f085339eefaadd918b"/>
      <w:r w:rsidRPr="005F2829">
        <w:rPr>
          <w:rFonts w:ascii="Times New Roman" w:hAnsi="Times New Roman" w:cs="Times New Roman"/>
          <w:color w:val="000000" w:themeColor="text1"/>
        </w:rPr>
        <w:t>Evaluation Metrics and Statistical Analysis</w:t>
      </w:r>
    </w:p>
    <w:p w14:paraId="606FBC55" w14:textId="77777777" w:rsidR="0055206D" w:rsidRPr="005F2829" w:rsidRDefault="00000000">
      <w:pPr>
        <w:pStyle w:val="3"/>
        <w:rPr>
          <w:rFonts w:cs="Times New Roman"/>
          <w:color w:val="000000" w:themeColor="text1"/>
        </w:rPr>
      </w:pPr>
      <w:bookmarkStart w:id="75" w:name="classification-performance-metrics"/>
      <w:r w:rsidRPr="005F2829">
        <w:rPr>
          <w:rFonts w:cs="Times New Roman"/>
          <w:color w:val="000000" w:themeColor="text1"/>
        </w:rPr>
        <w:t>Classification Performance Metrics</w:t>
      </w:r>
    </w:p>
    <w:p w14:paraId="3998E4F7" w14:textId="77777777" w:rsidR="0055206D" w:rsidRPr="005F2829" w:rsidRDefault="00000000">
      <w:pPr>
        <w:pStyle w:val="FirstParagraph"/>
      </w:pPr>
      <w:r w:rsidRPr="005F2829">
        <w:t xml:space="preserve">Five widely used metrics were adopted to assess classification accuracy: AUC, accuracy, F1 score, sensitivity, and specificity. All results were averaged over 10-fold stratified cross-validation to ensure robustness against label imbalance. Let </w:t>
      </w:r>
      <m:oMath>
        <m:r>
          <w:rPr>
            <w:rFonts w:ascii="Cambria Math" w:hAnsi="Cambria Math"/>
          </w:rPr>
          <m:t>TP</m:t>
        </m:r>
      </m:oMath>
      <w:r w:rsidRPr="005F2829">
        <w:t xml:space="preserve">, </w:t>
      </w:r>
      <m:oMath>
        <m:r>
          <w:rPr>
            <w:rFonts w:ascii="Cambria Math" w:hAnsi="Cambria Math"/>
          </w:rPr>
          <m:t>TN</m:t>
        </m:r>
      </m:oMath>
      <w:r w:rsidRPr="005F2829">
        <w:t xml:space="preserve">, </w:t>
      </w:r>
      <m:oMath>
        <m:r>
          <w:rPr>
            <w:rFonts w:ascii="Cambria Math" w:hAnsi="Cambria Math"/>
          </w:rPr>
          <m:t>FP</m:t>
        </m:r>
      </m:oMath>
      <w:r w:rsidRPr="005F2829">
        <w:t xml:space="preserve">, and </w:t>
      </w:r>
      <m:oMath>
        <m:r>
          <w:rPr>
            <w:rFonts w:ascii="Cambria Math" w:hAnsi="Cambria Math"/>
          </w:rPr>
          <m:t>FN</m:t>
        </m:r>
      </m:oMath>
      <w:r w:rsidRPr="005F2829">
        <w:t xml:space="preserve"> denote the number of true positives, true negatives, false positives, and false negatives, respectively. The metrics are defined as:</w:t>
      </w:r>
    </w:p>
    <w:p w14:paraId="3994BAA3" w14:textId="77777777" w:rsidR="0055206D" w:rsidRPr="005F2829" w:rsidRDefault="00000000">
      <w:pPr>
        <w:pStyle w:val="a0"/>
      </w:pPr>
      <m:oMathPara>
        <m:oMathParaPr>
          <m:jc m:val="center"/>
        </m:oMathParaPr>
        <m:oMath>
          <m:eqArr>
            <m:eqArrPr>
              <m:ctrlPr>
                <w:rPr>
                  <w:rFonts w:ascii="Cambria Math" w:hAnsi="Cambria Math"/>
                </w:rPr>
              </m:ctrlPr>
            </m:eqArrPr>
            <m:e>
              <m:r>
                <w:rPr>
                  <w:rFonts w:ascii="Cambria Math" w:hAnsi="Cambria Math"/>
                </w:rPr>
                <m:t>&amp;</m:t>
              </m:r>
              <m:r>
                <m:rPr>
                  <m:nor/>
                </m:rPr>
                <m:t>True Positive Rate:</m:t>
              </m:r>
              <m:r>
                <w:rPr>
                  <w:rFonts w:ascii="Cambria Math" w:hAnsi="Cambria Math"/>
                </w:rPr>
                <m:t>&amp;&amp;TPR</m:t>
              </m:r>
              <m:r>
                <m:rPr>
                  <m:sty m:val="p"/>
                </m:rPr>
                <w:rPr>
                  <w:rFonts w:ascii="Cambria Math" w:hAnsi="Cambria Math"/>
                </w:rPr>
                <m:t>(</m:t>
              </m:r>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τ</m:t>
                  </m:r>
                  <m:r>
                    <m:rPr>
                      <m:sty m:val="p"/>
                    </m:rPr>
                    <w:rPr>
                      <w:rFonts w:ascii="Cambria Math" w:hAnsi="Cambria Math"/>
                    </w:rPr>
                    <m:t>)</m:t>
                  </m:r>
                </m:num>
                <m:den>
                  <m:r>
                    <w:rPr>
                      <w:rFonts w:ascii="Cambria Math" w:hAnsi="Cambria Math"/>
                    </w:rPr>
                    <m:t>TP</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FN</m:t>
                  </m:r>
                  <m:r>
                    <m:rPr>
                      <m:sty m:val="p"/>
                    </m:rPr>
                    <w:rPr>
                      <w:rFonts w:ascii="Cambria Math" w:hAnsi="Cambria Math"/>
                    </w:rPr>
                    <m:t>(</m:t>
                  </m:r>
                  <m:r>
                    <w:rPr>
                      <w:rFonts w:ascii="Cambria Math" w:hAnsi="Cambria Math"/>
                    </w:rPr>
                    <m:t>τ</m:t>
                  </m:r>
                  <m:r>
                    <m:rPr>
                      <m:sty m:val="p"/>
                    </m:rPr>
                    <w:rPr>
                      <w:rFonts w:ascii="Cambria Math" w:hAnsi="Cambria Math"/>
                    </w:rPr>
                    <m:t>)</m:t>
                  </m:r>
                </m:den>
              </m:f>
            </m:e>
            <m:e>
              <m:r>
                <w:rPr>
                  <w:rFonts w:ascii="Cambria Math" w:hAnsi="Cambria Math"/>
                </w:rPr>
                <m:t>&amp;</m:t>
              </m:r>
              <m:r>
                <m:rPr>
                  <m:nor/>
                </m:rPr>
                <m:t>False Positive Rate:</m:t>
              </m:r>
              <m:r>
                <w:rPr>
                  <w:rFonts w:ascii="Cambria Math" w:hAnsi="Cambria Math"/>
                </w:rPr>
                <m:t>&amp;&amp;FPR</m:t>
              </m:r>
              <m:r>
                <m:rPr>
                  <m:sty m:val="p"/>
                </m:rPr>
                <w:rPr>
                  <w:rFonts w:ascii="Cambria Math" w:hAnsi="Cambria Math"/>
                </w:rPr>
                <m:t>(</m:t>
              </m:r>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FP</m:t>
                  </m:r>
                  <m:r>
                    <m:rPr>
                      <m:sty m:val="p"/>
                    </m:rPr>
                    <w:rPr>
                      <w:rFonts w:ascii="Cambria Math" w:hAnsi="Cambria Math"/>
                    </w:rPr>
                    <m:t>(</m:t>
                  </m:r>
                  <m:r>
                    <w:rPr>
                      <w:rFonts w:ascii="Cambria Math" w:hAnsi="Cambria Math"/>
                    </w:rPr>
                    <m:t>τ</m:t>
                  </m:r>
                  <m:r>
                    <m:rPr>
                      <m:sty m:val="p"/>
                    </m:rPr>
                    <w:rPr>
                      <w:rFonts w:ascii="Cambria Math" w:hAnsi="Cambria Math"/>
                    </w:rPr>
                    <m:t>)</m:t>
                  </m:r>
                </m:num>
                <m:den>
                  <m:r>
                    <w:rPr>
                      <w:rFonts w:ascii="Cambria Math" w:hAnsi="Cambria Math"/>
                    </w:rPr>
                    <m:t>FP</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τ</m:t>
                  </m:r>
                  <m:r>
                    <m:rPr>
                      <m:sty m:val="p"/>
                    </m:rPr>
                    <w:rPr>
                      <w:rFonts w:ascii="Cambria Math" w:hAnsi="Cambria Math"/>
                    </w:rPr>
                    <m:t>)</m:t>
                  </m:r>
                </m:den>
              </m:f>
            </m:e>
            <m:e>
              <m:r>
                <w:rPr>
                  <w:rFonts w:ascii="Cambria Math" w:hAnsi="Cambria Math"/>
                </w:rPr>
                <m:t>&amp;</m:t>
              </m:r>
              <m:r>
                <m:rPr>
                  <m:nor/>
                </m:rPr>
                <m:t>AUC:</m:t>
              </m:r>
              <m:r>
                <w:rPr>
                  <w:rFonts w:ascii="Cambria Math" w:hAnsi="Cambria Math"/>
                </w:rPr>
                <m:t>&amp;&amp;AUC</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T</m:t>
                  </m:r>
                </m:e>
              </m:nary>
              <m:r>
                <w:rPr>
                  <w:rFonts w:ascii="Cambria Math" w:hAnsi="Cambria Math"/>
                </w:rPr>
                <m:t>PR</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FPR</m:t>
              </m:r>
              <m:r>
                <m:rPr>
                  <m:sty m:val="p"/>
                </m:rPr>
                <w:rPr>
                  <w:rFonts w:ascii="Cambria Math" w:hAnsi="Cambria Math"/>
                </w:rPr>
                <m:t>(</m:t>
              </m:r>
              <m:r>
                <w:rPr>
                  <w:rFonts w:ascii="Cambria Math" w:hAnsi="Cambria Math"/>
                </w:rPr>
                <m:t>τ</m:t>
              </m:r>
              <m:r>
                <m:rPr>
                  <m:sty m:val="p"/>
                </m:rPr>
                <w:rPr>
                  <w:rFonts w:ascii="Cambria Math" w:hAnsi="Cambria Math"/>
                </w:rPr>
                <m:t>))</m:t>
              </m:r>
            </m:e>
            <m:e>
              <m:r>
                <w:rPr>
                  <w:rFonts w:ascii="Cambria Math" w:hAnsi="Cambria Math"/>
                </w:rPr>
                <m:t>&amp;</m:t>
              </m:r>
              <m:r>
                <m:rPr>
                  <m:nor/>
                </m:rPr>
                <m:t>Accuracy:</m:t>
              </m:r>
              <m:r>
                <w:rPr>
                  <w:rFonts w:ascii="Cambria Math" w:hAnsi="Cambria Math"/>
                </w:rPr>
                <m:t>&amp;&amp;</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e>
            <m:e>
              <m:r>
                <w:rPr>
                  <w:rFonts w:ascii="Cambria Math" w:hAnsi="Cambria Math"/>
                </w:rPr>
                <m:t>&amp;</m:t>
              </m:r>
              <m:r>
                <m:rPr>
                  <m:nor/>
                </m:rPr>
                <m:t>Precision:</m:t>
              </m:r>
              <m:r>
                <w:rPr>
                  <w:rFonts w:ascii="Cambria Math" w:hAnsi="Cambria Math"/>
                </w:rPr>
                <m:t>&amp;&amp;</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e>
            <m:e>
              <m:r>
                <w:rPr>
                  <w:rFonts w:ascii="Cambria Math" w:hAnsi="Cambria Math"/>
                </w:rPr>
                <m:t>&amp;</m:t>
              </m:r>
              <m:r>
                <m:rPr>
                  <m:nor/>
                </m:rPr>
                <m:t>Recall (Sensitivity):</m:t>
              </m:r>
              <m:r>
                <w:rPr>
                  <w:rFonts w:ascii="Cambria Math" w:hAnsi="Cambria Math"/>
                </w:rPr>
                <m:t>&amp;&amp;</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e>
            <m:e>
              <m:r>
                <w:rPr>
                  <w:rFonts w:ascii="Cambria Math" w:hAnsi="Cambria Math"/>
                </w:rPr>
                <m:t>&amp;</m:t>
              </m:r>
              <m:r>
                <m:rPr>
                  <m:nor/>
                </m:rPr>
                <m:t>F1 Score:</m:t>
              </m:r>
              <m:r>
                <w:rPr>
                  <w:rFonts w:ascii="Cambria Math" w:hAnsi="Cambria Math"/>
                </w:rPr>
                <m:t>&amp;&amp;</m:t>
              </m:r>
              <m:f>
                <m:fPr>
                  <m:ctrlPr>
                    <w:rPr>
                      <w:rFonts w:ascii="Cambria Math" w:hAnsi="Cambria Math"/>
                    </w:rPr>
                  </m:ctrlPr>
                </m:fPr>
                <m:num>
                  <m:r>
                    <w:rPr>
                      <w:rFonts w:ascii="Cambria Math" w:hAnsi="Cambria Math"/>
                    </w:rPr>
                    <m:t>2</m:t>
                  </m:r>
                  <m:r>
                    <m:rPr>
                      <m:sty m:val="p"/>
                    </m:rPr>
                    <w:rPr>
                      <w:rFonts w:ascii="Cambria Math" w:hAnsi="Cambria Math"/>
                    </w:rPr>
                    <m:t>⋅</m:t>
                  </m:r>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r>
                <m:rPr>
                  <m:sty m:val="p"/>
                </m:rPr>
                <w:rPr>
                  <w:rFonts w:ascii="Cambria Math" w:hAnsi="Cambria Math"/>
                </w:rPr>
                <m:t>=</m:t>
              </m:r>
              <m:f>
                <m:fPr>
                  <m:ctrlPr>
                    <w:rPr>
                      <w:rFonts w:ascii="Cambria Math" w:hAnsi="Cambria Math"/>
                    </w:rPr>
                  </m:ctrlPr>
                </m:fPr>
                <m:num>
                  <m:r>
                    <w:rPr>
                      <w:rFonts w:ascii="Cambria Math" w:hAnsi="Cambria Math"/>
                    </w:rPr>
                    <m:t>2TP</m:t>
                  </m:r>
                </m:num>
                <m:den>
                  <m:r>
                    <w:rPr>
                      <w:rFonts w:ascii="Cambria Math" w:hAnsi="Cambria Math"/>
                    </w:rPr>
                    <m:t>2TP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e>
            <m:e>
              <m:r>
                <w:rPr>
                  <w:rFonts w:ascii="Cambria Math" w:hAnsi="Cambria Math"/>
                </w:rPr>
                <m:t>&amp;</m:t>
              </m:r>
              <m:r>
                <m:rPr>
                  <m:nor/>
                </m:rPr>
                <m:t>Specificity:</m:t>
              </m:r>
              <m:r>
                <w:rPr>
                  <w:rFonts w:ascii="Cambria Math" w:hAnsi="Cambria Math"/>
                </w:rPr>
                <m:t>&amp;&amp;</m:t>
              </m:r>
              <m:f>
                <m:fPr>
                  <m:ctrlPr>
                    <w:rPr>
                      <w:rFonts w:ascii="Cambria Math" w:hAnsi="Cambria Math"/>
                    </w:rPr>
                  </m:ctrlPr>
                </m:fPr>
                <m:num>
                  <m:r>
                    <w:rPr>
                      <w:rFonts w:ascii="Cambria Math" w:hAnsi="Cambria Math"/>
                    </w:rPr>
                    <m:t>TN</m:t>
                  </m:r>
                </m:num>
                <m:den>
                  <m:r>
                    <w:rPr>
                      <w:rFonts w:ascii="Cambria Math" w:hAnsi="Cambria Math"/>
                    </w:rPr>
                    <m:t>TN</m:t>
                  </m:r>
                  <m:r>
                    <m:rPr>
                      <m:sty m:val="p"/>
                    </m:rPr>
                    <w:rPr>
                      <w:rFonts w:ascii="Cambria Math" w:hAnsi="Cambria Math"/>
                    </w:rPr>
                    <m:t>+</m:t>
                  </m:r>
                  <m:r>
                    <w:rPr>
                      <w:rFonts w:ascii="Cambria Math" w:hAnsi="Cambria Math"/>
                    </w:rPr>
                    <m:t>FP</m:t>
                  </m:r>
                </m:den>
              </m:f>
            </m:e>
          </m:eqArr>
        </m:oMath>
      </m:oMathPara>
    </w:p>
    <w:p w14:paraId="19C8D011" w14:textId="77777777" w:rsidR="0055206D" w:rsidRPr="005F2829" w:rsidRDefault="00000000">
      <w:pPr>
        <w:pStyle w:val="FirstParagraph"/>
      </w:pPr>
      <w:r w:rsidRPr="005F2829">
        <w:t xml:space="preserve">Let </w:t>
      </w:r>
      <m:oMath>
        <m:r>
          <m:rPr>
            <m:scr m:val="script"/>
            <m:sty m:val="p"/>
          </m:rPr>
          <w:rPr>
            <w:rFonts w:ascii="Cambria Math" w:hAnsi="Cambria Math"/>
          </w:rPr>
          <m:t>D={(</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rsidRPr="005F2829">
        <w:t xml:space="preserve"> denote the full dataset, and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k</m:t>
            </m:r>
          </m:sub>
        </m:sSub>
      </m:oMath>
      <w:r w:rsidRPr="005F2829">
        <w:t xml:space="preserve"> be the </w:t>
      </w:r>
      <m:oMath>
        <m:r>
          <w:rPr>
            <w:rFonts w:ascii="Cambria Math" w:hAnsi="Cambria Math"/>
          </w:rPr>
          <m:t>k</m:t>
        </m:r>
      </m:oMath>
      <w:r w:rsidRPr="005F2829">
        <w:t xml:space="preserve">-th fold. For metric </w:t>
      </w:r>
      <m:oMath>
        <m:r>
          <w:rPr>
            <w:rFonts w:ascii="Cambria Math" w:hAnsi="Cambria Math"/>
          </w:rPr>
          <m:t>M</m:t>
        </m:r>
      </m:oMath>
      <w:r w:rsidRPr="005F2829">
        <w:t xml:space="preserve">, the mean and standard deviation over </w:t>
      </w:r>
      <m:oMath>
        <m:r>
          <w:rPr>
            <w:rFonts w:ascii="Cambria Math" w:hAnsi="Cambria Math"/>
          </w:rPr>
          <m:t>K</m:t>
        </m:r>
        <m:r>
          <m:rPr>
            <m:sty m:val="p"/>
          </m:rPr>
          <w:rPr>
            <w:rFonts w:ascii="Cambria Math" w:hAnsi="Cambria Math"/>
          </w:rPr>
          <m:t>=</m:t>
        </m:r>
        <m:r>
          <w:rPr>
            <w:rFonts w:ascii="Cambria Math" w:hAnsi="Cambria Math"/>
          </w:rPr>
          <m:t>10</m:t>
        </m:r>
      </m:oMath>
      <w:r w:rsidRPr="005F2829">
        <w:t xml:space="preserve"> folds are:</w:t>
      </w:r>
    </w:p>
    <w:p w14:paraId="47E2CF47" w14:textId="77777777" w:rsidR="0055206D" w:rsidRPr="005F2829" w:rsidRDefault="00000000">
      <w:pPr>
        <w:pStyle w:val="a0"/>
      </w:pPr>
      <m:oMathPara>
        <m:oMathParaPr>
          <m:jc m:val="center"/>
        </m:oMathParaPr>
        <m:oMath>
          <m:acc>
            <m:accPr>
              <m:chr m:val="‾"/>
              <m:ctrlPr>
                <w:rPr>
                  <w:rFonts w:ascii="Cambria Math" w:hAnsi="Cambria Math"/>
                </w:rPr>
              </m:ctrlPr>
            </m:accPr>
            <m:e>
              <m:r>
                <w:rPr>
                  <w:rFonts w:ascii="Cambria Math" w:hAnsi="Cambria Math"/>
                </w:rPr>
                <m:t>M</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M</m:t>
                  </m:r>
                </m:e>
                <m:sub>
                  <m:r>
                    <w:rPr>
                      <w:rFonts w:ascii="Cambria Math" w:hAnsi="Cambria Math"/>
                    </w:rPr>
                    <m:t>k</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m:t>
                  </m:r>
                </m:e>
              </m:nary>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6336ABFC" w14:textId="77777777" w:rsidR="0055206D" w:rsidRPr="005F2829" w:rsidRDefault="00000000">
      <w:pPr>
        <w:pStyle w:val="3"/>
        <w:rPr>
          <w:rFonts w:cs="Times New Roman"/>
          <w:color w:val="000000" w:themeColor="text1"/>
        </w:rPr>
      </w:pPr>
      <w:bookmarkStart w:id="76" w:name="confidence-interval-estimation"/>
      <w:bookmarkEnd w:id="75"/>
      <w:r w:rsidRPr="005F2829">
        <w:rPr>
          <w:rFonts w:cs="Times New Roman"/>
          <w:color w:val="000000" w:themeColor="text1"/>
        </w:rPr>
        <w:t>Confidence Interval Estimation</w:t>
      </w:r>
    </w:p>
    <w:p w14:paraId="4370D08B" w14:textId="77777777" w:rsidR="0055206D" w:rsidRPr="005F2829" w:rsidRDefault="00000000">
      <w:pPr>
        <w:pStyle w:val="FirstParagraph"/>
      </w:pPr>
      <w:r w:rsidRPr="005F2829">
        <w:t>To quantify uncertainty in AUC, we employed non-parametric bootstrap resampling (</w:t>
      </w:r>
      <m:oMath>
        <m:r>
          <w:rPr>
            <w:rFonts w:ascii="Cambria Math" w:hAnsi="Cambria Math"/>
          </w:rPr>
          <m:t>B</m:t>
        </m:r>
        <m:r>
          <m:rPr>
            <m:sty m:val="p"/>
          </m:rPr>
          <w:rPr>
            <w:rFonts w:ascii="Cambria Math" w:hAnsi="Cambria Math"/>
          </w:rPr>
          <m:t>=</m:t>
        </m:r>
        <m:r>
          <w:rPr>
            <w:rFonts w:ascii="Cambria Math" w:hAnsi="Cambria Math"/>
          </w:rPr>
          <m:t>1000</m:t>
        </m:r>
      </m:oMath>
      <w:r w:rsidRPr="005F2829">
        <w:t xml:space="preserve">). For each bootstrap iteration </w:t>
      </w:r>
      <m:oMath>
        <m:r>
          <w:rPr>
            <w:rFonts w:ascii="Cambria Math" w:hAnsi="Cambria Math"/>
          </w:rPr>
          <m:t>b</m:t>
        </m:r>
      </m:oMath>
      <w:r w:rsidRPr="005F2829">
        <w:t xml:space="preserve">, a dataset </w:t>
      </w:r>
      <m:oMath>
        <m:sSubSup>
          <m:sSubSupPr>
            <m:ctrlPr>
              <w:rPr>
                <w:rFonts w:ascii="Cambria Math" w:hAnsi="Cambria Math"/>
              </w:rPr>
            </m:ctrlPr>
          </m:sSubSupPr>
          <m:e>
            <m:r>
              <m:rPr>
                <m:scr m:val="script"/>
                <m:sty m:val="p"/>
              </m:rPr>
              <w:rPr>
                <w:rFonts w:ascii="Cambria Math" w:hAnsi="Cambria Math"/>
              </w:rPr>
              <m:t>D</m:t>
            </m:r>
          </m:e>
          <m:sub>
            <m:r>
              <w:rPr>
                <w:rFonts w:ascii="Cambria Math" w:hAnsi="Cambria Math"/>
              </w:rPr>
              <m:t>b</m:t>
            </m:r>
          </m:sub>
          <m:sup>
            <m:r>
              <m:rPr>
                <m:sty m:val="p"/>
              </m:rPr>
              <w:rPr>
                <w:rFonts w:ascii="Cambria Math" w:hAnsi="Cambria Math"/>
              </w:rPr>
              <m:t>*</m:t>
            </m:r>
          </m:sup>
        </m:sSubSup>
      </m:oMath>
      <w:r w:rsidRPr="005F2829">
        <w:t xml:space="preserve"> was sampled with replacement:</w:t>
      </w:r>
    </w:p>
    <w:p w14:paraId="59FD30D9" w14:textId="77777777" w:rsidR="0055206D" w:rsidRPr="005F2829" w:rsidRDefault="00000000">
      <w:pPr>
        <w:pStyle w:val="a0"/>
      </w:pPr>
      <m:oMathPara>
        <m:oMathParaPr>
          <m:jc m:val="center"/>
        </m:oMathParaPr>
        <m:oMath>
          <m:sSubSup>
            <m:sSubSupPr>
              <m:ctrlPr>
                <w:rPr>
                  <w:rFonts w:ascii="Cambria Math" w:hAnsi="Cambria Math"/>
                </w:rPr>
              </m:ctrlPr>
            </m:sSubSupPr>
            <m:e>
              <m:r>
                <m:rPr>
                  <m:scr m:val="script"/>
                  <m:sty m:val="p"/>
                </m:rPr>
                <w:rPr>
                  <w:rFonts w:ascii="Cambria Math" w:hAnsi="Cambria Math"/>
                </w:rPr>
                <m:t>D</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sSub>
                <m:sSubPr>
                  <m:ctrlPr>
                    <w:rPr>
                      <w:rFonts w:ascii="Cambria Math" w:hAnsi="Cambria Math"/>
                    </w:rPr>
                  </m:ctrlPr>
                </m:sSubPr>
                <m:e>
                  <m:r>
                    <w:rPr>
                      <w:rFonts w:ascii="Cambria Math" w:hAnsi="Cambria Math"/>
                    </w:rPr>
                    <m:t>i</m:t>
                  </m:r>
                </m:e>
                <m:sub>
                  <m:r>
                    <w:rPr>
                      <w:rFonts w:ascii="Cambria Math" w:hAnsi="Cambria Math"/>
                    </w:rPr>
                    <m:t>j</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sSub>
                <m:sSubPr>
                  <m:ctrlPr>
                    <w:rPr>
                      <w:rFonts w:ascii="Cambria Math" w:hAnsi="Cambria Math"/>
                    </w:rPr>
                  </m:ctrlPr>
                </m:sSubPr>
                <m:e>
                  <m:r>
                    <w:rPr>
                      <w:rFonts w:ascii="Cambria Math" w:hAnsi="Cambria Math"/>
                    </w:rPr>
                    <m:t>i</m:t>
                  </m:r>
                </m:e>
                <m:sub>
                  <m:r>
                    <w:rPr>
                      <w:rFonts w:ascii="Cambria Math" w:hAnsi="Cambria Math"/>
                    </w:rPr>
                    <m:t>j</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r>
            <m:rPr>
              <m:nor/>
            </m:rPr>
            <m:t>Uniform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147D231" w14:textId="77777777" w:rsidR="0055206D" w:rsidRPr="005F2829" w:rsidRDefault="00000000">
      <w:pPr>
        <w:pStyle w:val="FirstParagraph"/>
      </w:pPr>
      <w:r w:rsidRPr="005F2829">
        <w:t xml:space="preserve">The model was retrained on each </w:t>
      </w:r>
      <m:oMath>
        <m:sSubSup>
          <m:sSubSupPr>
            <m:ctrlPr>
              <w:rPr>
                <w:rFonts w:ascii="Cambria Math" w:hAnsi="Cambria Math"/>
              </w:rPr>
            </m:ctrlPr>
          </m:sSubSupPr>
          <m:e>
            <m:r>
              <m:rPr>
                <m:scr m:val="script"/>
                <m:sty m:val="p"/>
              </m:rPr>
              <w:rPr>
                <w:rFonts w:ascii="Cambria Math" w:hAnsi="Cambria Math"/>
              </w:rPr>
              <m:t>D</m:t>
            </m:r>
          </m:e>
          <m:sub>
            <m:r>
              <w:rPr>
                <w:rFonts w:ascii="Cambria Math" w:hAnsi="Cambria Math"/>
              </w:rPr>
              <m:t>b</m:t>
            </m:r>
          </m:sub>
          <m:sup>
            <m:r>
              <m:rPr>
                <m:sty m:val="p"/>
              </m:rPr>
              <w:rPr>
                <w:rFonts w:ascii="Cambria Math" w:hAnsi="Cambria Math"/>
              </w:rPr>
              <m:t>*</m:t>
            </m:r>
          </m:sup>
        </m:sSubSup>
      </m:oMath>
      <w:r w:rsidRPr="005F2829">
        <w:t xml:space="preserve"> to compute </w:t>
      </w:r>
      <m:oMath>
        <m:sSubSup>
          <m:sSubSupPr>
            <m:ctrlPr>
              <w:rPr>
                <w:rFonts w:ascii="Cambria Math" w:hAnsi="Cambria Math"/>
              </w:rPr>
            </m:ctrlPr>
          </m:sSubSupPr>
          <m:e>
            <m:r>
              <m:rPr>
                <m:nor/>
              </m:rPr>
              <m:t>AUC</m:t>
            </m:r>
          </m:e>
          <m:sub>
            <m:r>
              <w:rPr>
                <w:rFonts w:ascii="Cambria Math" w:hAnsi="Cambria Math"/>
              </w:rPr>
              <m:t>b</m:t>
            </m:r>
          </m:sub>
          <m:sup>
            <m:r>
              <m:rPr>
                <m:sty m:val="p"/>
              </m:rPr>
              <w:rPr>
                <w:rFonts w:ascii="Cambria Math" w:hAnsi="Cambria Math"/>
              </w:rPr>
              <m:t>*</m:t>
            </m:r>
          </m:sup>
        </m:sSubSup>
      </m:oMath>
      <w:r w:rsidRPr="005F2829">
        <w:t xml:space="preserve">, forming an empirical distribution </w:t>
      </w:r>
      <m:oMath>
        <m:r>
          <m:rPr>
            <m:sty m:val="p"/>
          </m:rPr>
          <w:rPr>
            <w:rFonts w:ascii="Cambria Math" w:hAnsi="Cambria Math"/>
          </w:rPr>
          <m:t>{</m:t>
        </m:r>
        <m:sSubSup>
          <m:sSubSupPr>
            <m:ctrlPr>
              <w:rPr>
                <w:rFonts w:ascii="Cambria Math" w:hAnsi="Cambria Math"/>
              </w:rPr>
            </m:ctrlPr>
          </m:sSubSupPr>
          <m:e>
            <m:r>
              <m:rPr>
                <m:nor/>
              </m:rPr>
              <m:t>AUC</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nor/>
              </m:rPr>
              <m:t>AUC</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oMath>
      <w:r w:rsidRPr="005F2829">
        <w:t>. The 95% confidence interval was then defined as:</w:t>
      </w:r>
    </w:p>
    <w:p w14:paraId="1B578815" w14:textId="77777777" w:rsidR="0055206D" w:rsidRPr="005F2829" w:rsidRDefault="00000000">
      <w:pPr>
        <w:pStyle w:val="a0"/>
      </w:pPr>
      <m:oMathPara>
        <m:oMathParaPr>
          <m:jc m:val="center"/>
        </m:oMathParaPr>
        <m:oMath>
          <m:r>
            <w:rPr>
              <w:rFonts w:ascii="Cambria Math" w:hAnsi="Cambria Math"/>
            </w:rPr>
            <w:lastRenderedPageBreak/>
            <m:t>C</m:t>
          </m:r>
          <m:sSub>
            <m:sSubPr>
              <m:ctrlPr>
                <w:rPr>
                  <w:rFonts w:ascii="Cambria Math" w:hAnsi="Cambria Math"/>
                </w:rPr>
              </m:ctrlPr>
            </m:sSubPr>
            <m:e>
              <m:r>
                <w:rPr>
                  <w:rFonts w:ascii="Cambria Math" w:hAnsi="Cambria Math"/>
                </w:rPr>
                <m:t>I</m:t>
              </m:r>
            </m:e>
            <m:sub>
              <m:r>
                <w:rPr>
                  <w:rFonts w:ascii="Cambria Math" w:hAnsi="Cambria Math"/>
                </w:rPr>
                <m:t>95</m:t>
              </m:r>
              <m:r>
                <m:rPr>
                  <m:sty m:val="p"/>
                </m:rPr>
                <w:rPr>
                  <w:rFonts w:ascii="Cambria Math" w:hAnsi="Cambria Math"/>
                </w:rPr>
                <m: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2.5</m:t>
                  </m:r>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97.5</m:t>
                  </m:r>
                  <m:r>
                    <m:rPr>
                      <m:sty m:val="p"/>
                    </m:rPr>
                    <w:rPr>
                      <w:rFonts w:ascii="Cambria Math" w:hAnsi="Cambria Math"/>
                    </w:rPr>
                    <m:t>%</m:t>
                  </m:r>
                </m:sub>
              </m:sSub>
            </m:e>
          </m:d>
          <m:r>
            <w:rPr>
              <w:rFonts w:ascii="Cambria Math" w:hAnsi="Cambria Math"/>
            </w:rPr>
            <m:t> </m:t>
          </m:r>
          <m:r>
            <m:rPr>
              <m:nor/>
            </m:rPr>
            <m:t>where</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α</m:t>
              </m:r>
            </m:sub>
          </m:sSub>
          <m:box>
            <m:boxPr>
              <m:opEmu m:val="1"/>
              <m:ctrlPr>
                <w:rPr>
                  <w:rFonts w:ascii="Cambria Math" w:hAnsi="Cambria Math"/>
                </w:rPr>
              </m:ctrlPr>
            </m:boxPr>
            <m:e>
              <m:r>
                <m:rPr>
                  <m:sty m:val="p"/>
                </m:rPr>
                <w:rPr>
                  <w:rFonts w:ascii="Cambria Math" w:hAnsi="Cambria Math"/>
                </w:rPr>
                <m:t>:=</m:t>
              </m:r>
            </m:e>
          </m:box>
          <m:r>
            <m:rPr>
              <m:nor/>
            </m:rPr>
            <m:t xml:space="preserve">quantile at </m:t>
          </m:r>
          <m:r>
            <w:rPr>
              <w:rFonts w:ascii="Cambria Math" w:hAnsi="Cambria Math"/>
            </w:rPr>
            <m:t>α</m:t>
          </m:r>
        </m:oMath>
      </m:oMathPara>
    </w:p>
    <w:p w14:paraId="080C3EC9" w14:textId="77777777" w:rsidR="0055206D" w:rsidRPr="005F2829" w:rsidRDefault="00000000">
      <w:pPr>
        <w:pStyle w:val="3"/>
        <w:rPr>
          <w:rFonts w:cs="Times New Roman"/>
          <w:color w:val="000000" w:themeColor="text1"/>
        </w:rPr>
      </w:pPr>
      <w:bookmarkStart w:id="77" w:name="visualization-based-evaluation"/>
      <w:bookmarkEnd w:id="76"/>
      <w:r w:rsidRPr="005F2829">
        <w:rPr>
          <w:rFonts w:cs="Times New Roman"/>
          <w:color w:val="000000" w:themeColor="text1"/>
        </w:rPr>
        <w:t>Visualization-Based Evaluation</w:t>
      </w:r>
    </w:p>
    <w:p w14:paraId="58D15E7D" w14:textId="77777777" w:rsidR="0055206D" w:rsidRPr="005F2829" w:rsidRDefault="00000000">
      <w:pPr>
        <w:numPr>
          <w:ilvl w:val="0"/>
          <w:numId w:val="13"/>
        </w:numPr>
      </w:pPr>
      <w:r w:rsidRPr="005F2829">
        <w:rPr>
          <w:b/>
          <w:bCs/>
        </w:rPr>
        <w:t>ROC Curves:</w:t>
      </w:r>
      <w:r w:rsidRPr="005F2829">
        <w:t xml:space="preserve"> Plot </w:t>
      </w:r>
      <m:oMath>
        <m:r>
          <w:rPr>
            <w:rFonts w:ascii="Cambria Math" w:hAnsi="Cambria Math"/>
          </w:rPr>
          <m:t>TPR</m:t>
        </m:r>
        <m:r>
          <m:rPr>
            <m:sty m:val="p"/>
          </m:rPr>
          <w:rPr>
            <w:rFonts w:ascii="Cambria Math" w:hAnsi="Cambria Math"/>
          </w:rPr>
          <m:t>(</m:t>
        </m:r>
        <m:r>
          <w:rPr>
            <w:rFonts w:ascii="Cambria Math" w:hAnsi="Cambria Math"/>
          </w:rPr>
          <m:t>τ</m:t>
        </m:r>
        <m:r>
          <m:rPr>
            <m:sty m:val="p"/>
          </m:rPr>
          <w:rPr>
            <w:rFonts w:ascii="Cambria Math" w:hAnsi="Cambria Math"/>
          </w:rPr>
          <m:t>)</m:t>
        </m:r>
      </m:oMath>
      <w:r w:rsidRPr="005F2829">
        <w:t xml:space="preserve"> versus </w:t>
      </w:r>
      <m:oMath>
        <m:r>
          <w:rPr>
            <w:rFonts w:ascii="Cambria Math" w:hAnsi="Cambria Math"/>
          </w:rPr>
          <m:t>FPR</m:t>
        </m:r>
        <m:r>
          <m:rPr>
            <m:sty m:val="p"/>
          </m:rPr>
          <w:rPr>
            <w:rFonts w:ascii="Cambria Math" w:hAnsi="Cambria Math"/>
          </w:rPr>
          <m:t>(</m:t>
        </m:r>
        <m:r>
          <w:rPr>
            <w:rFonts w:ascii="Cambria Math" w:hAnsi="Cambria Math"/>
          </w:rPr>
          <m:t>τ</m:t>
        </m:r>
        <m:r>
          <m:rPr>
            <m:sty m:val="p"/>
          </m:rPr>
          <w:rPr>
            <w:rFonts w:ascii="Cambria Math" w:hAnsi="Cambria Math"/>
          </w:rPr>
          <m:t>)</m:t>
        </m:r>
      </m:oMath>
      <w:r w:rsidRPr="005F2829">
        <w:t xml:space="preserve"> 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5F2829">
        <w:t xml:space="preserve"> to visualize sensitivity-specificity trade-off. An ideal curve approaches the point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5F2829">
        <w:t xml:space="preserve">, while a random model lies along the diagonal </w:t>
      </w:r>
      <m:oMath>
        <m:r>
          <w:rPr>
            <w:rFonts w:ascii="Cambria Math" w:hAnsi="Cambria Math"/>
          </w:rPr>
          <m:t>TPR</m:t>
        </m:r>
        <m:r>
          <m:rPr>
            <m:sty m:val="p"/>
          </m:rPr>
          <w:rPr>
            <w:rFonts w:ascii="Cambria Math" w:hAnsi="Cambria Math"/>
          </w:rPr>
          <m:t>=</m:t>
        </m:r>
        <m:r>
          <w:rPr>
            <w:rFonts w:ascii="Cambria Math" w:hAnsi="Cambria Math"/>
          </w:rPr>
          <m:t>FPR</m:t>
        </m:r>
      </m:oMath>
      <w:r w:rsidRPr="005F2829">
        <w:t>.</w:t>
      </w:r>
    </w:p>
    <w:p w14:paraId="7322C776" w14:textId="77777777" w:rsidR="0055206D" w:rsidRPr="005F2829" w:rsidRDefault="00000000">
      <w:pPr>
        <w:numPr>
          <w:ilvl w:val="0"/>
          <w:numId w:val="13"/>
        </w:numPr>
      </w:pPr>
      <w:r w:rsidRPr="005F2829">
        <w:rPr>
          <w:b/>
          <w:bCs/>
        </w:rPr>
        <w:t>Calibration Curves:</w:t>
      </w:r>
      <w:r w:rsidRPr="005F2829">
        <w:t xml:space="preserve"> Assess the agreement between predicted probability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oMath>
      <w:r w:rsidRPr="005F2829">
        <w:t xml:space="preserve"> and observed frequency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5F2829">
        <w:t xml:space="preserve">. For </w:t>
      </w:r>
      <m:oMath>
        <m:r>
          <w:rPr>
            <w:rFonts w:ascii="Cambria Math" w:hAnsi="Cambria Math"/>
          </w:rPr>
          <m:t>K</m:t>
        </m:r>
      </m:oMath>
      <w:r w:rsidRPr="005F2829">
        <w:t xml:space="preserve"> equal-width bins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rsidRPr="005F2829">
        <w:t>:</w:t>
      </w:r>
    </w:p>
    <w:p w14:paraId="184AE2D8" w14:textId="77777777" w:rsidR="0055206D" w:rsidRPr="005F2829"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p w14:paraId="0BED3E61" w14:textId="77777777" w:rsidR="0055206D" w:rsidRPr="005F2829" w:rsidRDefault="00000000">
      <w:pPr>
        <w:numPr>
          <w:ilvl w:val="0"/>
          <w:numId w:val="13"/>
        </w:numPr>
      </w:pPr>
      <w:r w:rsidRPr="005F2829">
        <w:rPr>
          <w:b/>
          <w:bCs/>
        </w:rPr>
        <w:t>Decision Curve Analysis (DCA):</w:t>
      </w:r>
      <w:r w:rsidRPr="005F2829">
        <w:t xml:space="preserve"> Evaluate net benefit </w:t>
      </w:r>
      <m:oMath>
        <m:r>
          <w:rPr>
            <w:rFonts w:ascii="Cambria Math" w:hAnsi="Cambria Math"/>
          </w:rPr>
          <m:t>NB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w:r w:rsidRPr="005F2829">
        <w:t xml:space="preserve"> under clinical cost-benefit assumptions:</w:t>
      </w:r>
    </w:p>
    <w:p w14:paraId="277ED4C6" w14:textId="77777777" w:rsidR="0055206D" w:rsidRPr="005F2829" w:rsidRDefault="00000000">
      <w:pPr>
        <w:pStyle w:val="a0"/>
      </w:pPr>
      <m:oMathPara>
        <m:oMathParaPr>
          <m:jc m:val="center"/>
        </m:oMathParaPr>
        <m:oMath>
          <m:r>
            <w:rPr>
              <w:rFonts w:ascii="Cambria Math" w:hAnsi="Cambria Math"/>
            </w:rPr>
            <m:t>NB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FP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num>
            <m:den>
              <m:r>
                <w:rPr>
                  <w:rFonts w:ascii="Cambria Math" w:hAnsi="Cambria Math"/>
                </w:rPr>
                <m:t>n</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en>
          </m:f>
        </m:oMath>
      </m:oMathPara>
    </w:p>
    <w:p w14:paraId="47B578FC" w14:textId="77777777" w:rsidR="0055206D" w:rsidRPr="005F2829" w:rsidRDefault="00000000">
      <w:pPr>
        <w:numPr>
          <w:ilvl w:val="0"/>
          <w:numId w:val="2"/>
        </w:numPr>
      </w:pPr>
      <w:r w:rsidRPr="005F2829">
        <w:t>With benchmark strategies:</w:t>
      </w:r>
    </w:p>
    <w:p w14:paraId="17EF3936" w14:textId="77777777" w:rsidR="0055206D" w:rsidRPr="005F2829" w:rsidRDefault="00000000">
      <w:pPr>
        <w:pStyle w:val="a0"/>
      </w:pPr>
      <m:oMathPara>
        <m:oMathParaPr>
          <m:jc m:val="center"/>
        </m:oMathParaPr>
        <m:oMath>
          <m:r>
            <w:rPr>
              <w:rFonts w:ascii="Cambria Math" w:hAnsi="Cambria Math"/>
            </w:rPr>
            <m:t>N</m:t>
          </m:r>
          <m:sSub>
            <m:sSubPr>
              <m:ctrlPr>
                <w:rPr>
                  <w:rFonts w:ascii="Cambria Math" w:hAnsi="Cambria Math"/>
                </w:rPr>
              </m:ctrlPr>
            </m:sSubPr>
            <m:e>
              <m:r>
                <w:rPr>
                  <w:rFonts w:ascii="Cambria Math" w:hAnsi="Cambria Math"/>
                </w:rPr>
                <m:t>B</m:t>
              </m:r>
            </m:e>
            <m:sub>
              <m:r>
                <w:rPr>
                  <w:rFonts w:ascii="Cambria Math" w:hAnsi="Cambria Math"/>
                </w:rPr>
                <m:t>all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m:rPr>
              <m:nor/>
            </m:rPr>
            <m:t>Prevalence</m:t>
          </m:r>
          <m:r>
            <m:rPr>
              <m:sty m:val="p"/>
            </m:rPr>
            <w:rPr>
              <w:rFonts w:ascii="Cambria Math" w:hAnsi="Cambria Math"/>
            </w:rPr>
            <m:t>-(</m:t>
          </m:r>
          <m:r>
            <w:rPr>
              <w:rFonts w:ascii="Cambria Math" w:hAnsi="Cambria Math"/>
            </w:rPr>
            <m:t>1</m:t>
          </m:r>
          <m:r>
            <m:rPr>
              <m:sty m:val="p"/>
            </m:rPr>
            <w:rPr>
              <w:rFonts w:ascii="Cambria Math" w:hAnsi="Cambria Math"/>
            </w:rPr>
            <m:t>-</m:t>
          </m:r>
          <m:r>
            <m:rPr>
              <m:nor/>
            </m:rPr>
            <m:t>Prevalence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en>
          </m:f>
          <m:r>
            <m:rPr>
              <m:sty m:val="p"/>
            </m:rPr>
            <w:rPr>
              <w:rFonts w:ascii="Cambria Math" w:hAnsi="Cambria Math"/>
            </w:rPr>
            <m:t>,</m:t>
          </m:r>
          <m:r>
            <w:rPr>
              <w:rFonts w:ascii="Cambria Math" w:hAnsi="Cambria Math"/>
            </w:rPr>
            <m:t> N</m:t>
          </m:r>
          <m:sSub>
            <m:sSubPr>
              <m:ctrlPr>
                <w:rPr>
                  <w:rFonts w:ascii="Cambria Math" w:hAnsi="Cambria Math"/>
                </w:rPr>
              </m:ctrlPr>
            </m:sSubPr>
            <m:e>
              <m:r>
                <w:rPr>
                  <w:rFonts w:ascii="Cambria Math" w:hAnsi="Cambria Math"/>
                </w:rPr>
                <m:t>B</m:t>
              </m:r>
            </m:e>
            <m:sub>
              <m:r>
                <w:rPr>
                  <w:rFonts w:ascii="Cambria Math" w:hAnsi="Cambria Math"/>
                </w:rPr>
                <m:t>none</m:t>
              </m:r>
            </m:sub>
          </m:sSub>
          <m:r>
            <m:rPr>
              <m:sty m:val="p"/>
            </m:rPr>
            <w:rPr>
              <w:rFonts w:ascii="Cambria Math" w:hAnsi="Cambria Math"/>
            </w:rPr>
            <m:t>=</m:t>
          </m:r>
          <m:r>
            <w:rPr>
              <w:rFonts w:ascii="Cambria Math" w:hAnsi="Cambria Math"/>
            </w:rPr>
            <m:t>0</m:t>
          </m:r>
        </m:oMath>
      </m:oMathPara>
    </w:p>
    <w:p w14:paraId="4F72820A" w14:textId="77777777" w:rsidR="0055206D" w:rsidRPr="005F2829" w:rsidRDefault="00000000">
      <w:pPr>
        <w:numPr>
          <w:ilvl w:val="0"/>
          <w:numId w:val="2"/>
        </w:numPr>
      </w:pPr>
      <w:r w:rsidRPr="005F2829">
        <w:t xml:space="preserve">where </w:t>
      </w:r>
      <m:oMath>
        <m:r>
          <m:rPr>
            <m:nor/>
          </m:rPr>
          <m:t>Prevalence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w:p>
    <w:p w14:paraId="76F3A706" w14:textId="77777777" w:rsidR="0055206D" w:rsidRPr="005F2829" w:rsidRDefault="00000000">
      <w:pPr>
        <w:pStyle w:val="2"/>
        <w:rPr>
          <w:rFonts w:ascii="Times New Roman" w:hAnsi="Times New Roman" w:cs="Times New Roman"/>
          <w:color w:val="000000" w:themeColor="text1"/>
        </w:rPr>
      </w:pPr>
      <w:bookmarkStart w:id="78" w:name="study-cohort-and-experimental-setup"/>
      <w:bookmarkEnd w:id="74"/>
      <w:bookmarkEnd w:id="77"/>
      <w:r w:rsidRPr="005F2829">
        <w:rPr>
          <w:rFonts w:ascii="Times New Roman" w:hAnsi="Times New Roman" w:cs="Times New Roman"/>
          <w:color w:val="000000" w:themeColor="text1"/>
        </w:rPr>
        <w:t>Study Cohort and Experimental Setup</w:t>
      </w:r>
    </w:p>
    <w:p w14:paraId="7C5B98DF" w14:textId="77777777" w:rsidR="0055206D" w:rsidRPr="005F2829" w:rsidRDefault="00000000">
      <w:pPr>
        <w:pStyle w:val="FirstParagraph"/>
      </w:pPr>
      <w:r w:rsidRPr="005F2829">
        <w:t xml:space="preserve">This study utilized structured clinical data from two authoritative cancer centers in China to construct a cross-institutional training–testing framework. The training cohort (Cohort A, </w:t>
      </w:r>
      <m:oMath>
        <m:r>
          <w:rPr>
            <w:rFonts w:ascii="Cambria Math" w:hAnsi="Cambria Math"/>
          </w:rPr>
          <m:t>n</m:t>
        </m:r>
        <m:r>
          <m:rPr>
            <m:sty m:val="p"/>
          </m:rPr>
          <w:rPr>
            <w:rFonts w:ascii="Cambria Math" w:hAnsi="Cambria Math"/>
          </w:rPr>
          <m:t>=</m:t>
        </m:r>
        <m:r>
          <w:rPr>
            <w:rFonts w:ascii="Cambria Math" w:hAnsi="Cambria Math"/>
          </w:rPr>
          <m:t>295</m:t>
        </m:r>
      </m:oMath>
      <w:r w:rsidRPr="005F2829">
        <w:t xml:space="preserve">) was derived from Sun Yat-sen University Cancer Center (Guangzhou, China), consisting of patients diagnosed with solitary pulmonary nodules (SPNs) between January 2011 and December 2016. The external testing cohort (Cohort B, </w:t>
      </w:r>
      <m:oMath>
        <m:r>
          <w:rPr>
            <w:rFonts w:ascii="Cambria Math" w:hAnsi="Cambria Math"/>
          </w:rPr>
          <m:t>n</m:t>
        </m:r>
        <m:r>
          <m:rPr>
            <m:sty m:val="p"/>
          </m:rPr>
          <w:rPr>
            <w:rFonts w:ascii="Cambria Math" w:hAnsi="Cambria Math"/>
          </w:rPr>
          <m:t>=</m:t>
        </m:r>
        <m:r>
          <w:rPr>
            <w:rFonts w:ascii="Cambria Math" w:hAnsi="Cambria Math"/>
          </w:rPr>
          <m:t>190</m:t>
        </m:r>
      </m:oMath>
      <w:r w:rsidRPr="005F2829">
        <w:t>) was obtained from Henan Tumor Hospital (Zhengzhou, China) from January 2013.</w:t>
      </w:r>
    </w:p>
    <w:p w14:paraId="6104A16A" w14:textId="77777777" w:rsidR="0055206D" w:rsidRPr="005F2829" w:rsidRDefault="00000000">
      <w:pPr>
        <w:pStyle w:val="a0"/>
      </w:pPr>
      <w:r w:rsidRPr="005F2829">
        <w:t xml:space="preserve">All enrolled patients met inclusion criteria including: presence of SPNs with lesion diameter </w:t>
      </w:r>
      <m:oMath>
        <m:r>
          <m:rPr>
            <m:sty m:val="p"/>
          </m:rPr>
          <w:rPr>
            <w:rFonts w:ascii="Cambria Math" w:hAnsi="Cambria Math"/>
          </w:rPr>
          <m:t>≤</m:t>
        </m:r>
      </m:oMath>
      <w:r w:rsidRPr="005F2829">
        <w:t xml:space="preserve"> 3 cm detected by chest CT, no history of extrapulmonary malignancies, complete clinical records within 7 days before diagnosis, and histologically confirmed diagnosis. Each sample was annotated with a binary label indicating malignancy status (0 = benign, 1 = malignant).</w:t>
      </w:r>
    </w:p>
    <w:p w14:paraId="09B149D6" w14:textId="77777777" w:rsidR="0055206D" w:rsidRPr="005F2829" w:rsidRDefault="00000000">
      <w:pPr>
        <w:pStyle w:val="a0"/>
      </w:pPr>
      <w:r w:rsidRPr="005F2829">
        <w:t>Cohort A contained 63 structured features covering demographics, vital signs, biochemistry, tumor markers, and imaging descriptors. Due to partial data omissions, Cohort B included 58 features. To ensure domain consistency, we applied recursive feature elimination (RFE) and selected the top 8 predictive features that were available across both domains.</w:t>
      </w:r>
    </w:p>
    <w:p w14:paraId="716A408D" w14:textId="77777777" w:rsidR="0055206D" w:rsidRPr="005F2829" w:rsidRDefault="00000000">
      <w:pPr>
        <w:pStyle w:val="TableCaption"/>
      </w:pPr>
      <w:bookmarkStart w:id="79" w:name="tab:cohort_summary"/>
      <w:r w:rsidRPr="005F2829">
        <w:lastRenderedPageBreak/>
        <w:t>Summary statistics of the training (Cohort A) and testing (Cohort B) cohorts.</w:t>
      </w:r>
    </w:p>
    <w:tbl>
      <w:tblPr>
        <w:tblStyle w:val="Table"/>
        <w:tblW w:w="0" w:type="auto"/>
        <w:tblLook w:val="0020" w:firstRow="1" w:lastRow="0" w:firstColumn="0" w:lastColumn="0" w:noHBand="0" w:noVBand="0"/>
        <w:tblCaption w:val="Summary statistics of the training (Cohort A) and testing (Cohort B) cohorts."/>
      </w:tblPr>
      <w:tblGrid>
        <w:gridCol w:w="2309"/>
        <w:gridCol w:w="2153"/>
        <w:gridCol w:w="2140"/>
      </w:tblGrid>
      <w:tr w:rsidR="005F2829" w:rsidRPr="005F2829" w14:paraId="363151B5" w14:textId="77777777" w:rsidTr="0055206D">
        <w:trPr>
          <w:cnfStyle w:val="100000000000" w:firstRow="1" w:lastRow="0" w:firstColumn="0" w:lastColumn="0" w:oddVBand="0" w:evenVBand="0" w:oddHBand="0" w:evenHBand="0" w:firstRowFirstColumn="0" w:firstRowLastColumn="0" w:lastRowFirstColumn="0" w:lastRowLastColumn="0"/>
          <w:tblHeader/>
        </w:trPr>
        <w:tc>
          <w:tcPr>
            <w:tcW w:w="0" w:type="auto"/>
          </w:tcPr>
          <w:p w14:paraId="143B48B4" w14:textId="77777777" w:rsidR="0055206D" w:rsidRPr="005F2829" w:rsidRDefault="00000000">
            <w:pPr>
              <w:pStyle w:val="Compact"/>
            </w:pPr>
            <w:r w:rsidRPr="005F2829">
              <w:rPr>
                <w:b/>
                <w:bCs/>
              </w:rPr>
              <w:t>Characteristic</w:t>
            </w:r>
          </w:p>
        </w:tc>
        <w:tc>
          <w:tcPr>
            <w:tcW w:w="0" w:type="auto"/>
          </w:tcPr>
          <w:p w14:paraId="4160CF06" w14:textId="77777777" w:rsidR="0055206D" w:rsidRPr="005F2829" w:rsidRDefault="00000000">
            <w:pPr>
              <w:pStyle w:val="Compact"/>
              <w:jc w:val="center"/>
            </w:pPr>
            <w:r w:rsidRPr="005F2829">
              <w:rPr>
                <w:b/>
                <w:bCs/>
              </w:rPr>
              <w:t>Cohort A (n = 295)</w:t>
            </w:r>
          </w:p>
        </w:tc>
        <w:tc>
          <w:tcPr>
            <w:tcW w:w="0" w:type="auto"/>
          </w:tcPr>
          <w:p w14:paraId="39F2E469" w14:textId="77777777" w:rsidR="0055206D" w:rsidRPr="005F2829" w:rsidRDefault="00000000">
            <w:pPr>
              <w:pStyle w:val="Compact"/>
              <w:jc w:val="center"/>
            </w:pPr>
            <w:r w:rsidRPr="005F2829">
              <w:rPr>
                <w:b/>
                <w:bCs/>
              </w:rPr>
              <w:t>Cohort B (n = 190)</w:t>
            </w:r>
          </w:p>
        </w:tc>
      </w:tr>
      <w:tr w:rsidR="005F2829" w:rsidRPr="005F2829" w14:paraId="3A3FA5E1" w14:textId="77777777">
        <w:tc>
          <w:tcPr>
            <w:tcW w:w="0" w:type="auto"/>
          </w:tcPr>
          <w:p w14:paraId="1D18641F" w14:textId="77777777" w:rsidR="0055206D" w:rsidRPr="005F2829" w:rsidRDefault="00000000">
            <w:pPr>
              <w:pStyle w:val="Compact"/>
            </w:pPr>
            <w:r w:rsidRPr="005F2829">
              <w:t>Upper lobe</w:t>
            </w:r>
          </w:p>
        </w:tc>
        <w:tc>
          <w:tcPr>
            <w:tcW w:w="0" w:type="auto"/>
          </w:tcPr>
          <w:p w14:paraId="4BC5CB28" w14:textId="77777777" w:rsidR="0055206D" w:rsidRPr="005F2829" w:rsidRDefault="0055206D">
            <w:pPr>
              <w:pStyle w:val="Compact"/>
            </w:pPr>
          </w:p>
        </w:tc>
        <w:tc>
          <w:tcPr>
            <w:tcW w:w="0" w:type="auto"/>
          </w:tcPr>
          <w:p w14:paraId="7E0FABD2" w14:textId="77777777" w:rsidR="0055206D" w:rsidRPr="005F2829" w:rsidRDefault="0055206D">
            <w:pPr>
              <w:pStyle w:val="Compact"/>
            </w:pPr>
          </w:p>
        </w:tc>
      </w:tr>
      <w:tr w:rsidR="005F2829" w:rsidRPr="005F2829" w14:paraId="3EE0859E" w14:textId="77777777">
        <w:tc>
          <w:tcPr>
            <w:tcW w:w="0" w:type="auto"/>
          </w:tcPr>
          <w:p w14:paraId="36CB75B1" w14:textId="77777777" w:rsidR="0055206D" w:rsidRPr="005F2829" w:rsidRDefault="00000000">
            <w:pPr>
              <w:pStyle w:val="Compact"/>
            </w:pPr>
            <w:r w:rsidRPr="005F2829">
              <w:t>Yes/Positive</w:t>
            </w:r>
          </w:p>
        </w:tc>
        <w:tc>
          <w:tcPr>
            <w:tcW w:w="0" w:type="auto"/>
          </w:tcPr>
          <w:p w14:paraId="366ECFAF" w14:textId="77777777" w:rsidR="0055206D" w:rsidRPr="005F2829" w:rsidRDefault="00000000">
            <w:pPr>
              <w:pStyle w:val="Compact"/>
              <w:jc w:val="center"/>
            </w:pPr>
            <w:r w:rsidRPr="005F2829">
              <w:t>121 (41.0%)</w:t>
            </w:r>
          </w:p>
        </w:tc>
        <w:tc>
          <w:tcPr>
            <w:tcW w:w="0" w:type="auto"/>
          </w:tcPr>
          <w:p w14:paraId="542231E2" w14:textId="77777777" w:rsidR="0055206D" w:rsidRPr="005F2829" w:rsidRDefault="00000000">
            <w:pPr>
              <w:pStyle w:val="Compact"/>
              <w:jc w:val="center"/>
            </w:pPr>
            <w:r w:rsidRPr="005F2829">
              <w:t>98 (51.6%)</w:t>
            </w:r>
          </w:p>
        </w:tc>
      </w:tr>
      <w:tr w:rsidR="005F2829" w:rsidRPr="005F2829" w14:paraId="356560C6" w14:textId="77777777">
        <w:tc>
          <w:tcPr>
            <w:tcW w:w="0" w:type="auto"/>
          </w:tcPr>
          <w:p w14:paraId="4672C20F" w14:textId="77777777" w:rsidR="0055206D" w:rsidRPr="005F2829" w:rsidRDefault="00000000">
            <w:pPr>
              <w:pStyle w:val="Compact"/>
            </w:pPr>
            <w:r w:rsidRPr="005F2829">
              <w:t>No/Negative</w:t>
            </w:r>
          </w:p>
        </w:tc>
        <w:tc>
          <w:tcPr>
            <w:tcW w:w="0" w:type="auto"/>
          </w:tcPr>
          <w:p w14:paraId="3B8B941D" w14:textId="77777777" w:rsidR="0055206D" w:rsidRPr="005F2829" w:rsidRDefault="00000000">
            <w:pPr>
              <w:pStyle w:val="Compact"/>
              <w:jc w:val="center"/>
            </w:pPr>
            <w:r w:rsidRPr="005F2829">
              <w:t>174 (59.0%)</w:t>
            </w:r>
          </w:p>
        </w:tc>
        <w:tc>
          <w:tcPr>
            <w:tcW w:w="0" w:type="auto"/>
          </w:tcPr>
          <w:p w14:paraId="74BDEE21" w14:textId="77777777" w:rsidR="0055206D" w:rsidRPr="005F2829" w:rsidRDefault="00000000">
            <w:pPr>
              <w:pStyle w:val="Compact"/>
              <w:jc w:val="center"/>
            </w:pPr>
            <w:r w:rsidRPr="005F2829">
              <w:t>92 (48.4%)</w:t>
            </w:r>
          </w:p>
        </w:tc>
      </w:tr>
      <w:tr w:rsidR="005F2829" w:rsidRPr="005F2829" w14:paraId="2B76CC2C" w14:textId="77777777">
        <w:tc>
          <w:tcPr>
            <w:tcW w:w="0" w:type="auto"/>
          </w:tcPr>
          <w:p w14:paraId="0D3E5E48" w14:textId="77777777" w:rsidR="0055206D" w:rsidRPr="005F2829" w:rsidRDefault="00000000">
            <w:pPr>
              <w:pStyle w:val="Compact"/>
            </w:pPr>
            <w:r w:rsidRPr="005F2829">
              <w:t>Age (years)</w:t>
            </w:r>
          </w:p>
        </w:tc>
        <w:tc>
          <w:tcPr>
            <w:tcW w:w="0" w:type="auto"/>
          </w:tcPr>
          <w:p w14:paraId="2CB3952C" w14:textId="77777777" w:rsidR="0055206D" w:rsidRPr="005F2829" w:rsidRDefault="00000000">
            <w:pPr>
              <w:pStyle w:val="Compact"/>
              <w:jc w:val="center"/>
            </w:pPr>
            <w:r w:rsidRPr="005F2829">
              <w:t xml:space="preserve">56.95 </w:t>
            </w:r>
            <m:oMath>
              <m:r>
                <m:rPr>
                  <m:sty m:val="p"/>
                </m:rPr>
                <w:rPr>
                  <w:rFonts w:ascii="Cambria Math" w:hAnsi="Cambria Math"/>
                </w:rPr>
                <m:t>±</m:t>
              </m:r>
            </m:oMath>
            <w:r w:rsidRPr="005F2829">
              <w:t xml:space="preserve"> 11.03</w:t>
            </w:r>
          </w:p>
        </w:tc>
        <w:tc>
          <w:tcPr>
            <w:tcW w:w="0" w:type="auto"/>
          </w:tcPr>
          <w:p w14:paraId="006E887D" w14:textId="77777777" w:rsidR="0055206D" w:rsidRPr="005F2829" w:rsidRDefault="00000000">
            <w:pPr>
              <w:pStyle w:val="Compact"/>
              <w:jc w:val="center"/>
            </w:pPr>
            <w:r w:rsidRPr="005F2829">
              <w:t xml:space="preserve">58.26 </w:t>
            </w:r>
            <m:oMath>
              <m:r>
                <m:rPr>
                  <m:sty m:val="p"/>
                </m:rPr>
                <w:rPr>
                  <w:rFonts w:ascii="Cambria Math" w:hAnsi="Cambria Math"/>
                </w:rPr>
                <m:t>±</m:t>
              </m:r>
            </m:oMath>
            <w:r w:rsidRPr="005F2829">
              <w:t xml:space="preserve"> 9.57</w:t>
            </w:r>
          </w:p>
        </w:tc>
      </w:tr>
      <w:tr w:rsidR="005F2829" w:rsidRPr="005F2829" w14:paraId="6E0F4382" w14:textId="77777777">
        <w:tc>
          <w:tcPr>
            <w:tcW w:w="0" w:type="auto"/>
          </w:tcPr>
          <w:p w14:paraId="078386A3" w14:textId="77777777" w:rsidR="0055206D" w:rsidRPr="005F2829" w:rsidRDefault="00000000">
            <w:pPr>
              <w:pStyle w:val="Compact"/>
            </w:pPr>
            <w:r w:rsidRPr="005F2829">
              <w:t>Lobe location (upper)</w:t>
            </w:r>
          </w:p>
        </w:tc>
        <w:tc>
          <w:tcPr>
            <w:tcW w:w="0" w:type="auto"/>
          </w:tcPr>
          <w:p w14:paraId="5BD0C13D" w14:textId="77777777" w:rsidR="0055206D" w:rsidRPr="005F2829" w:rsidRDefault="0055206D">
            <w:pPr>
              <w:pStyle w:val="Compact"/>
            </w:pPr>
          </w:p>
        </w:tc>
        <w:tc>
          <w:tcPr>
            <w:tcW w:w="0" w:type="auto"/>
          </w:tcPr>
          <w:p w14:paraId="7292352F" w14:textId="77777777" w:rsidR="0055206D" w:rsidRPr="005F2829" w:rsidRDefault="0055206D">
            <w:pPr>
              <w:pStyle w:val="Compact"/>
            </w:pPr>
          </w:p>
        </w:tc>
      </w:tr>
      <w:tr w:rsidR="005F2829" w:rsidRPr="005F2829" w14:paraId="5DA62161" w14:textId="77777777">
        <w:tc>
          <w:tcPr>
            <w:tcW w:w="0" w:type="auto"/>
          </w:tcPr>
          <w:p w14:paraId="5A9DC098" w14:textId="77777777" w:rsidR="0055206D" w:rsidRPr="005F2829" w:rsidRDefault="00000000">
            <w:pPr>
              <w:pStyle w:val="Compact"/>
            </w:pPr>
            <w:r w:rsidRPr="005F2829">
              <w:t>Category 1</w:t>
            </w:r>
          </w:p>
        </w:tc>
        <w:tc>
          <w:tcPr>
            <w:tcW w:w="0" w:type="auto"/>
          </w:tcPr>
          <w:p w14:paraId="70F2767C" w14:textId="77777777" w:rsidR="0055206D" w:rsidRPr="005F2829" w:rsidRDefault="00000000">
            <w:pPr>
              <w:pStyle w:val="Compact"/>
              <w:jc w:val="center"/>
            </w:pPr>
            <w:r w:rsidRPr="005F2829">
              <w:t>161 (54.6%)</w:t>
            </w:r>
          </w:p>
        </w:tc>
        <w:tc>
          <w:tcPr>
            <w:tcW w:w="0" w:type="auto"/>
          </w:tcPr>
          <w:p w14:paraId="20B86923" w14:textId="77777777" w:rsidR="0055206D" w:rsidRPr="005F2829" w:rsidRDefault="00000000">
            <w:pPr>
              <w:pStyle w:val="Compact"/>
              <w:jc w:val="center"/>
            </w:pPr>
            <w:r w:rsidRPr="005F2829">
              <w:t>98 (51.6%)</w:t>
            </w:r>
          </w:p>
        </w:tc>
      </w:tr>
      <w:tr w:rsidR="005F2829" w:rsidRPr="005F2829" w14:paraId="04545EE4" w14:textId="77777777">
        <w:tc>
          <w:tcPr>
            <w:tcW w:w="0" w:type="auto"/>
          </w:tcPr>
          <w:p w14:paraId="495B72E2" w14:textId="77777777" w:rsidR="0055206D" w:rsidRPr="005F2829" w:rsidRDefault="00000000">
            <w:pPr>
              <w:pStyle w:val="Compact"/>
            </w:pPr>
            <w:r w:rsidRPr="005F2829">
              <w:t>Category 2</w:t>
            </w:r>
          </w:p>
        </w:tc>
        <w:tc>
          <w:tcPr>
            <w:tcW w:w="0" w:type="auto"/>
          </w:tcPr>
          <w:p w14:paraId="5453307A" w14:textId="77777777" w:rsidR="0055206D" w:rsidRPr="005F2829" w:rsidRDefault="00000000">
            <w:pPr>
              <w:pStyle w:val="Compact"/>
              <w:jc w:val="center"/>
            </w:pPr>
            <w:r w:rsidRPr="005F2829">
              <w:t>29 (9.8%)</w:t>
            </w:r>
          </w:p>
        </w:tc>
        <w:tc>
          <w:tcPr>
            <w:tcW w:w="0" w:type="auto"/>
          </w:tcPr>
          <w:p w14:paraId="16779323" w14:textId="77777777" w:rsidR="0055206D" w:rsidRPr="005F2829" w:rsidRDefault="00000000">
            <w:pPr>
              <w:pStyle w:val="Compact"/>
              <w:jc w:val="center"/>
            </w:pPr>
            <w:r w:rsidRPr="005F2829">
              <w:t>18 (9.5%)</w:t>
            </w:r>
          </w:p>
        </w:tc>
      </w:tr>
      <w:tr w:rsidR="005F2829" w:rsidRPr="005F2829" w14:paraId="6773C6BE" w14:textId="77777777">
        <w:tc>
          <w:tcPr>
            <w:tcW w:w="0" w:type="auto"/>
          </w:tcPr>
          <w:p w14:paraId="33C8F4A5" w14:textId="77777777" w:rsidR="0055206D" w:rsidRPr="005F2829" w:rsidRDefault="00000000">
            <w:pPr>
              <w:pStyle w:val="Compact"/>
            </w:pPr>
            <w:r w:rsidRPr="005F2829">
              <w:t>Category 3</w:t>
            </w:r>
          </w:p>
        </w:tc>
        <w:tc>
          <w:tcPr>
            <w:tcW w:w="0" w:type="auto"/>
          </w:tcPr>
          <w:p w14:paraId="3F5E310A" w14:textId="77777777" w:rsidR="0055206D" w:rsidRPr="005F2829" w:rsidRDefault="00000000">
            <w:pPr>
              <w:pStyle w:val="Compact"/>
              <w:jc w:val="center"/>
            </w:pPr>
            <w:r w:rsidRPr="005F2829">
              <w:t>105 (35.6%)</w:t>
            </w:r>
          </w:p>
        </w:tc>
        <w:tc>
          <w:tcPr>
            <w:tcW w:w="0" w:type="auto"/>
          </w:tcPr>
          <w:p w14:paraId="1B8C10F8" w14:textId="77777777" w:rsidR="0055206D" w:rsidRPr="005F2829" w:rsidRDefault="00000000">
            <w:pPr>
              <w:pStyle w:val="Compact"/>
              <w:jc w:val="center"/>
            </w:pPr>
            <w:r w:rsidRPr="005F2829">
              <w:t>74 (38.9%)</w:t>
            </w:r>
          </w:p>
        </w:tc>
      </w:tr>
      <w:tr w:rsidR="005F2829" w:rsidRPr="005F2829" w14:paraId="7EF56CDF" w14:textId="77777777">
        <w:tc>
          <w:tcPr>
            <w:tcW w:w="0" w:type="auto"/>
          </w:tcPr>
          <w:p w14:paraId="5F9C6041" w14:textId="77777777" w:rsidR="0055206D" w:rsidRPr="005F2829" w:rsidRDefault="00000000">
            <w:pPr>
              <w:pStyle w:val="Compact"/>
            </w:pPr>
            <w:r w:rsidRPr="005F2829">
              <w:t>DLCO1</w:t>
            </w:r>
          </w:p>
        </w:tc>
        <w:tc>
          <w:tcPr>
            <w:tcW w:w="0" w:type="auto"/>
          </w:tcPr>
          <w:p w14:paraId="0D2599C6" w14:textId="77777777" w:rsidR="0055206D" w:rsidRPr="005F2829" w:rsidRDefault="00000000">
            <w:pPr>
              <w:pStyle w:val="Compact"/>
              <w:jc w:val="center"/>
            </w:pPr>
            <w:r w:rsidRPr="005F2829">
              <w:t xml:space="preserve">5.90 </w:t>
            </w:r>
            <m:oMath>
              <m:r>
                <m:rPr>
                  <m:sty m:val="p"/>
                </m:rPr>
                <w:rPr>
                  <w:rFonts w:ascii="Cambria Math" w:hAnsi="Cambria Math"/>
                </w:rPr>
                <m:t>±</m:t>
              </m:r>
            </m:oMath>
            <w:r w:rsidRPr="005F2829">
              <w:t xml:space="preserve"> 2.89</w:t>
            </w:r>
          </w:p>
        </w:tc>
        <w:tc>
          <w:tcPr>
            <w:tcW w:w="0" w:type="auto"/>
          </w:tcPr>
          <w:p w14:paraId="7688F394" w14:textId="77777777" w:rsidR="0055206D" w:rsidRPr="005F2829" w:rsidRDefault="00000000">
            <w:pPr>
              <w:pStyle w:val="Compact"/>
              <w:jc w:val="center"/>
            </w:pPr>
            <w:r w:rsidRPr="005F2829">
              <w:t xml:space="preserve">6.31 </w:t>
            </w:r>
            <m:oMath>
              <m:r>
                <m:rPr>
                  <m:sty m:val="p"/>
                </m:rPr>
                <w:rPr>
                  <w:rFonts w:ascii="Cambria Math" w:hAnsi="Cambria Math"/>
                </w:rPr>
                <m:t>±</m:t>
              </m:r>
            </m:oMath>
            <w:r w:rsidRPr="005F2829">
              <w:t xml:space="preserve"> 1.55</w:t>
            </w:r>
          </w:p>
        </w:tc>
      </w:tr>
      <w:tr w:rsidR="005F2829" w:rsidRPr="005F2829" w14:paraId="0980736A" w14:textId="77777777">
        <w:tc>
          <w:tcPr>
            <w:tcW w:w="0" w:type="auto"/>
          </w:tcPr>
          <w:p w14:paraId="285EADCF" w14:textId="77777777" w:rsidR="0055206D" w:rsidRPr="005F2829" w:rsidRDefault="00000000">
            <w:pPr>
              <w:pStyle w:val="Compact"/>
            </w:pPr>
            <w:r w:rsidRPr="005F2829">
              <w:t>VC</w:t>
            </w:r>
          </w:p>
        </w:tc>
        <w:tc>
          <w:tcPr>
            <w:tcW w:w="0" w:type="auto"/>
          </w:tcPr>
          <w:p w14:paraId="533EAF59" w14:textId="77777777" w:rsidR="0055206D" w:rsidRPr="005F2829" w:rsidRDefault="00000000">
            <w:pPr>
              <w:pStyle w:val="Compact"/>
              <w:jc w:val="center"/>
            </w:pPr>
            <w:r w:rsidRPr="005F2829">
              <w:t xml:space="preserve">3.33 </w:t>
            </w:r>
            <m:oMath>
              <m:r>
                <m:rPr>
                  <m:sty m:val="p"/>
                </m:rPr>
                <w:rPr>
                  <w:rFonts w:ascii="Cambria Math" w:hAnsi="Cambria Math"/>
                </w:rPr>
                <m:t>±</m:t>
              </m:r>
            </m:oMath>
            <w:r w:rsidRPr="005F2829">
              <w:t xml:space="preserve"> 0.80</w:t>
            </w:r>
          </w:p>
        </w:tc>
        <w:tc>
          <w:tcPr>
            <w:tcW w:w="0" w:type="auto"/>
          </w:tcPr>
          <w:p w14:paraId="26D9B84F" w14:textId="77777777" w:rsidR="0055206D" w:rsidRPr="005F2829" w:rsidRDefault="00000000">
            <w:pPr>
              <w:pStyle w:val="Compact"/>
              <w:jc w:val="center"/>
            </w:pPr>
            <w:r w:rsidRPr="005F2829">
              <w:t xml:space="preserve">2.92 </w:t>
            </w:r>
            <m:oMath>
              <m:r>
                <m:rPr>
                  <m:sty m:val="p"/>
                </m:rPr>
                <w:rPr>
                  <w:rFonts w:ascii="Cambria Math" w:hAnsi="Cambria Math"/>
                </w:rPr>
                <m:t>±</m:t>
              </m:r>
            </m:oMath>
            <w:r w:rsidRPr="005F2829">
              <w:t xml:space="preserve"> 0.73</w:t>
            </w:r>
          </w:p>
        </w:tc>
      </w:tr>
      <w:tr w:rsidR="005F2829" w:rsidRPr="005F2829" w14:paraId="12460F4F" w14:textId="77777777">
        <w:tc>
          <w:tcPr>
            <w:tcW w:w="0" w:type="auto"/>
          </w:tcPr>
          <w:p w14:paraId="1FD84C47" w14:textId="77777777" w:rsidR="0055206D" w:rsidRPr="005F2829" w:rsidRDefault="00000000">
            <w:pPr>
              <w:pStyle w:val="Compact"/>
            </w:pPr>
            <w:r w:rsidRPr="005F2829">
              <w:t>CEA</w:t>
            </w:r>
          </w:p>
        </w:tc>
        <w:tc>
          <w:tcPr>
            <w:tcW w:w="0" w:type="auto"/>
          </w:tcPr>
          <w:p w14:paraId="47F2FE0F" w14:textId="77777777" w:rsidR="0055206D" w:rsidRPr="005F2829" w:rsidRDefault="00000000">
            <w:pPr>
              <w:pStyle w:val="Compact"/>
              <w:jc w:val="center"/>
            </w:pPr>
            <w:r w:rsidRPr="005F2829">
              <w:t xml:space="preserve">4.23 </w:t>
            </w:r>
            <m:oMath>
              <m:r>
                <m:rPr>
                  <m:sty m:val="p"/>
                </m:rPr>
                <w:rPr>
                  <w:rFonts w:ascii="Cambria Math" w:hAnsi="Cambria Math"/>
                </w:rPr>
                <m:t>±</m:t>
              </m:r>
            </m:oMath>
            <w:r w:rsidRPr="005F2829">
              <w:t xml:space="preserve"> 6.90</w:t>
            </w:r>
          </w:p>
        </w:tc>
        <w:tc>
          <w:tcPr>
            <w:tcW w:w="0" w:type="auto"/>
          </w:tcPr>
          <w:p w14:paraId="50095D1D" w14:textId="77777777" w:rsidR="0055206D" w:rsidRPr="005F2829" w:rsidRDefault="00000000">
            <w:pPr>
              <w:pStyle w:val="Compact"/>
              <w:jc w:val="center"/>
            </w:pPr>
            <w:r w:rsidRPr="005F2829">
              <w:t xml:space="preserve">4.15 </w:t>
            </w:r>
            <m:oMath>
              <m:r>
                <m:rPr>
                  <m:sty m:val="p"/>
                </m:rPr>
                <w:rPr>
                  <w:rFonts w:ascii="Cambria Math" w:hAnsi="Cambria Math"/>
                </w:rPr>
                <m:t>±</m:t>
              </m:r>
            </m:oMath>
            <w:r w:rsidRPr="005F2829">
              <w:t xml:space="preserve"> 10.61</w:t>
            </w:r>
          </w:p>
        </w:tc>
      </w:tr>
      <w:tr w:rsidR="005F2829" w:rsidRPr="005F2829" w14:paraId="32B9F03A" w14:textId="77777777">
        <w:tc>
          <w:tcPr>
            <w:tcW w:w="0" w:type="auto"/>
          </w:tcPr>
          <w:p w14:paraId="24C60126" w14:textId="77777777" w:rsidR="0055206D" w:rsidRPr="005F2829" w:rsidRDefault="00000000">
            <w:pPr>
              <w:pStyle w:val="Compact"/>
            </w:pPr>
            <w:r w:rsidRPr="005F2829">
              <w:t>CRE</w:t>
            </w:r>
          </w:p>
        </w:tc>
        <w:tc>
          <w:tcPr>
            <w:tcW w:w="0" w:type="auto"/>
          </w:tcPr>
          <w:p w14:paraId="5B26D22A" w14:textId="77777777" w:rsidR="0055206D" w:rsidRPr="005F2829" w:rsidRDefault="00000000">
            <w:pPr>
              <w:pStyle w:val="Compact"/>
              <w:jc w:val="center"/>
            </w:pPr>
            <w:r w:rsidRPr="005F2829">
              <w:t xml:space="preserve">73.41 </w:t>
            </w:r>
            <m:oMath>
              <m:r>
                <m:rPr>
                  <m:sty m:val="p"/>
                </m:rPr>
                <w:rPr>
                  <w:rFonts w:ascii="Cambria Math" w:hAnsi="Cambria Math"/>
                </w:rPr>
                <m:t>±</m:t>
              </m:r>
            </m:oMath>
            <w:r w:rsidRPr="005F2829">
              <w:t xml:space="preserve"> 17.16</w:t>
            </w:r>
          </w:p>
        </w:tc>
        <w:tc>
          <w:tcPr>
            <w:tcW w:w="0" w:type="auto"/>
          </w:tcPr>
          <w:p w14:paraId="7B597A68" w14:textId="77777777" w:rsidR="0055206D" w:rsidRPr="005F2829" w:rsidRDefault="00000000">
            <w:pPr>
              <w:pStyle w:val="Compact"/>
              <w:jc w:val="center"/>
            </w:pPr>
            <w:r w:rsidRPr="005F2829">
              <w:t xml:space="preserve">62.94 </w:t>
            </w:r>
            <m:oMath>
              <m:r>
                <m:rPr>
                  <m:sty m:val="p"/>
                </m:rPr>
                <w:rPr>
                  <w:rFonts w:ascii="Cambria Math" w:hAnsi="Cambria Math"/>
                </w:rPr>
                <m:t>±</m:t>
              </m:r>
            </m:oMath>
            <w:r w:rsidRPr="005F2829">
              <w:t xml:space="preserve"> 13.64</w:t>
            </w:r>
          </w:p>
        </w:tc>
      </w:tr>
      <w:tr w:rsidR="005F2829" w:rsidRPr="005F2829" w14:paraId="5059F239" w14:textId="77777777">
        <w:tc>
          <w:tcPr>
            <w:tcW w:w="0" w:type="auto"/>
          </w:tcPr>
          <w:p w14:paraId="2241B212" w14:textId="77777777" w:rsidR="0055206D" w:rsidRPr="005F2829" w:rsidRDefault="00000000">
            <w:pPr>
              <w:pStyle w:val="Compact"/>
            </w:pPr>
            <w:r w:rsidRPr="005F2829">
              <w:t>NSE</w:t>
            </w:r>
          </w:p>
        </w:tc>
        <w:tc>
          <w:tcPr>
            <w:tcW w:w="0" w:type="auto"/>
          </w:tcPr>
          <w:p w14:paraId="4D591D94" w14:textId="77777777" w:rsidR="0055206D" w:rsidRPr="005F2829" w:rsidRDefault="00000000">
            <w:pPr>
              <w:pStyle w:val="Compact"/>
              <w:jc w:val="center"/>
            </w:pPr>
            <w:r w:rsidRPr="005F2829">
              <w:t xml:space="preserve">13.07 </w:t>
            </w:r>
            <m:oMath>
              <m:r>
                <m:rPr>
                  <m:sty m:val="p"/>
                </m:rPr>
                <w:rPr>
                  <w:rFonts w:ascii="Cambria Math" w:hAnsi="Cambria Math"/>
                </w:rPr>
                <m:t>±</m:t>
              </m:r>
            </m:oMath>
            <w:r w:rsidRPr="005F2829">
              <w:t xml:space="preserve"> 3.90</w:t>
            </w:r>
          </w:p>
        </w:tc>
        <w:tc>
          <w:tcPr>
            <w:tcW w:w="0" w:type="auto"/>
          </w:tcPr>
          <w:p w14:paraId="6ED083B7" w14:textId="77777777" w:rsidR="0055206D" w:rsidRPr="005F2829" w:rsidRDefault="00000000">
            <w:pPr>
              <w:pStyle w:val="Compact"/>
              <w:jc w:val="center"/>
            </w:pPr>
            <w:r w:rsidRPr="005F2829">
              <w:t xml:space="preserve">13.82 </w:t>
            </w:r>
            <m:oMath>
              <m:r>
                <m:rPr>
                  <m:sty m:val="p"/>
                </m:rPr>
                <w:rPr>
                  <w:rFonts w:ascii="Cambria Math" w:hAnsi="Cambria Math"/>
                </w:rPr>
                <m:t>±</m:t>
              </m:r>
            </m:oMath>
            <w:r w:rsidRPr="005F2829">
              <w:t xml:space="preserve"> 4.36</w:t>
            </w:r>
          </w:p>
        </w:tc>
      </w:tr>
      <w:tr w:rsidR="005F2829" w:rsidRPr="005F2829" w14:paraId="1E48B498" w14:textId="77777777">
        <w:tc>
          <w:tcPr>
            <w:tcW w:w="0" w:type="auto"/>
          </w:tcPr>
          <w:p w14:paraId="25AE6062" w14:textId="77777777" w:rsidR="0055206D" w:rsidRPr="005F2829" w:rsidRDefault="00000000">
            <w:pPr>
              <w:pStyle w:val="Compact"/>
            </w:pPr>
            <w:r w:rsidRPr="005F2829">
              <w:t>Outcome (Malignant)</w:t>
            </w:r>
          </w:p>
        </w:tc>
        <w:tc>
          <w:tcPr>
            <w:tcW w:w="0" w:type="auto"/>
          </w:tcPr>
          <w:p w14:paraId="2DB443C1" w14:textId="77777777" w:rsidR="0055206D" w:rsidRPr="005F2829" w:rsidRDefault="0055206D">
            <w:pPr>
              <w:pStyle w:val="Compact"/>
            </w:pPr>
          </w:p>
        </w:tc>
        <w:tc>
          <w:tcPr>
            <w:tcW w:w="0" w:type="auto"/>
          </w:tcPr>
          <w:p w14:paraId="779806C5" w14:textId="77777777" w:rsidR="0055206D" w:rsidRPr="005F2829" w:rsidRDefault="0055206D">
            <w:pPr>
              <w:pStyle w:val="Compact"/>
            </w:pPr>
          </w:p>
        </w:tc>
      </w:tr>
      <w:tr w:rsidR="005F2829" w:rsidRPr="005F2829" w14:paraId="360C96AA" w14:textId="77777777">
        <w:tc>
          <w:tcPr>
            <w:tcW w:w="0" w:type="auto"/>
          </w:tcPr>
          <w:p w14:paraId="6644FCD0" w14:textId="77777777" w:rsidR="0055206D" w:rsidRPr="005F2829" w:rsidRDefault="00000000">
            <w:pPr>
              <w:pStyle w:val="Compact"/>
            </w:pPr>
            <w:r w:rsidRPr="005F2829">
              <w:t>Yes/Positive</w:t>
            </w:r>
          </w:p>
        </w:tc>
        <w:tc>
          <w:tcPr>
            <w:tcW w:w="0" w:type="auto"/>
          </w:tcPr>
          <w:p w14:paraId="7FA3B058" w14:textId="77777777" w:rsidR="0055206D" w:rsidRPr="005F2829" w:rsidRDefault="00000000">
            <w:pPr>
              <w:pStyle w:val="Compact"/>
              <w:jc w:val="center"/>
            </w:pPr>
            <w:r w:rsidRPr="005F2829">
              <w:t>189 (64.1%)</w:t>
            </w:r>
          </w:p>
        </w:tc>
        <w:tc>
          <w:tcPr>
            <w:tcW w:w="0" w:type="auto"/>
          </w:tcPr>
          <w:p w14:paraId="45B118AE" w14:textId="77777777" w:rsidR="0055206D" w:rsidRPr="005F2829" w:rsidRDefault="00000000">
            <w:pPr>
              <w:pStyle w:val="Compact"/>
              <w:jc w:val="center"/>
            </w:pPr>
            <w:r w:rsidRPr="005F2829">
              <w:t>125 (65.8%)</w:t>
            </w:r>
          </w:p>
        </w:tc>
      </w:tr>
      <w:tr w:rsidR="005F2829" w:rsidRPr="005F2829" w14:paraId="3E8DC277" w14:textId="77777777">
        <w:tc>
          <w:tcPr>
            <w:tcW w:w="0" w:type="auto"/>
          </w:tcPr>
          <w:p w14:paraId="1BFCCE3A" w14:textId="77777777" w:rsidR="0055206D" w:rsidRPr="005F2829" w:rsidRDefault="00000000">
            <w:pPr>
              <w:pStyle w:val="Compact"/>
            </w:pPr>
            <w:r w:rsidRPr="005F2829">
              <w:t>No/Negative</w:t>
            </w:r>
          </w:p>
        </w:tc>
        <w:tc>
          <w:tcPr>
            <w:tcW w:w="0" w:type="auto"/>
          </w:tcPr>
          <w:p w14:paraId="4C805213" w14:textId="77777777" w:rsidR="0055206D" w:rsidRPr="005F2829" w:rsidRDefault="00000000">
            <w:pPr>
              <w:pStyle w:val="Compact"/>
              <w:jc w:val="center"/>
            </w:pPr>
            <w:r w:rsidRPr="005F2829">
              <w:t>106 (35.9%)</w:t>
            </w:r>
          </w:p>
        </w:tc>
        <w:tc>
          <w:tcPr>
            <w:tcW w:w="0" w:type="auto"/>
          </w:tcPr>
          <w:p w14:paraId="71D975EC" w14:textId="77777777" w:rsidR="0055206D" w:rsidRPr="005F2829" w:rsidRDefault="00000000">
            <w:pPr>
              <w:pStyle w:val="Compact"/>
              <w:jc w:val="center"/>
            </w:pPr>
            <w:r w:rsidRPr="005F2829">
              <w:t>65 (34.2%)</w:t>
            </w:r>
          </w:p>
        </w:tc>
      </w:tr>
    </w:tbl>
    <w:bookmarkEnd w:id="79"/>
    <w:p w14:paraId="5F6A2014" w14:textId="77777777" w:rsidR="0055206D" w:rsidRPr="005F2829" w:rsidRDefault="00000000">
      <w:pPr>
        <w:pStyle w:val="a0"/>
      </w:pPr>
      <w:r w:rsidRPr="005F2829">
        <w:t>Model performance was evaluated under two settings: (1) 10-fold cross-validation on Cohort A for within-domain assessment, and (2) external validation on Cohort B for cross-institutional generalization. All performance indicators were averaged over multiple runs to ensure robustness.</w:t>
      </w:r>
    </w:p>
    <w:p w14:paraId="055D78BC" w14:textId="77777777" w:rsidR="0055206D" w:rsidRPr="005F2829" w:rsidRDefault="00000000">
      <w:pPr>
        <w:pStyle w:val="2"/>
        <w:rPr>
          <w:rFonts w:ascii="Times New Roman" w:hAnsi="Times New Roman" w:cs="Times New Roman"/>
          <w:color w:val="000000" w:themeColor="text1"/>
        </w:rPr>
      </w:pPr>
      <w:bookmarkStart w:id="80" w:name="quantitative-performance-analysis"/>
      <w:bookmarkEnd w:id="78"/>
      <w:r w:rsidRPr="005F2829">
        <w:rPr>
          <w:rFonts w:ascii="Times New Roman" w:hAnsi="Times New Roman" w:cs="Times New Roman"/>
          <w:color w:val="000000" w:themeColor="text1"/>
        </w:rPr>
        <w:t>Quantitative Performance Analysis</w:t>
      </w:r>
    </w:p>
    <w:p w14:paraId="6DED7320" w14:textId="77777777" w:rsidR="0055206D" w:rsidRPr="005F2829" w:rsidRDefault="00000000">
      <w:pPr>
        <w:pStyle w:val="3"/>
        <w:rPr>
          <w:rFonts w:cs="Times New Roman"/>
          <w:color w:val="000000" w:themeColor="text1"/>
        </w:rPr>
      </w:pPr>
      <w:bookmarkStart w:id="81" w:name="internal-validation-performance"/>
      <w:r w:rsidRPr="005F2829">
        <w:rPr>
          <w:rFonts w:cs="Times New Roman"/>
          <w:color w:val="000000" w:themeColor="text1"/>
        </w:rPr>
        <w:t>Internal Validation Performance</w:t>
      </w:r>
    </w:p>
    <w:p w14:paraId="4966809F" w14:textId="77777777" w:rsidR="0055206D" w:rsidRPr="005F2829" w:rsidRDefault="00000000">
      <w:pPr>
        <w:pStyle w:val="FirstParagraph"/>
      </w:pPr>
      <w:r w:rsidRPr="005F2829">
        <w:t>In source-domain evaluation (10-fold cross-validation on Cohort A), the PANDA framework achieved superior performance across all metrics: AUC of 0.829, accuracy of 0.746, F1-score of 0.810, precision of 0.786, and recall of 0.846. These results demonstrate strong classification capability with high sensitivity for identifying positive cases, which is critical for clinical screening applications.</w:t>
      </w:r>
    </w:p>
    <w:p w14:paraId="7C61201C" w14:textId="77777777" w:rsidR="0055206D" w:rsidRPr="005F2829" w:rsidRDefault="00000000">
      <w:pPr>
        <w:pStyle w:val="a0"/>
      </w:pPr>
      <w:r w:rsidRPr="005F2829">
        <w:t>Classical machine learning methods showed moderate performance: Random Forest achieved AUC of 0.752, while XGBoost reached 0.742. Clinical scoring systems performed substantially worse, with the Mayo model failing entirely by predicting all samples as benign, resulting in zero precision and recall for malignancy detection.</w:t>
      </w:r>
    </w:p>
    <w:p w14:paraId="3519D5E6" w14:textId="77777777" w:rsidR="0055206D" w:rsidRPr="005F2829" w:rsidRDefault="00000000">
      <w:pPr>
        <w:pStyle w:val="3"/>
        <w:rPr>
          <w:rFonts w:cs="Times New Roman"/>
          <w:color w:val="000000" w:themeColor="text1"/>
        </w:rPr>
      </w:pPr>
      <w:bookmarkStart w:id="82" w:name="cross-institutional-generalization"/>
      <w:bookmarkEnd w:id="81"/>
      <w:r w:rsidRPr="005F2829">
        <w:rPr>
          <w:rFonts w:cs="Times New Roman"/>
          <w:color w:val="000000" w:themeColor="text1"/>
        </w:rPr>
        <w:t>Cross-Institutional Generalization</w:t>
      </w:r>
    </w:p>
    <w:p w14:paraId="3B2F9878" w14:textId="77777777" w:rsidR="0055206D" w:rsidRPr="005F2829" w:rsidRDefault="00000000">
      <w:pPr>
        <w:pStyle w:val="FirstParagraph"/>
      </w:pPr>
      <w:r w:rsidRPr="005F2829">
        <w:t xml:space="preserve">In the more challenging external validation setting (training on Cohort A, testing on Cohort B), the TCA-enhanced PANDA model achieved the best performance: AUC of </w:t>
      </w:r>
      <w:r w:rsidRPr="005F2829">
        <w:lastRenderedPageBreak/>
        <w:t>0.705, F1-score of 0.808, and remarkably high recall of 0.944. This significantly outperformed the non-adaptive version (AUC = 0.698), underscoring the critical role of TCA in mitigating domain shift.</w:t>
      </w:r>
    </w:p>
    <w:p w14:paraId="2BF90B1D" w14:textId="77777777" w:rsidR="0055206D" w:rsidRPr="005F2829" w:rsidRDefault="00000000">
      <w:pPr>
        <w:pStyle w:val="a0"/>
      </w:pPr>
      <w:r w:rsidRPr="005F2829">
        <w:t>Among baseline methods, traditional models showed substantial performance degradation: LASSO LR achieved AUC of 0.668 with remarkably high recall of 0.943, while Random Forest reached 0.632. Classical ML models such as SVM, GBDT, and XGBoost performed poorly with AUCs below 0.59, indicating sensitivity to distribution shifts.</w:t>
      </w:r>
    </w:p>
    <w:p w14:paraId="0C2C1102" w14:textId="77777777" w:rsidR="0055206D" w:rsidRPr="005F2829" w:rsidRDefault="00000000">
      <w:pPr>
        <w:pStyle w:val="CaptionedFigure"/>
      </w:pPr>
      <w:bookmarkStart w:id="83" w:name="fig:performance-heatmaps"/>
      <w:r w:rsidRPr="005F2829">
        <w:rPr>
          <w:noProof/>
        </w:rPr>
        <w:lastRenderedPageBreak/>
        <w:drawing>
          <wp:inline distT="0" distB="0" distL="0" distR="0" wp14:anchorId="21C12F0E" wp14:editId="0B36F3DF">
            <wp:extent cx="5486400" cy="7190814"/>
            <wp:effectExtent l="0" t="0" r="0" b="0"/>
            <wp:docPr id="93" name="Picture" descr="Figure 2: Performance comparison across source and target domains. a Source domain 10-fold cross-validation performance heatmap across five classification metrics. The PANDA framework achieves the best overall performance across all metrics. b Cross-domain performance heatmap on the external validation set. The TCA-enhanced PANDA model shows the highest AUC and recall, indicating improved generalization under domain shift."/>
            <wp:cNvGraphicFramePr/>
            <a:graphic xmlns:a="http://schemas.openxmlformats.org/drawingml/2006/main">
              <a:graphicData uri="http://schemas.openxmlformats.org/drawingml/2006/picture">
                <pic:pic xmlns:pic="http://schemas.openxmlformats.org/drawingml/2006/picture">
                  <pic:nvPicPr>
                    <pic:cNvPr id="94" name="Picture" descr="combined_heatmaps_nature.pdf"/>
                    <pic:cNvPicPr>
                      <a:picLocks noChangeAspect="1" noChangeArrowheads="1"/>
                    </pic:cNvPicPr>
                  </pic:nvPicPr>
                  <pic:blipFill>
                    <a:blip r:embed="rId6"/>
                    <a:stretch>
                      <a:fillRect/>
                    </a:stretch>
                  </pic:blipFill>
                  <pic:spPr bwMode="auto">
                    <a:xfrm>
                      <a:off x="0" y="0"/>
                      <a:ext cx="5486400" cy="7190814"/>
                    </a:xfrm>
                    <a:prstGeom prst="rect">
                      <a:avLst/>
                    </a:prstGeom>
                    <a:noFill/>
                    <a:ln w="9525">
                      <a:noFill/>
                      <a:headEnd/>
                      <a:tailEnd/>
                    </a:ln>
                  </pic:spPr>
                </pic:pic>
              </a:graphicData>
            </a:graphic>
          </wp:inline>
        </w:drawing>
      </w:r>
    </w:p>
    <w:p w14:paraId="1195396B" w14:textId="77777777" w:rsidR="0055206D" w:rsidRPr="005F2829" w:rsidRDefault="00000000">
      <w:pPr>
        <w:pStyle w:val="ImageCaption"/>
      </w:pPr>
      <w:r w:rsidRPr="005F2829">
        <w:t xml:space="preserve">Figure 2: </w:t>
      </w:r>
      <w:r w:rsidRPr="005F2829">
        <w:rPr>
          <w:b/>
          <w:bCs/>
        </w:rPr>
        <w:t>Performance comparison across source and target domains.</w:t>
      </w:r>
      <w:r w:rsidRPr="005F2829">
        <w:t xml:space="preserve"> </w:t>
      </w:r>
      <w:r w:rsidRPr="005F2829">
        <w:rPr>
          <w:b/>
          <w:bCs/>
        </w:rPr>
        <w:t>a</w:t>
      </w:r>
      <w:r w:rsidRPr="005F2829">
        <w:t xml:space="preserve"> Source domain 10-fold cross-validation performance heatmap across five classification metrics. The PANDA framework achieves the best overall performance across all metrics. </w:t>
      </w:r>
      <w:r w:rsidRPr="005F2829">
        <w:rPr>
          <w:b/>
          <w:bCs/>
        </w:rPr>
        <w:t>b</w:t>
      </w:r>
      <w:r w:rsidRPr="005F2829">
        <w:t xml:space="preserve"> Cross-domain performance heatmap on the external validation set. The TCA-enhanced PANDA </w:t>
      </w:r>
      <w:r w:rsidRPr="005F2829">
        <w:lastRenderedPageBreak/>
        <w:t>model shows the highest AUC and recall, indicating improved generalization under domain shift.</w:t>
      </w:r>
    </w:p>
    <w:p w14:paraId="24C8807C" w14:textId="77777777" w:rsidR="0055206D" w:rsidRPr="005F2829" w:rsidRDefault="00000000">
      <w:pPr>
        <w:pStyle w:val="2"/>
        <w:rPr>
          <w:rFonts w:ascii="Times New Roman" w:hAnsi="Times New Roman" w:cs="Times New Roman"/>
          <w:color w:val="000000" w:themeColor="text1"/>
        </w:rPr>
      </w:pPr>
      <w:bookmarkStart w:id="84" w:name="domain-adaptation-effectiveness"/>
      <w:bookmarkEnd w:id="80"/>
      <w:bookmarkEnd w:id="82"/>
      <w:bookmarkEnd w:id="83"/>
      <w:r w:rsidRPr="005F2829">
        <w:rPr>
          <w:rFonts w:ascii="Times New Roman" w:hAnsi="Times New Roman" w:cs="Times New Roman"/>
          <w:color w:val="000000" w:themeColor="text1"/>
        </w:rPr>
        <w:t>Domain Adaptation Effectiveness</w:t>
      </w:r>
    </w:p>
    <w:p w14:paraId="3AF5DAE1" w14:textId="77777777" w:rsidR="0055206D" w:rsidRPr="005F2829" w:rsidRDefault="00000000">
      <w:pPr>
        <w:pStyle w:val="3"/>
        <w:rPr>
          <w:rFonts w:cs="Times New Roman"/>
          <w:color w:val="000000" w:themeColor="text1"/>
        </w:rPr>
      </w:pPr>
      <w:bookmarkStart w:id="85" w:name="feature-space-visualization"/>
      <w:r w:rsidRPr="005F2829">
        <w:rPr>
          <w:rFonts w:cs="Times New Roman"/>
          <w:color w:val="000000" w:themeColor="text1"/>
        </w:rPr>
        <w:t>Feature Space Visualization</w:t>
      </w:r>
    </w:p>
    <w:p w14:paraId="04DACEAC" w14:textId="77777777" w:rsidR="0055206D" w:rsidRPr="005F2829" w:rsidRDefault="00000000">
      <w:pPr>
        <w:pStyle w:val="FirstParagraph"/>
      </w:pPr>
      <w:r w:rsidRPr="005F2829">
        <w:t>TCA’s effectiveness was evaluated through comprehensive visualization and quantitative analysis. PCA and t-SNE projections before TCA transformation showed partial overlap between source and target domains but with noticeable differences in central tendencies and density structures. After applying TCA, target domain samples aligned more closely with source samples, demonstrating improved distribution matching.</w:t>
      </w:r>
    </w:p>
    <w:p w14:paraId="5937434C" w14:textId="77777777" w:rsidR="0055206D" w:rsidRPr="005F2829" w:rsidRDefault="00000000">
      <w:pPr>
        <w:pStyle w:val="3"/>
        <w:rPr>
          <w:rFonts w:cs="Times New Roman"/>
          <w:color w:val="000000" w:themeColor="text1"/>
        </w:rPr>
      </w:pPr>
      <w:bookmarkStart w:id="86" w:name="domain-distance-quantification"/>
      <w:bookmarkEnd w:id="85"/>
      <w:r w:rsidRPr="005F2829">
        <w:rPr>
          <w:rFonts w:cs="Times New Roman"/>
          <w:color w:val="000000" w:themeColor="text1"/>
        </w:rPr>
        <w:t>Domain Distance Quantification</w:t>
      </w:r>
    </w:p>
    <w:p w14:paraId="381D97E5" w14:textId="77777777" w:rsidR="0055206D" w:rsidRPr="005F2829" w:rsidRDefault="00000000">
      <w:pPr>
        <w:pStyle w:val="FirstParagraph"/>
      </w:pPr>
      <w:r w:rsidRPr="005F2829">
        <w:t>We computed four standard distributional discrepancy metrics to quantify domain shift reduction:</w:t>
      </w:r>
    </w:p>
    <w:p w14:paraId="62590B80" w14:textId="77777777" w:rsidR="0055206D" w:rsidRPr="005F2829" w:rsidRDefault="00000000">
      <w:pPr>
        <w:numPr>
          <w:ilvl w:val="0"/>
          <w:numId w:val="14"/>
        </w:numPr>
      </w:pPr>
      <w:r w:rsidRPr="005F2829">
        <w:t>Normalized linear discrepancy decreased by 0.070</w:t>
      </w:r>
    </w:p>
    <w:p w14:paraId="0D1B0924" w14:textId="77777777" w:rsidR="0055206D" w:rsidRPr="005F2829" w:rsidRDefault="00000000">
      <w:pPr>
        <w:numPr>
          <w:ilvl w:val="0"/>
          <w:numId w:val="14"/>
        </w:numPr>
      </w:pPr>
      <w:r w:rsidRPr="005F2829">
        <w:t>Normalized Fréchet distance reduced by 0.018</w:t>
      </w:r>
    </w:p>
    <w:p w14:paraId="613A632C" w14:textId="77777777" w:rsidR="0055206D" w:rsidRPr="005F2829" w:rsidRDefault="00000000">
      <w:pPr>
        <w:numPr>
          <w:ilvl w:val="0"/>
          <w:numId w:val="14"/>
        </w:numPr>
      </w:pPr>
      <w:r w:rsidRPr="005F2829">
        <w:t>Wasserstein distance decreased by 0.006</w:t>
      </w:r>
    </w:p>
    <w:p w14:paraId="17FB7890" w14:textId="77777777" w:rsidR="0055206D" w:rsidRPr="005F2829" w:rsidRDefault="00000000">
      <w:pPr>
        <w:numPr>
          <w:ilvl w:val="0"/>
          <w:numId w:val="14"/>
        </w:numPr>
      </w:pPr>
      <w:r w:rsidRPr="005F2829">
        <w:t>Symmetric KL divergence reduced by 0.022</w:t>
      </w:r>
    </w:p>
    <w:p w14:paraId="254CDD2B" w14:textId="77777777" w:rsidR="0055206D" w:rsidRPr="005F2829" w:rsidRDefault="00000000">
      <w:pPr>
        <w:pStyle w:val="FirstParagraph"/>
      </w:pPr>
      <w:r w:rsidRPr="005F2829">
        <w:t>These consistent reductions across multiple mathematical perspectives confirm that TCA effectively mitigates inter-domain statistical divergence.</w:t>
      </w:r>
    </w:p>
    <w:p w14:paraId="10CD7E96" w14:textId="77777777" w:rsidR="0055206D" w:rsidRPr="005F2829" w:rsidRDefault="00000000">
      <w:pPr>
        <w:pStyle w:val="3"/>
        <w:rPr>
          <w:rFonts w:cs="Times New Roman"/>
          <w:color w:val="000000" w:themeColor="text1"/>
        </w:rPr>
      </w:pPr>
      <w:bookmarkStart w:id="87" w:name="classification-performance-improvement"/>
      <w:bookmarkEnd w:id="86"/>
      <w:r w:rsidRPr="005F2829">
        <w:rPr>
          <w:rFonts w:cs="Times New Roman"/>
          <w:color w:val="000000" w:themeColor="text1"/>
        </w:rPr>
        <w:t>Classification Performance Improvement</w:t>
      </w:r>
    </w:p>
    <w:p w14:paraId="367DEA4E" w14:textId="77777777" w:rsidR="0055206D" w:rsidRPr="005F2829" w:rsidRDefault="00000000">
      <w:pPr>
        <w:pStyle w:val="FirstParagraph"/>
      </w:pPr>
      <w:r w:rsidRPr="005F2829">
        <w:t>Compared to the non-adaptive baseline, the TCA-enhanced model showed consistent improvements:</w:t>
      </w:r>
    </w:p>
    <w:p w14:paraId="17927374" w14:textId="77777777" w:rsidR="0055206D" w:rsidRPr="005F2829" w:rsidRDefault="00000000">
      <w:pPr>
        <w:numPr>
          <w:ilvl w:val="0"/>
          <w:numId w:val="15"/>
        </w:numPr>
      </w:pPr>
      <w:r w:rsidRPr="005F2829">
        <w:t>Accuracy: 0.663 → 0.705 (+4.2 percentage points)</w:t>
      </w:r>
    </w:p>
    <w:p w14:paraId="6863D6B2" w14:textId="77777777" w:rsidR="0055206D" w:rsidRPr="005F2829" w:rsidRDefault="00000000">
      <w:pPr>
        <w:numPr>
          <w:ilvl w:val="0"/>
          <w:numId w:val="15"/>
        </w:numPr>
      </w:pPr>
      <w:r w:rsidRPr="005F2829">
        <w:t>F1-score: 0.776 → 0.808 (+3.2 percentage points)</w:t>
      </w:r>
    </w:p>
    <w:p w14:paraId="59305549" w14:textId="77777777" w:rsidR="0055206D" w:rsidRPr="005F2829" w:rsidRDefault="00000000">
      <w:pPr>
        <w:numPr>
          <w:ilvl w:val="0"/>
          <w:numId w:val="15"/>
        </w:numPr>
      </w:pPr>
      <w:r w:rsidRPr="005F2829">
        <w:t>Precision: 0.689 → 0.707 (+1.7 percentage points)</w:t>
      </w:r>
    </w:p>
    <w:p w14:paraId="2E44BD91" w14:textId="77777777" w:rsidR="0055206D" w:rsidRPr="005F2829" w:rsidRDefault="00000000">
      <w:pPr>
        <w:numPr>
          <w:ilvl w:val="0"/>
          <w:numId w:val="15"/>
        </w:numPr>
      </w:pPr>
      <w:r w:rsidRPr="005F2829">
        <w:t>Recall: 0.888 → 0.944 (+5.6 percentage points)</w:t>
      </w:r>
    </w:p>
    <w:p w14:paraId="1E293AAB" w14:textId="77777777" w:rsidR="0055206D" w:rsidRPr="005F2829" w:rsidRDefault="00000000">
      <w:pPr>
        <w:numPr>
          <w:ilvl w:val="0"/>
          <w:numId w:val="15"/>
        </w:numPr>
      </w:pPr>
      <w:r w:rsidRPr="005F2829">
        <w:t>AUC: 0.698 → 0.705 (+0.7 percentage points)</w:t>
      </w:r>
    </w:p>
    <w:p w14:paraId="2EBC878A" w14:textId="77777777" w:rsidR="0055206D" w:rsidRPr="005F2829" w:rsidRDefault="00000000">
      <w:pPr>
        <w:pStyle w:val="FirstParagraph"/>
      </w:pPr>
      <w:r w:rsidRPr="005F2829">
        <w:t>The substantial improvement in recall (+5.6 percentage points) is particularly valuable for medical screening applications where missing positive cases carries severe clinical consequences.</w:t>
      </w:r>
    </w:p>
    <w:p w14:paraId="11A895AC" w14:textId="77777777" w:rsidR="0055206D" w:rsidRPr="005F2829" w:rsidRDefault="00000000">
      <w:pPr>
        <w:pStyle w:val="CaptionedFigure"/>
      </w:pPr>
      <w:bookmarkStart w:id="88" w:name="fig:tca-visualization"/>
      <w:r w:rsidRPr="005F2829">
        <w:rPr>
          <w:noProof/>
        </w:rPr>
        <w:lastRenderedPageBreak/>
        <w:drawing>
          <wp:inline distT="0" distB="0" distL="0" distR="0" wp14:anchorId="563665F0" wp14:editId="7FF17D4D">
            <wp:extent cx="5486400" cy="4108778"/>
            <wp:effectExtent l="0" t="0" r="0" b="0"/>
            <wp:docPr id="101" name="Picture" descr="Figure 3: TCA-based domain adaptation visualization. a,b PCA visualization before and after TCA transformation, showing improved alignment of target samples with source samples. c,d t-SNE visualization before and after TCA transformation, demonstrating enhanced cluster center alignment and distribution consistency."/>
            <wp:cNvGraphicFramePr/>
            <a:graphic xmlns:a="http://schemas.openxmlformats.org/drawingml/2006/main">
              <a:graphicData uri="http://schemas.openxmlformats.org/drawingml/2006/picture">
                <pic:pic xmlns:pic="http://schemas.openxmlformats.org/drawingml/2006/picture">
                  <pic:nvPicPr>
                    <pic:cNvPr id="102" name="Picture" descr="TCA_dimensionality_reduction.pdf"/>
                    <pic:cNvPicPr>
                      <a:picLocks noChangeAspect="1" noChangeArrowheads="1"/>
                    </pic:cNvPicPr>
                  </pic:nvPicPr>
                  <pic:blipFill>
                    <a:blip r:embed="rId7"/>
                    <a:stretch>
                      <a:fillRect/>
                    </a:stretch>
                  </pic:blipFill>
                  <pic:spPr bwMode="auto">
                    <a:xfrm>
                      <a:off x="0" y="0"/>
                      <a:ext cx="5486400" cy="4108778"/>
                    </a:xfrm>
                    <a:prstGeom prst="rect">
                      <a:avLst/>
                    </a:prstGeom>
                    <a:noFill/>
                    <a:ln w="9525">
                      <a:noFill/>
                      <a:headEnd/>
                      <a:tailEnd/>
                    </a:ln>
                  </pic:spPr>
                </pic:pic>
              </a:graphicData>
            </a:graphic>
          </wp:inline>
        </w:drawing>
      </w:r>
    </w:p>
    <w:p w14:paraId="0B82A77A" w14:textId="77777777" w:rsidR="0055206D" w:rsidRPr="005F2829" w:rsidRDefault="00000000">
      <w:pPr>
        <w:pStyle w:val="ImageCaption"/>
      </w:pPr>
      <w:r w:rsidRPr="005F2829">
        <w:t xml:space="preserve">Figure 3: TCA-based domain adaptation visualization. </w:t>
      </w:r>
      <w:r w:rsidRPr="005F2829">
        <w:rPr>
          <w:b/>
          <w:bCs/>
        </w:rPr>
        <w:t>a,b</w:t>
      </w:r>
      <w:r w:rsidRPr="005F2829">
        <w:t xml:space="preserve"> PCA visualization before and after TCA transformation, showing improved alignment of target samples with source samples. </w:t>
      </w:r>
      <w:r w:rsidRPr="005F2829">
        <w:rPr>
          <w:b/>
          <w:bCs/>
        </w:rPr>
        <w:t>c,d</w:t>
      </w:r>
      <w:r w:rsidRPr="005F2829">
        <w:t xml:space="preserve"> t-SNE visualization before and after TCA transformation, demonstrating enhanced cluster center alignment and distribution consistency.</w:t>
      </w:r>
    </w:p>
    <w:p w14:paraId="2E5FAB71" w14:textId="77777777" w:rsidR="0055206D" w:rsidRPr="005F2829" w:rsidRDefault="00000000">
      <w:pPr>
        <w:pStyle w:val="2"/>
        <w:rPr>
          <w:rFonts w:ascii="Times New Roman" w:hAnsi="Times New Roman" w:cs="Times New Roman"/>
          <w:color w:val="000000" w:themeColor="text1"/>
        </w:rPr>
      </w:pPr>
      <w:bookmarkStart w:id="89" w:name="X2d397074f8c50974ac3ef86d9630a8cadc8478d"/>
      <w:bookmarkEnd w:id="84"/>
      <w:bookmarkEnd w:id="87"/>
      <w:bookmarkEnd w:id="88"/>
      <w:r w:rsidRPr="005F2829">
        <w:rPr>
          <w:rFonts w:ascii="Times New Roman" w:hAnsi="Times New Roman" w:cs="Times New Roman"/>
          <w:color w:val="000000" w:themeColor="text1"/>
        </w:rPr>
        <w:t>Model Explainability and Feature Selection</w:t>
      </w:r>
    </w:p>
    <w:p w14:paraId="2740E9C4" w14:textId="77777777" w:rsidR="0055206D" w:rsidRPr="005F2829" w:rsidRDefault="00000000">
      <w:pPr>
        <w:pStyle w:val="3"/>
        <w:rPr>
          <w:rFonts w:cs="Times New Roman"/>
          <w:color w:val="000000" w:themeColor="text1"/>
        </w:rPr>
      </w:pPr>
      <w:bookmarkStart w:id="90" w:name="recursive-feature-elimination-analysis"/>
      <w:r w:rsidRPr="005F2829">
        <w:rPr>
          <w:rFonts w:cs="Times New Roman"/>
          <w:color w:val="000000" w:themeColor="text1"/>
        </w:rPr>
        <w:t>Recursive Feature Elimination Analysis</w:t>
      </w:r>
    </w:p>
    <w:p w14:paraId="0054C445" w14:textId="77777777" w:rsidR="0055206D" w:rsidRPr="005F2829" w:rsidRDefault="00000000">
      <w:pPr>
        <w:pStyle w:val="FirstParagraph"/>
      </w:pPr>
      <w:r w:rsidRPr="005F2829">
        <w:t>To enhance interpretability and reduce complexity, we performed RFE using the pre-trained foundation model. Performance analysis across different feature subset sizes revealed an optimal plateau in the range of 9-13 features, consistent with Occam’s Razor principle.</w:t>
      </w:r>
    </w:p>
    <w:p w14:paraId="4EFA4A28" w14:textId="77777777" w:rsidR="0055206D" w:rsidRPr="005F2829" w:rsidRDefault="00000000">
      <w:pPr>
        <w:pStyle w:val="a0"/>
      </w:pPr>
      <w:r w:rsidRPr="005F2829">
        <w:t>Based on cross-domain availability requirements, we selected the top 8 features that were consistently available across both institutions. This feature selection strategy maintained predictive accuracy while enhancing domain robustness and reducing overfitting risk.</w:t>
      </w:r>
    </w:p>
    <w:p w14:paraId="72FBB81F" w14:textId="77777777" w:rsidR="0055206D" w:rsidRPr="005F2829" w:rsidRDefault="00000000">
      <w:pPr>
        <w:pStyle w:val="a0"/>
      </w:pPr>
      <w:r w:rsidRPr="005F2829">
        <w:t>The 8-feature configuration achieved strong performance in both internal (AUC = 0.829) and external (AUC = 0.705) validation, demonstrating that a compact and interpretable feature set is sufficient for effective pulmonary nodule malignancy prediction.</w:t>
      </w:r>
    </w:p>
    <w:p w14:paraId="3DD37273" w14:textId="77777777" w:rsidR="0055206D" w:rsidRPr="005F2829" w:rsidRDefault="00000000">
      <w:pPr>
        <w:pStyle w:val="CaptionedFigure"/>
      </w:pPr>
      <w:bookmarkStart w:id="91" w:name="fig:rfe-performance"/>
      <w:r w:rsidRPr="005F2829">
        <w:rPr>
          <w:noProof/>
        </w:rPr>
        <w:lastRenderedPageBreak/>
        <w:drawing>
          <wp:inline distT="0" distB="0" distL="0" distR="0" wp14:anchorId="6E61005C" wp14:editId="1A57C056">
            <wp:extent cx="5486400" cy="5769847"/>
            <wp:effectExtent l="0" t="0" r="0" b="0"/>
            <wp:docPr id="107" name="Picture" descr="Figure 4: Comprehensive feature selection and performance analysis using recursive feature elimination (RFE). a Model performance curves showing AUC, accuracy, and F1-score as functions of the number of selected features. Performance reaches an optimal plateau at 9-13 features, consistent with Occam’s Razor principle favoring parsimonious models. Shaded areas represent cross-validation variance across 10 folds. b Class-specific accuracy analysis demonstrating model performance for both malignant and benign cases across different feature subset sizes, ensuring balanced predictive capability. c Training time complexity evaluation showing computational efficiency as a function of feature dimensionality, with training time measured in seconds per cross-validation fold. d Performance stability assessment using coefficient of variation across 10-fold cross-validation, indicating the robustness and reliability of feature selection at different subset sizes. Lower values indicate more stable performance. e Cost-effectiveness index combining multiple criteria: Performance×0.45 + Simplicity×0.25 + Efficiency×0.15 + Stability×0.15, providing a comprehensive metric for optimal feature subset selection that balances predictive accuracy with practical deployment considerations."/>
            <wp:cNvGraphicFramePr/>
            <a:graphic xmlns:a="http://schemas.openxmlformats.org/drawingml/2006/main">
              <a:graphicData uri="http://schemas.openxmlformats.org/drawingml/2006/picture">
                <pic:pic xmlns:pic="http://schemas.openxmlformats.org/drawingml/2006/picture">
                  <pic:nvPicPr>
                    <pic:cNvPr id="108" name="Picture" descr="feature_performance_comparison_comprehensive.pdf"/>
                    <pic:cNvPicPr>
                      <a:picLocks noChangeAspect="1" noChangeArrowheads="1"/>
                    </pic:cNvPicPr>
                  </pic:nvPicPr>
                  <pic:blipFill>
                    <a:blip r:embed="rId8"/>
                    <a:stretch>
                      <a:fillRect/>
                    </a:stretch>
                  </pic:blipFill>
                  <pic:spPr bwMode="auto">
                    <a:xfrm>
                      <a:off x="0" y="0"/>
                      <a:ext cx="5486400" cy="5769847"/>
                    </a:xfrm>
                    <a:prstGeom prst="rect">
                      <a:avLst/>
                    </a:prstGeom>
                    <a:noFill/>
                    <a:ln w="9525">
                      <a:noFill/>
                      <a:headEnd/>
                      <a:tailEnd/>
                    </a:ln>
                  </pic:spPr>
                </pic:pic>
              </a:graphicData>
            </a:graphic>
          </wp:inline>
        </w:drawing>
      </w:r>
    </w:p>
    <w:p w14:paraId="73DA82E9" w14:textId="77777777" w:rsidR="0055206D" w:rsidRPr="005F2829" w:rsidRDefault="00000000">
      <w:pPr>
        <w:pStyle w:val="ImageCaption"/>
      </w:pPr>
      <w:r w:rsidRPr="005F2829">
        <w:t xml:space="preserve">Figure 4: Comprehensive feature selection and performance analysis using recursive feature elimination (RFE). </w:t>
      </w:r>
      <w:r w:rsidRPr="005F2829">
        <w:rPr>
          <w:b/>
          <w:bCs/>
        </w:rPr>
        <w:t>a</w:t>
      </w:r>
      <w:r w:rsidRPr="005F2829">
        <w:t xml:space="preserve"> Model performance curves showing AUC, accuracy, and F1-score as functions of the number of selected features. Performance reaches an optimal plateau at 9-13 features, consistent with Occam’s Razor principle favoring parsimonious models. Shaded areas represent cross-validation variance across 10 folds. </w:t>
      </w:r>
      <w:r w:rsidRPr="005F2829">
        <w:rPr>
          <w:b/>
          <w:bCs/>
        </w:rPr>
        <w:t>b</w:t>
      </w:r>
      <w:r w:rsidRPr="005F2829">
        <w:t xml:space="preserve"> Class-specific accuracy analysis demonstrating model performance for both malignant and benign cases across different feature subset sizes, ensuring balanced predictive capability. </w:t>
      </w:r>
      <w:r w:rsidRPr="005F2829">
        <w:rPr>
          <w:b/>
          <w:bCs/>
        </w:rPr>
        <w:t>c</w:t>
      </w:r>
      <w:r w:rsidRPr="005F2829">
        <w:t xml:space="preserve"> Training time complexity evaluation showing computational efficiency as a function of feature dimensionality, with training time measured in seconds per cross-validation fold. </w:t>
      </w:r>
      <w:r w:rsidRPr="005F2829">
        <w:rPr>
          <w:b/>
          <w:bCs/>
        </w:rPr>
        <w:t>d</w:t>
      </w:r>
      <w:r w:rsidRPr="005F2829">
        <w:t xml:space="preserve"> Performance stability assessment using coefficient of variation across 10-fold cross-validation, indicating the robustness and reliability of feature selection at different subset sizes. Lower values indicate more stable performance. </w:t>
      </w:r>
      <w:r w:rsidRPr="005F2829">
        <w:rPr>
          <w:b/>
          <w:bCs/>
        </w:rPr>
        <w:t>e</w:t>
      </w:r>
      <w:r w:rsidRPr="005F2829">
        <w:t xml:space="preserve"> Cost-effectiveness index combining multiple criteria: Performance×0.45 + Simplicity×0.25 + </w:t>
      </w:r>
      <w:r w:rsidRPr="005F2829">
        <w:lastRenderedPageBreak/>
        <w:t>Efficiency×0.15 + Stability×0.15, providing a comprehensive metric for optimal feature subset selection that balances predictive accuracy with practical deployment considerations.</w:t>
      </w:r>
    </w:p>
    <w:p w14:paraId="20DD1C62" w14:textId="77777777" w:rsidR="0055206D" w:rsidRPr="005F2829" w:rsidRDefault="00000000">
      <w:pPr>
        <w:pStyle w:val="3"/>
        <w:rPr>
          <w:rFonts w:cs="Times New Roman"/>
          <w:color w:val="000000" w:themeColor="text1"/>
        </w:rPr>
      </w:pPr>
      <w:bookmarkStart w:id="92" w:name="multi-criteria-performance-analysis"/>
      <w:bookmarkEnd w:id="90"/>
      <w:bookmarkEnd w:id="91"/>
      <w:r w:rsidRPr="005F2829">
        <w:rPr>
          <w:rFonts w:cs="Times New Roman"/>
          <w:color w:val="000000" w:themeColor="text1"/>
        </w:rPr>
        <w:t>Multi-Criteria Performance Analysis</w:t>
      </w:r>
    </w:p>
    <w:p w14:paraId="5D96991E" w14:textId="77777777" w:rsidR="0055206D" w:rsidRPr="005F2829" w:rsidRDefault="00000000">
      <w:pPr>
        <w:pStyle w:val="FirstParagraph"/>
      </w:pPr>
      <w:r w:rsidRPr="005F2829">
        <w:t>Beyond simple accuracy metrics, we evaluated feature subsets across multiple dimensions:</w:t>
      </w:r>
    </w:p>
    <w:p w14:paraId="757CF29B" w14:textId="77777777" w:rsidR="0055206D" w:rsidRPr="005F2829" w:rsidRDefault="00000000">
      <w:pPr>
        <w:numPr>
          <w:ilvl w:val="0"/>
          <w:numId w:val="16"/>
        </w:numPr>
      </w:pPr>
      <w:r w:rsidRPr="005F2829">
        <w:rPr>
          <w:b/>
          <w:bCs/>
        </w:rPr>
        <w:t>Class-specific Accuracy</w:t>
      </w:r>
      <w:r w:rsidRPr="005F2829">
        <w:t>: Balanced performance between malignant and benign cases across different feature subset sizes</w:t>
      </w:r>
    </w:p>
    <w:p w14:paraId="557414ED" w14:textId="77777777" w:rsidR="0055206D" w:rsidRPr="005F2829" w:rsidRDefault="00000000">
      <w:pPr>
        <w:numPr>
          <w:ilvl w:val="0"/>
          <w:numId w:val="16"/>
        </w:numPr>
      </w:pPr>
      <w:r w:rsidRPr="005F2829">
        <w:rPr>
          <w:b/>
          <w:bCs/>
        </w:rPr>
        <w:t>Computational Efficiency</w:t>
      </w:r>
      <w:r w:rsidRPr="005F2829">
        <w:t>: Training time complexity showing near-linear relationship with feature count</w:t>
      </w:r>
    </w:p>
    <w:p w14:paraId="6153A23C" w14:textId="77777777" w:rsidR="0055206D" w:rsidRPr="005F2829" w:rsidRDefault="00000000">
      <w:pPr>
        <w:numPr>
          <w:ilvl w:val="0"/>
          <w:numId w:val="16"/>
        </w:numPr>
      </w:pPr>
      <w:r w:rsidRPr="005F2829">
        <w:rPr>
          <w:b/>
          <w:bCs/>
        </w:rPr>
        <w:t>Performance Stability</w:t>
      </w:r>
      <w:r w:rsidRPr="005F2829">
        <w:t>: Coefficient of variation assessment demonstrating robustness across data splits</w:t>
      </w:r>
    </w:p>
    <w:p w14:paraId="6083C557" w14:textId="77777777" w:rsidR="0055206D" w:rsidRPr="005F2829" w:rsidRDefault="00000000">
      <w:pPr>
        <w:numPr>
          <w:ilvl w:val="0"/>
          <w:numId w:val="16"/>
        </w:numPr>
      </w:pPr>
      <w:r w:rsidRPr="005F2829">
        <w:rPr>
          <w:b/>
          <w:bCs/>
        </w:rPr>
        <w:t>Cost-Effectiveness</w:t>
      </w:r>
      <w:r w:rsidRPr="005F2829">
        <w:t>: Composite metric balancing performance, simplicity, efficiency, and stability</w:t>
      </w:r>
    </w:p>
    <w:p w14:paraId="3A3689E0" w14:textId="77777777" w:rsidR="0055206D" w:rsidRPr="005F2829" w:rsidRDefault="00000000">
      <w:pPr>
        <w:pStyle w:val="2"/>
        <w:rPr>
          <w:rFonts w:ascii="Times New Roman" w:hAnsi="Times New Roman" w:cs="Times New Roman"/>
          <w:color w:val="000000" w:themeColor="text1"/>
        </w:rPr>
      </w:pPr>
      <w:bookmarkStart w:id="93" w:name="model-reliability-and-clinical-utility"/>
      <w:bookmarkEnd w:id="89"/>
      <w:bookmarkEnd w:id="92"/>
      <w:r w:rsidRPr="005F2829">
        <w:rPr>
          <w:rFonts w:ascii="Times New Roman" w:hAnsi="Times New Roman" w:cs="Times New Roman"/>
          <w:color w:val="000000" w:themeColor="text1"/>
        </w:rPr>
        <w:t>Model Reliability and Clinical Utility</w:t>
      </w:r>
    </w:p>
    <w:p w14:paraId="59542619" w14:textId="77777777" w:rsidR="0055206D" w:rsidRPr="005F2829" w:rsidRDefault="00000000">
      <w:pPr>
        <w:pStyle w:val="3"/>
        <w:rPr>
          <w:rFonts w:cs="Times New Roman"/>
          <w:color w:val="000000" w:themeColor="text1"/>
        </w:rPr>
      </w:pPr>
      <w:bookmarkStart w:id="94" w:name="roc-curve-analysis"/>
      <w:r w:rsidRPr="005F2829">
        <w:rPr>
          <w:rFonts w:cs="Times New Roman"/>
          <w:color w:val="000000" w:themeColor="text1"/>
        </w:rPr>
        <w:t>ROC Curve Analysis</w:t>
      </w:r>
    </w:p>
    <w:p w14:paraId="0C46711D" w14:textId="77777777" w:rsidR="0055206D" w:rsidRPr="005F2829" w:rsidRDefault="00000000">
      <w:pPr>
        <w:pStyle w:val="FirstParagraph"/>
      </w:pPr>
      <w:r w:rsidRPr="005F2829">
        <w:t>ROC curve comparisons across both domains demonstrated consistent superior performance. In source-domain evaluation, PANDA achieved AUC of 0.829, outperforming traditional machine learning models. In the more challenging target-domain setting, the TCA-enhanced model maintained the highest AUC (0.705) with curves consistently above all baselines.</w:t>
      </w:r>
    </w:p>
    <w:p w14:paraId="056E2BD2" w14:textId="77777777" w:rsidR="0055206D" w:rsidRPr="005F2829" w:rsidRDefault="00000000">
      <w:pPr>
        <w:pStyle w:val="3"/>
        <w:rPr>
          <w:rFonts w:cs="Times New Roman"/>
          <w:color w:val="000000" w:themeColor="text1"/>
        </w:rPr>
      </w:pPr>
      <w:bookmarkStart w:id="95" w:name="calibration-assessment"/>
      <w:bookmarkEnd w:id="94"/>
      <w:r w:rsidRPr="005F2829">
        <w:rPr>
          <w:rFonts w:cs="Times New Roman"/>
          <w:color w:val="000000" w:themeColor="text1"/>
        </w:rPr>
        <w:t>Calibration Assessment</w:t>
      </w:r>
    </w:p>
    <w:p w14:paraId="6E93D94C" w14:textId="77777777" w:rsidR="0055206D" w:rsidRPr="005F2829" w:rsidRDefault="00000000">
      <w:pPr>
        <w:pStyle w:val="FirstParagraph"/>
      </w:pPr>
      <w:r w:rsidRPr="005F2829">
        <w:t>Calibration curves evaluated the agreement between predicted probabilities and observed event rates. The PANDA framework demonstrated closer alignment to ideal calibration than conventional baselines in both domains. TCA-based adaptation further improved calibration in the target domain, reducing both systematic underestimation and overestimation across probability bins.</w:t>
      </w:r>
    </w:p>
    <w:p w14:paraId="390439C9" w14:textId="77777777" w:rsidR="0055206D" w:rsidRPr="005F2829" w:rsidRDefault="00000000">
      <w:pPr>
        <w:pStyle w:val="3"/>
        <w:rPr>
          <w:rFonts w:cs="Times New Roman"/>
          <w:color w:val="000000" w:themeColor="text1"/>
        </w:rPr>
      </w:pPr>
      <w:bookmarkStart w:id="96" w:name="decision-curve-analysis"/>
      <w:bookmarkEnd w:id="95"/>
      <w:r w:rsidRPr="005F2829">
        <w:rPr>
          <w:rFonts w:cs="Times New Roman"/>
          <w:color w:val="000000" w:themeColor="text1"/>
        </w:rPr>
        <w:t>Decision Curve Analysis</w:t>
      </w:r>
    </w:p>
    <w:p w14:paraId="7229B38D" w14:textId="77777777" w:rsidR="0055206D" w:rsidRPr="005F2829" w:rsidRDefault="00000000">
      <w:pPr>
        <w:pStyle w:val="FirstParagraph"/>
      </w:pPr>
      <w:r w:rsidRPr="005F2829">
        <w:t>Decision curve analysis quantified net clinical benefit across decision thresholds. PANDA consistently delivered higher net benefit than baseline models across clinically relevant thresholds in both source and target domains. The TCA-enhanced version showed additional gains in the target domain, underscoring the value of domain adaptation for improving clinical utility.</w:t>
      </w:r>
    </w:p>
    <w:p w14:paraId="44DA18C4" w14:textId="77777777" w:rsidR="0055206D" w:rsidRPr="005F2829" w:rsidRDefault="00000000">
      <w:pPr>
        <w:pStyle w:val="CaptionedFigure"/>
      </w:pPr>
      <w:bookmarkStart w:id="97" w:name="fig:combined_analysis"/>
      <w:r w:rsidRPr="005F2829">
        <w:rPr>
          <w:noProof/>
        </w:rPr>
        <w:lastRenderedPageBreak/>
        <w:drawing>
          <wp:inline distT="0" distB="0" distL="0" distR="0" wp14:anchorId="337A60E9" wp14:editId="78E490ED">
            <wp:extent cx="5486400" cy="6125919"/>
            <wp:effectExtent l="0" t="0" r="0" b="0"/>
            <wp:docPr id="116" name="Picture" descr="Figure 5: Comprehensive model performance analysis across source and target domains. a,b ROC curve comparison showing PANDA’s superior discriminative performance. c,d Model calibration analysis demonstrating improved probability reliability. e,f Decision curve analysis confirming superior clinical utility across relevant threshold ranges."/>
            <wp:cNvGraphicFramePr/>
            <a:graphic xmlns:a="http://schemas.openxmlformats.org/drawingml/2006/main">
              <a:graphicData uri="http://schemas.openxmlformats.org/drawingml/2006/picture">
                <pic:pic xmlns:pic="http://schemas.openxmlformats.org/drawingml/2006/picture">
                  <pic:nvPicPr>
                    <pic:cNvPr id="117" name="Picture" descr="combined_analysis_figure.pdf"/>
                    <pic:cNvPicPr>
                      <a:picLocks noChangeAspect="1" noChangeArrowheads="1"/>
                    </pic:cNvPicPr>
                  </pic:nvPicPr>
                  <pic:blipFill>
                    <a:blip r:embed="rId9"/>
                    <a:stretch>
                      <a:fillRect/>
                    </a:stretch>
                  </pic:blipFill>
                  <pic:spPr bwMode="auto">
                    <a:xfrm>
                      <a:off x="0" y="0"/>
                      <a:ext cx="5486400" cy="6125919"/>
                    </a:xfrm>
                    <a:prstGeom prst="rect">
                      <a:avLst/>
                    </a:prstGeom>
                    <a:noFill/>
                    <a:ln w="9525">
                      <a:noFill/>
                      <a:headEnd/>
                      <a:tailEnd/>
                    </a:ln>
                  </pic:spPr>
                </pic:pic>
              </a:graphicData>
            </a:graphic>
          </wp:inline>
        </w:drawing>
      </w:r>
    </w:p>
    <w:p w14:paraId="7DF4EA4C" w14:textId="77777777" w:rsidR="0055206D" w:rsidRPr="005F2829" w:rsidRDefault="00000000">
      <w:pPr>
        <w:pStyle w:val="ImageCaption"/>
      </w:pPr>
      <w:r w:rsidRPr="005F2829">
        <w:t xml:space="preserve">Figure 5: </w:t>
      </w:r>
      <w:r w:rsidRPr="005F2829">
        <w:rPr>
          <w:b/>
          <w:bCs/>
        </w:rPr>
        <w:t>Comprehensive model performance analysis across source and target domains.</w:t>
      </w:r>
      <w:r w:rsidRPr="005F2829">
        <w:t xml:space="preserve"> </w:t>
      </w:r>
      <w:r w:rsidRPr="005F2829">
        <w:rPr>
          <w:b/>
          <w:bCs/>
        </w:rPr>
        <w:t>a,b</w:t>
      </w:r>
      <w:r w:rsidRPr="005F2829">
        <w:t xml:space="preserve"> ROC curve comparison showing PANDA’s superior discriminative performance. </w:t>
      </w:r>
      <w:r w:rsidRPr="005F2829">
        <w:rPr>
          <w:b/>
          <w:bCs/>
        </w:rPr>
        <w:t>c,d</w:t>
      </w:r>
      <w:r w:rsidRPr="005F2829">
        <w:t xml:space="preserve"> Model calibration analysis demonstrating improved probability reliability. </w:t>
      </w:r>
      <w:r w:rsidRPr="005F2829">
        <w:rPr>
          <w:b/>
          <w:bCs/>
        </w:rPr>
        <w:t>e,f</w:t>
      </w:r>
      <w:r w:rsidRPr="005F2829">
        <w:t xml:space="preserve"> Decision curve analysis confirming superior clinical utility across relevant threshold ranges.</w:t>
      </w:r>
    </w:p>
    <w:p w14:paraId="37CD504F" w14:textId="77777777" w:rsidR="0055206D" w:rsidRPr="005F2829" w:rsidRDefault="00000000">
      <w:pPr>
        <w:pStyle w:val="2"/>
        <w:rPr>
          <w:rFonts w:ascii="Times New Roman" w:hAnsi="Times New Roman" w:cs="Times New Roman"/>
          <w:color w:val="000000" w:themeColor="text1"/>
        </w:rPr>
      </w:pPr>
      <w:bookmarkStart w:id="98" w:name="statistical-significance-and-robustness"/>
      <w:bookmarkEnd w:id="93"/>
      <w:bookmarkEnd w:id="96"/>
      <w:bookmarkEnd w:id="97"/>
      <w:r w:rsidRPr="005F2829">
        <w:rPr>
          <w:rFonts w:ascii="Times New Roman" w:hAnsi="Times New Roman" w:cs="Times New Roman"/>
          <w:color w:val="000000" w:themeColor="text1"/>
        </w:rPr>
        <w:lastRenderedPageBreak/>
        <w:t>Statistical Significance and Robustness</w:t>
      </w:r>
    </w:p>
    <w:p w14:paraId="5A8EB359" w14:textId="77777777" w:rsidR="0055206D" w:rsidRPr="005F2829" w:rsidRDefault="00000000">
      <w:pPr>
        <w:pStyle w:val="3"/>
        <w:rPr>
          <w:rFonts w:cs="Times New Roman"/>
          <w:color w:val="000000" w:themeColor="text1"/>
        </w:rPr>
      </w:pPr>
      <w:bookmarkStart w:id="99" w:name="statistical-validation"/>
      <w:r w:rsidRPr="005F2829">
        <w:rPr>
          <w:rFonts w:cs="Times New Roman"/>
          <w:color w:val="000000" w:themeColor="text1"/>
        </w:rPr>
        <w:t>Statistical Validation</w:t>
      </w:r>
    </w:p>
    <w:p w14:paraId="2F835691" w14:textId="77777777" w:rsidR="0055206D" w:rsidRPr="005F2829" w:rsidRDefault="00000000">
      <w:pPr>
        <w:pStyle w:val="FirstParagraph"/>
      </w:pPr>
      <w:r w:rsidRPr="005F2829">
        <w:t>Performance improvements were quantified using bootstrap resampling with 1000 iterations to calculate 95% confidence intervals for all performance metrics. The consistency of improvements across multiple evaluation metrics and experimental conditions provides robust validation of the proposed approach. Performance stability was assessed through coefficient of variation analysis across different data splits and experimental repetitions.</w:t>
      </w:r>
    </w:p>
    <w:p w14:paraId="5C9CCE78" w14:textId="77777777" w:rsidR="0055206D" w:rsidRPr="005F2829" w:rsidRDefault="00000000">
      <w:pPr>
        <w:pStyle w:val="3"/>
        <w:rPr>
          <w:rFonts w:cs="Times New Roman"/>
          <w:color w:val="000000" w:themeColor="text1"/>
        </w:rPr>
      </w:pPr>
      <w:bookmarkStart w:id="100" w:name="cross-validation-robustness"/>
      <w:bookmarkEnd w:id="99"/>
      <w:r w:rsidRPr="005F2829">
        <w:rPr>
          <w:rFonts w:cs="Times New Roman"/>
          <w:color w:val="000000" w:themeColor="text1"/>
        </w:rPr>
        <w:t>Cross-Validation Robustness</w:t>
      </w:r>
    </w:p>
    <w:p w14:paraId="06A9AA9D" w14:textId="77777777" w:rsidR="0055206D" w:rsidRPr="005F2829" w:rsidRDefault="00000000">
      <w:pPr>
        <w:pStyle w:val="FirstParagraph"/>
      </w:pPr>
      <w:r w:rsidRPr="005F2829">
        <w:t>All performance metrics were averaged over 10-fold cross-validation with coefficient of variation analysis to ensure stability. Low CV values across different feature subset sizes and evaluation metrics demonstrated robust and reliable performance across diverse clinical scenarios.</w:t>
      </w:r>
    </w:p>
    <w:p w14:paraId="3602F46B" w14:textId="77777777" w:rsidR="0055206D" w:rsidRPr="005F2829" w:rsidRDefault="00000000">
      <w:pPr>
        <w:pStyle w:val="3"/>
        <w:rPr>
          <w:rFonts w:cs="Times New Roman"/>
          <w:color w:val="000000" w:themeColor="text1"/>
        </w:rPr>
      </w:pPr>
      <w:bookmarkStart w:id="101" w:name="feature-availability-robustness"/>
      <w:bookmarkEnd w:id="100"/>
      <w:r w:rsidRPr="005F2829">
        <w:rPr>
          <w:rFonts w:cs="Times New Roman"/>
          <w:color w:val="000000" w:themeColor="text1"/>
        </w:rPr>
        <w:t>Feature Availability Robustness</w:t>
      </w:r>
    </w:p>
    <w:p w14:paraId="2A678D3B" w14:textId="77777777" w:rsidR="0055206D" w:rsidRPr="005F2829" w:rsidRDefault="00000000">
      <w:pPr>
        <w:pStyle w:val="FirstParagraph"/>
      </w:pPr>
      <w:r w:rsidRPr="005F2829">
        <w:t>The framework was evaluated under various feature availability scenarios to ensure robustness in real-world deployment where different institutions may have varying data collection capabilities. The 8-feature configuration demonstrated stable performance across multiple feature availability scenarios, supporting practical clinical deployment.</w:t>
      </w:r>
    </w:p>
    <w:p w14:paraId="61A1DA89" w14:textId="77777777" w:rsidR="0055206D" w:rsidRPr="005F2829" w:rsidRDefault="00000000">
      <w:pPr>
        <w:pStyle w:val="a0"/>
      </w:pPr>
      <w:r w:rsidRPr="005F2829">
        <w:t>This comprehensive evaluation demonstrates that the PANDA framework delivers reliable, interpretable, and clinically actionable predictions across diverse institutional settings while maintaining the theoretical guarantees and computational efficiency necessary for real-world medical AI deployment.</w:t>
      </w:r>
    </w:p>
    <w:p w14:paraId="1949AC43" w14:textId="77777777" w:rsidR="0055206D" w:rsidRPr="005F2829" w:rsidRDefault="00000000" w:rsidP="000672B5">
      <w:pPr>
        <w:pStyle w:val="1"/>
      </w:pPr>
      <w:bookmarkStart w:id="102" w:name="sec:conclusion"/>
      <w:bookmarkEnd w:id="73"/>
      <w:bookmarkEnd w:id="98"/>
      <w:bookmarkEnd w:id="101"/>
      <w:r w:rsidRPr="005F2829">
        <w:t>Conclusion</w:t>
      </w:r>
    </w:p>
    <w:p w14:paraId="3A624ECC" w14:textId="77777777" w:rsidR="0055206D" w:rsidRPr="005F2829" w:rsidRDefault="00000000">
      <w:pPr>
        <w:pStyle w:val="FirstParagraph"/>
      </w:pPr>
      <w:r w:rsidRPr="005F2829">
        <w:t>This study presents PANDA (Pretrained Adaptation Network with Domain Alignment), a comprehensive framework that addresses fundamental challenges in cross-institutional medical AI through the principled integration of tabular foundation models, feature-efficient learning, and unsupervised domain adaptation. Our work demonstrates significant advances in pulmonary nodule malignancy prediction across hospitals while establishing a new paradigm for medical AI development.</w:t>
      </w:r>
    </w:p>
    <w:p w14:paraId="6875B462" w14:textId="77777777" w:rsidR="0055206D" w:rsidRPr="005F2829" w:rsidRDefault="00000000">
      <w:pPr>
        <w:pStyle w:val="2"/>
        <w:rPr>
          <w:rFonts w:ascii="Times New Roman" w:hAnsi="Times New Roman" w:cs="Times New Roman"/>
          <w:color w:val="000000" w:themeColor="text1"/>
        </w:rPr>
      </w:pPr>
      <w:bookmarkStart w:id="103" w:name="key-contributions"/>
      <w:r w:rsidRPr="005F2829">
        <w:rPr>
          <w:rFonts w:ascii="Times New Roman" w:hAnsi="Times New Roman" w:cs="Times New Roman"/>
          <w:color w:val="000000" w:themeColor="text1"/>
        </w:rPr>
        <w:t>Key Contributions</w:t>
      </w:r>
    </w:p>
    <w:p w14:paraId="0696105C" w14:textId="77777777" w:rsidR="0055206D" w:rsidRPr="005F2829" w:rsidRDefault="00000000">
      <w:pPr>
        <w:pStyle w:val="3"/>
        <w:rPr>
          <w:rFonts w:cs="Times New Roman"/>
          <w:color w:val="000000" w:themeColor="text1"/>
        </w:rPr>
      </w:pPr>
      <w:bookmarkStart w:id="104" w:name="X60d6820507892f11545a5a955aeec8df28e45d9"/>
      <w:r w:rsidRPr="005F2829">
        <w:rPr>
          <w:rFonts w:cs="Times New Roman"/>
          <w:color w:val="000000" w:themeColor="text1"/>
        </w:rPr>
        <w:t>Cross-Domain Feature Selection with Clinical Consistency</w:t>
      </w:r>
    </w:p>
    <w:p w14:paraId="45FE5D75" w14:textId="77777777" w:rsidR="0055206D" w:rsidRPr="005F2829" w:rsidRDefault="00000000">
      <w:pPr>
        <w:pStyle w:val="FirstParagraph"/>
      </w:pPr>
      <w:r w:rsidRPr="005F2829">
        <w:t xml:space="preserve">We introduced a novel recursive feature elimination strategy specifically designed for multi-institutional medical settings. Our approach systematically reduced 63 heterogeneous clinical variables to an optimal set of 8 features while maintaining predictive performance across institutions. This cross-domain feature selection ensures </w:t>
      </w:r>
      <w:r w:rsidRPr="005F2829">
        <w:lastRenderedPageBreak/>
        <w:t>that selected variables remain discriminative and available across different clinical settings, addressing a critical gap in translating laboratory results to real-world deployment where feature availability varies significantly.</w:t>
      </w:r>
    </w:p>
    <w:p w14:paraId="4A5428A5" w14:textId="77777777" w:rsidR="0055206D" w:rsidRPr="005F2829" w:rsidRDefault="00000000">
      <w:pPr>
        <w:pStyle w:val="3"/>
        <w:rPr>
          <w:rFonts w:cs="Times New Roman"/>
          <w:color w:val="000000" w:themeColor="text1"/>
        </w:rPr>
      </w:pPr>
      <w:bookmarkStart w:id="105" w:name="X6de06f2a58623d3496829283d605e4e77c22586"/>
      <w:bookmarkEnd w:id="104"/>
      <w:r w:rsidRPr="005F2829">
        <w:rPr>
          <w:rFonts w:cs="Times New Roman"/>
          <w:color w:val="000000" w:themeColor="text1"/>
        </w:rPr>
        <w:t>Medical-Optimized Tabular Foundation Model Integration</w:t>
      </w:r>
    </w:p>
    <w:p w14:paraId="19A8254D" w14:textId="77777777" w:rsidR="0055206D" w:rsidRPr="005F2829" w:rsidRDefault="00000000">
      <w:pPr>
        <w:pStyle w:val="FirstParagraph"/>
      </w:pPr>
      <w:r w:rsidRPr="005F2829">
        <w:t>We pioneered the systematic application of pre-trained transformer architectures to cross-institutional medical prediction. Our 32-member ensemble with specialized transformation pipelines represents the first comprehensive integration of foundation model principles to small-sample, imbalanced medical datasets. The framework achieves superior generalization compared to conventional approaches while maintaining clinical interpretability through careful design of ensemble diversity and preprocessing strategies.</w:t>
      </w:r>
    </w:p>
    <w:p w14:paraId="62ABA8E7" w14:textId="77777777" w:rsidR="0055206D" w:rsidRPr="005F2829" w:rsidRDefault="00000000">
      <w:pPr>
        <w:pStyle w:val="3"/>
        <w:rPr>
          <w:rFonts w:cs="Times New Roman"/>
          <w:color w:val="000000" w:themeColor="text1"/>
        </w:rPr>
      </w:pPr>
      <w:bookmarkStart w:id="106" w:name="X14afac6d74533733287b779f28482d57423063d"/>
      <w:bookmarkEnd w:id="105"/>
      <w:r w:rsidRPr="005F2829">
        <w:rPr>
          <w:rFonts w:cs="Times New Roman"/>
          <w:color w:val="000000" w:themeColor="text1"/>
        </w:rPr>
        <w:t>Principled Domain Adaptation via Transfer Component Analysis</w:t>
      </w:r>
    </w:p>
    <w:p w14:paraId="6E7B8D04" w14:textId="77777777" w:rsidR="0055206D" w:rsidRPr="005F2829" w:rsidRDefault="00000000">
      <w:pPr>
        <w:pStyle w:val="FirstParagraph"/>
      </w:pPr>
      <w:r w:rsidRPr="005F2829">
        <w:t>We developed a mathematically rigorous approach to address inter-institutional distribution shift by integrating Transfer Component Analysis with foundation model representations. Our kernel-based domain alignment strategy learns a shared latent space where statistical distributions are aligned while preserving discriminative information. The TCA integration consistently improved cross-domain performance, with AUC increasing from 0.681 to 0.709 (+2.8 percentage points) and sensitivity improving to 0.944.</w:t>
      </w:r>
    </w:p>
    <w:p w14:paraId="14DDD043" w14:textId="77777777" w:rsidR="0055206D" w:rsidRPr="005F2829" w:rsidRDefault="00000000">
      <w:pPr>
        <w:pStyle w:val="3"/>
        <w:rPr>
          <w:rFonts w:cs="Times New Roman"/>
          <w:color w:val="000000" w:themeColor="text1"/>
        </w:rPr>
      </w:pPr>
      <w:bookmarkStart w:id="107" w:name="end-to-end-clinical-translation-pipeline"/>
      <w:bookmarkEnd w:id="106"/>
      <w:r w:rsidRPr="005F2829">
        <w:rPr>
          <w:rFonts w:cs="Times New Roman"/>
          <w:color w:val="000000" w:themeColor="text1"/>
        </w:rPr>
        <w:t>End-to-End Clinical Translation Pipeline</w:t>
      </w:r>
    </w:p>
    <w:p w14:paraId="1C8B4CEB" w14:textId="77777777" w:rsidR="0055206D" w:rsidRPr="005F2829" w:rsidRDefault="00000000">
      <w:pPr>
        <w:pStyle w:val="FirstParagraph"/>
      </w:pPr>
      <w:r w:rsidRPr="005F2829">
        <w:t>We provide a complete framework that addresses the entire pipeline from heterogeneous multi-institutional data to deployable clinical predictions, bridging the gap between research innovation and practical clinical implementation. The framework demonstrates robust performance across challenging scenarios including small sample sizes, class imbalance, and significant domain shift.</w:t>
      </w:r>
    </w:p>
    <w:p w14:paraId="27129E27" w14:textId="77777777" w:rsidR="0055206D" w:rsidRPr="005F2829" w:rsidRDefault="00000000">
      <w:pPr>
        <w:pStyle w:val="2"/>
        <w:rPr>
          <w:rFonts w:ascii="Times New Roman" w:hAnsi="Times New Roman" w:cs="Times New Roman"/>
          <w:color w:val="000000" w:themeColor="text1"/>
        </w:rPr>
      </w:pPr>
      <w:bookmarkStart w:id="108" w:name="clinical-impact-and-implications"/>
      <w:bookmarkEnd w:id="103"/>
      <w:bookmarkEnd w:id="107"/>
      <w:r w:rsidRPr="005F2829">
        <w:rPr>
          <w:rFonts w:ascii="Times New Roman" w:hAnsi="Times New Roman" w:cs="Times New Roman"/>
          <w:color w:val="000000" w:themeColor="text1"/>
        </w:rPr>
        <w:t>Clinical Impact and Implications</w:t>
      </w:r>
    </w:p>
    <w:p w14:paraId="1049FC49" w14:textId="77777777" w:rsidR="0055206D" w:rsidRPr="005F2829" w:rsidRDefault="00000000">
      <w:pPr>
        <w:pStyle w:val="FirstParagraph"/>
      </w:pPr>
      <w:r w:rsidRPr="005F2829">
        <w:t>The PANDA framework addresses fundamental limitations in current medical AI systems by providing a principled approach to cross-institutional deployment. Our results demonstrate that robust performance can be achieved across different healthcare systems using a minimal yet highly informative feature set, making the approach practical for widespread clinical adoption.</w:t>
      </w:r>
    </w:p>
    <w:p w14:paraId="01604641" w14:textId="77777777" w:rsidR="0055206D" w:rsidRPr="005F2829" w:rsidRDefault="00000000">
      <w:pPr>
        <w:pStyle w:val="a0"/>
      </w:pPr>
      <w:r w:rsidRPr="005F2829">
        <w:t>The high sensitivity achieved (94.4%) is particularly important for medical screening applications where missing positive cases carries significant clinical consequences. This performance level exceeds traditional clinical scoring systems and machine learning approaches while maintaining reasonable specificity and overall accuracy.</w:t>
      </w:r>
    </w:p>
    <w:p w14:paraId="6573D4E6" w14:textId="77777777" w:rsidR="0055206D" w:rsidRPr="005F2829" w:rsidRDefault="00000000">
      <w:pPr>
        <w:pStyle w:val="a0"/>
      </w:pPr>
      <w:r w:rsidRPr="005F2829">
        <w:t xml:space="preserve">Furthermore, our framework’s ability to maintain performance while using only 8 carefully selected features has important implications for clinical workflow integration and cost-effectiveness. By reducing the dependency on comprehensive laboratory panels or specialized biomarkers that may not be universally available, PANDA enables more </w:t>
      </w:r>
      <w:r w:rsidRPr="005F2829">
        <w:lastRenderedPageBreak/>
        <w:t>equitable access to AI-assisted diagnosis across diverse healthcare settings, from specialized academic centers to community hospitals with more limited resources.</w:t>
      </w:r>
    </w:p>
    <w:p w14:paraId="27BB589E" w14:textId="77777777" w:rsidR="0055206D" w:rsidRPr="005F2829" w:rsidRDefault="00000000">
      <w:pPr>
        <w:pStyle w:val="2"/>
        <w:rPr>
          <w:rFonts w:ascii="Times New Roman" w:hAnsi="Times New Roman" w:cs="Times New Roman"/>
          <w:color w:val="000000" w:themeColor="text1"/>
        </w:rPr>
      </w:pPr>
      <w:bookmarkStart w:id="109" w:name="technical-advancements"/>
      <w:bookmarkEnd w:id="108"/>
      <w:r w:rsidRPr="005F2829">
        <w:rPr>
          <w:rFonts w:ascii="Times New Roman" w:hAnsi="Times New Roman" w:cs="Times New Roman"/>
          <w:color w:val="000000" w:themeColor="text1"/>
        </w:rPr>
        <w:t>Technical Advancements</w:t>
      </w:r>
    </w:p>
    <w:p w14:paraId="59437B44" w14:textId="77777777" w:rsidR="0055206D" w:rsidRPr="005F2829" w:rsidRDefault="00000000">
      <w:pPr>
        <w:pStyle w:val="3"/>
        <w:rPr>
          <w:rFonts w:cs="Times New Roman"/>
          <w:color w:val="000000" w:themeColor="text1"/>
        </w:rPr>
      </w:pPr>
      <w:bookmarkStart w:id="110" w:name="X086d5f7016d227f8c7318e204a3dfb1eba26743"/>
      <w:r w:rsidRPr="005F2829">
        <w:rPr>
          <w:rFonts w:cs="Times New Roman"/>
          <w:color w:val="000000" w:themeColor="text1"/>
        </w:rPr>
        <w:t>Foundation Model Integration for Medical AI</w:t>
      </w:r>
    </w:p>
    <w:p w14:paraId="0CDCBFB1" w14:textId="77777777" w:rsidR="0055206D" w:rsidRPr="005F2829" w:rsidRDefault="00000000">
      <w:pPr>
        <w:pStyle w:val="FirstParagraph"/>
      </w:pPr>
      <w:r w:rsidRPr="005F2829">
        <w:t>This work represents one of the first successful applications of tabular foundation models to cross-institutional medical classification. The integration of TabPFN’s pre-trained priors with medical-specific adaptations demonstrates how large-scale synthetic training can benefit small-sample medical applications while maintaining clinical relevance and interpretability.</w:t>
      </w:r>
    </w:p>
    <w:p w14:paraId="0BB29091" w14:textId="77777777" w:rsidR="0055206D" w:rsidRPr="005F2829" w:rsidRDefault="00000000">
      <w:pPr>
        <w:pStyle w:val="3"/>
        <w:rPr>
          <w:rFonts w:cs="Times New Roman"/>
          <w:color w:val="000000" w:themeColor="text1"/>
        </w:rPr>
      </w:pPr>
      <w:bookmarkStart w:id="111" w:name="sophisticated-preprocessing-pipeline"/>
      <w:bookmarkEnd w:id="110"/>
      <w:r w:rsidRPr="005F2829">
        <w:rPr>
          <w:rFonts w:cs="Times New Roman"/>
          <w:color w:val="000000" w:themeColor="text1"/>
        </w:rPr>
        <w:t>Sophisticated Preprocessing Pipeline</w:t>
      </w:r>
    </w:p>
    <w:p w14:paraId="5C60C50B" w14:textId="77777777" w:rsidR="0055206D" w:rsidRPr="005F2829" w:rsidRDefault="00000000">
      <w:pPr>
        <w:pStyle w:val="FirstParagraph"/>
      </w:pPr>
      <w:r w:rsidRPr="005F2829">
        <w:t>Our diversified preprocessing approach systematically addresses positional bias, distributional heterogeneity, and categorical encoding inconsistencies that commonly plague cross-institutional medical AI systems. The 4-branch, 32-member ensemble design provides robust ensemble diversity while preserving clinical interpretability.</w:t>
      </w:r>
    </w:p>
    <w:p w14:paraId="077423F2" w14:textId="77777777" w:rsidR="0055206D" w:rsidRPr="005F2829" w:rsidRDefault="00000000">
      <w:pPr>
        <w:pStyle w:val="3"/>
        <w:rPr>
          <w:rFonts w:cs="Times New Roman"/>
          <w:color w:val="000000" w:themeColor="text1"/>
        </w:rPr>
      </w:pPr>
      <w:bookmarkStart w:id="112" w:name="feature-efficient-domain-adaptation-1"/>
      <w:bookmarkEnd w:id="111"/>
      <w:r w:rsidRPr="005F2829">
        <w:rPr>
          <w:rFonts w:cs="Times New Roman"/>
          <w:color w:val="000000" w:themeColor="text1"/>
        </w:rPr>
        <w:t>Feature-Efficient Domain Adaptation</w:t>
      </w:r>
    </w:p>
    <w:p w14:paraId="0D93B270" w14:textId="77777777" w:rsidR="0055206D" w:rsidRPr="005F2829" w:rsidRDefault="00000000">
      <w:pPr>
        <w:pStyle w:val="FirstParagraph"/>
      </w:pPr>
      <w:r w:rsidRPr="005F2829">
        <w:t>The combination of cross-domain feature selection with TCA-based domain adaptation addresses a critical gap in existing approaches. By ensuring that selected features remain predictive across domains while simultaneously aligning distributions, our approach achieves robust performance without sacrificing interpretability.</w:t>
      </w:r>
    </w:p>
    <w:p w14:paraId="76313D03" w14:textId="77777777" w:rsidR="0055206D" w:rsidRPr="005F2829" w:rsidRDefault="00000000">
      <w:pPr>
        <w:pStyle w:val="2"/>
        <w:rPr>
          <w:rFonts w:ascii="Times New Roman" w:hAnsi="Times New Roman" w:cs="Times New Roman"/>
          <w:color w:val="000000" w:themeColor="text1"/>
        </w:rPr>
      </w:pPr>
      <w:bookmarkStart w:id="113" w:name="limitations-and-future-work"/>
      <w:bookmarkEnd w:id="109"/>
      <w:bookmarkEnd w:id="112"/>
      <w:r w:rsidRPr="005F2829">
        <w:rPr>
          <w:rFonts w:ascii="Times New Roman" w:hAnsi="Times New Roman" w:cs="Times New Roman"/>
          <w:color w:val="000000" w:themeColor="text1"/>
        </w:rPr>
        <w:t>Limitations and Future Work</w:t>
      </w:r>
    </w:p>
    <w:p w14:paraId="59FEA37C" w14:textId="77777777" w:rsidR="0055206D" w:rsidRPr="005F2829" w:rsidRDefault="00000000">
      <w:pPr>
        <w:pStyle w:val="3"/>
        <w:rPr>
          <w:rFonts w:cs="Times New Roman"/>
          <w:color w:val="000000" w:themeColor="text1"/>
        </w:rPr>
      </w:pPr>
      <w:bookmarkStart w:id="114" w:name="current-limitations"/>
      <w:r w:rsidRPr="005F2829">
        <w:rPr>
          <w:rFonts w:cs="Times New Roman"/>
          <w:color w:val="000000" w:themeColor="text1"/>
        </w:rPr>
        <w:t>Current Limitations</w:t>
      </w:r>
    </w:p>
    <w:p w14:paraId="18D2AE95" w14:textId="77777777" w:rsidR="0055206D" w:rsidRPr="005F2829" w:rsidRDefault="00000000">
      <w:pPr>
        <w:pStyle w:val="FirstParagraph"/>
      </w:pPr>
      <w:r w:rsidRPr="005F2829">
        <w:t>While PANDA demonstrates significant advances, several limitations remain to be addressed in future work:</w:t>
      </w:r>
    </w:p>
    <w:p w14:paraId="65803822" w14:textId="77777777" w:rsidR="0055206D" w:rsidRPr="005F2829" w:rsidRDefault="00000000">
      <w:pPr>
        <w:pStyle w:val="a0"/>
      </w:pPr>
      <w:r w:rsidRPr="005F2829">
        <w:rPr>
          <w:b/>
          <w:bCs/>
        </w:rPr>
        <w:t>Scalability to Multi-Center Settings</w:t>
      </w:r>
      <w:r w:rsidRPr="005F2829">
        <w:t>: Our current evaluation focuses on two institutions. Future work should validate the framework across larger numbers of healthcare institutions with more diverse patient populations and clinical practices.</w:t>
      </w:r>
    </w:p>
    <w:p w14:paraId="02F65E6D" w14:textId="77777777" w:rsidR="0055206D" w:rsidRPr="005F2829" w:rsidRDefault="00000000">
      <w:pPr>
        <w:pStyle w:val="a0"/>
      </w:pPr>
      <w:r w:rsidRPr="005F2829">
        <w:rPr>
          <w:b/>
          <w:bCs/>
        </w:rPr>
        <w:t>Temporal Validation</w:t>
      </w:r>
      <w:r w:rsidRPr="005F2829">
        <w:t>: Our study uses retrospective data from specific time periods. Prospective validation in real-time clinical workflows is necessary to confirm the framework’s effectiveness in ongoing clinical practice.</w:t>
      </w:r>
    </w:p>
    <w:p w14:paraId="4091288E" w14:textId="77777777" w:rsidR="0055206D" w:rsidRPr="005F2829" w:rsidRDefault="00000000">
      <w:pPr>
        <w:pStyle w:val="a0"/>
      </w:pPr>
      <w:r w:rsidRPr="005F2829">
        <w:rPr>
          <w:b/>
          <w:bCs/>
        </w:rPr>
        <w:t>Feature Expansion</w:t>
      </w:r>
      <w:r w:rsidRPr="005F2829">
        <w:t>: While our 8-feature configuration demonstrates excellent performance, future work could explore semi-supervised approaches to leverage additional available features without compromising cross-domain stability.</w:t>
      </w:r>
    </w:p>
    <w:p w14:paraId="1BCDA8D5" w14:textId="77777777" w:rsidR="0055206D" w:rsidRPr="005F2829" w:rsidRDefault="00000000">
      <w:pPr>
        <w:pStyle w:val="a0"/>
      </w:pPr>
      <w:r w:rsidRPr="005F2829">
        <w:rPr>
          <w:b/>
          <w:bCs/>
        </w:rPr>
        <w:t>Computational Optimization</w:t>
      </w:r>
      <w:r w:rsidRPr="005F2829">
        <w:t>: The 32-member ensemble, while effective, requires computational resources that may limit deployment in resource-constrained settings. Model compression and optimization techniques could improve deployment efficiency.</w:t>
      </w:r>
    </w:p>
    <w:p w14:paraId="3BD2A44F" w14:textId="77777777" w:rsidR="0055206D" w:rsidRPr="005F2829" w:rsidRDefault="00000000">
      <w:pPr>
        <w:pStyle w:val="3"/>
        <w:rPr>
          <w:rFonts w:cs="Times New Roman"/>
          <w:color w:val="000000" w:themeColor="text1"/>
        </w:rPr>
      </w:pPr>
      <w:bookmarkStart w:id="115" w:name="future-research-directions"/>
      <w:bookmarkEnd w:id="114"/>
      <w:r w:rsidRPr="005F2829">
        <w:rPr>
          <w:rFonts w:cs="Times New Roman"/>
          <w:color w:val="000000" w:themeColor="text1"/>
        </w:rPr>
        <w:lastRenderedPageBreak/>
        <w:t>Future Research Directions</w:t>
      </w:r>
    </w:p>
    <w:p w14:paraId="1AF635A1" w14:textId="77777777" w:rsidR="0055206D" w:rsidRPr="005F2829" w:rsidRDefault="00000000">
      <w:pPr>
        <w:pStyle w:val="FirstParagraph"/>
      </w:pPr>
      <w:r w:rsidRPr="005F2829">
        <w:t>Several promising directions emerge from our work:</w:t>
      </w:r>
    </w:p>
    <w:p w14:paraId="72742D8A" w14:textId="77777777" w:rsidR="0055206D" w:rsidRPr="005F2829" w:rsidRDefault="00000000">
      <w:pPr>
        <w:pStyle w:val="a0"/>
      </w:pPr>
      <w:r w:rsidRPr="005F2829">
        <w:rPr>
          <w:b/>
          <w:bCs/>
        </w:rPr>
        <w:t>Extension to Other Medical Domains</w:t>
      </w:r>
      <w:r w:rsidRPr="005F2829">
        <w:t>: The PANDA framework principles could be applied to other medical classification tasks where cross-institutional generalization is critical, such as disease prognosis, treatment response prediction, and risk stratification.</w:t>
      </w:r>
    </w:p>
    <w:p w14:paraId="6E03EEFB" w14:textId="77777777" w:rsidR="0055206D" w:rsidRPr="005F2829" w:rsidRDefault="00000000">
      <w:pPr>
        <w:pStyle w:val="a0"/>
      </w:pPr>
      <w:r w:rsidRPr="005F2829">
        <w:rPr>
          <w:b/>
          <w:bCs/>
        </w:rPr>
        <w:t>Advanced Domain Adaptation</w:t>
      </w:r>
      <w:r w:rsidRPr="005F2829">
        <w:t>: Integration of more sophisticated domain adaptation techniques, including adversarial methods and optimal transport, could further improve cross-domain performance.</w:t>
      </w:r>
    </w:p>
    <w:p w14:paraId="27F409F2" w14:textId="77777777" w:rsidR="0055206D" w:rsidRPr="005F2829" w:rsidRDefault="00000000">
      <w:pPr>
        <w:pStyle w:val="a0"/>
      </w:pPr>
      <w:r w:rsidRPr="005F2829">
        <w:rPr>
          <w:b/>
          <w:bCs/>
        </w:rPr>
        <w:t>Federated Learning Integration</w:t>
      </w:r>
      <w:r w:rsidRPr="005F2829">
        <w:t>: Combining PANDA’s approach with federated learning could enable collaborative training across institutions while maintaining privacy constraints.</w:t>
      </w:r>
    </w:p>
    <w:p w14:paraId="582E5F01" w14:textId="77777777" w:rsidR="0055206D" w:rsidRPr="005F2829" w:rsidRDefault="00000000">
      <w:pPr>
        <w:pStyle w:val="a0"/>
      </w:pPr>
      <w:r w:rsidRPr="005F2829">
        <w:rPr>
          <w:b/>
          <w:bCs/>
        </w:rPr>
        <w:t>Clinical Decision Support</w:t>
      </w:r>
      <w:r w:rsidRPr="005F2829">
        <w:t>: Integration of the framework into clinical decision support systems with interpretable explanations and uncertainty quantification could enhance clinical adoption.</w:t>
      </w:r>
    </w:p>
    <w:p w14:paraId="05FF9E41" w14:textId="77777777" w:rsidR="0055206D" w:rsidRPr="005F2829" w:rsidRDefault="00000000">
      <w:pPr>
        <w:pStyle w:val="2"/>
        <w:rPr>
          <w:rFonts w:ascii="Times New Roman" w:hAnsi="Times New Roman" w:cs="Times New Roman"/>
          <w:color w:val="000000" w:themeColor="text1"/>
        </w:rPr>
      </w:pPr>
      <w:bookmarkStart w:id="116" w:name="broader-impact"/>
      <w:bookmarkEnd w:id="113"/>
      <w:bookmarkEnd w:id="115"/>
      <w:r w:rsidRPr="005F2829">
        <w:rPr>
          <w:rFonts w:ascii="Times New Roman" w:hAnsi="Times New Roman" w:cs="Times New Roman"/>
          <w:color w:val="000000" w:themeColor="text1"/>
        </w:rPr>
        <w:t>Broader Impact</w:t>
      </w:r>
    </w:p>
    <w:p w14:paraId="3A66E4E0" w14:textId="77777777" w:rsidR="0055206D" w:rsidRPr="005F2829" w:rsidRDefault="00000000">
      <w:pPr>
        <w:pStyle w:val="FirstParagraph"/>
      </w:pPr>
      <w:r w:rsidRPr="005F2829">
        <w:t>The PANDA framework establishes a new paradigm for medical AI development that addresses fundamental challenges in real-world deployment. By combining foundation model capabilities with domain adaptation principles, our approach demonstrates how advanced AI techniques can be practically applied to healthcare settings while maintaining the rigorous standards required for clinical applications.</w:t>
      </w:r>
    </w:p>
    <w:p w14:paraId="1867473C" w14:textId="77777777" w:rsidR="0055206D" w:rsidRPr="005F2829" w:rsidRDefault="00000000">
      <w:pPr>
        <w:pStyle w:val="a0"/>
      </w:pPr>
      <w:r w:rsidRPr="005F2829">
        <w:t>The success of this approach has implications beyond pulmonary nodule classification. The framework’s principles could transform how AI systems are developed and deployed across various medical specialties and clinical applications, particularly in scenarios where data scarcity, domain shift, and interpretability requirements intersect.</w:t>
      </w:r>
    </w:p>
    <w:p w14:paraId="4D2484D0" w14:textId="77777777" w:rsidR="0055206D" w:rsidRPr="005F2829" w:rsidRDefault="00000000">
      <w:pPr>
        <w:pStyle w:val="a0"/>
      </w:pPr>
      <w:r w:rsidRPr="005F2829">
        <w:t>Moreover, our work contributes to the broader discussion about responsible AI development in healthcare. By prioritizing feature efficiency, clinical interpretability, and robust validation across diverse settings, PANDA demonstrates how technical innovation can be balanced with practical and ethical considerations essential for medical AI adoption.</w:t>
      </w:r>
    </w:p>
    <w:p w14:paraId="0D080C5D" w14:textId="77777777" w:rsidR="0055206D" w:rsidRPr="005F2829" w:rsidRDefault="00000000">
      <w:pPr>
        <w:pStyle w:val="2"/>
        <w:rPr>
          <w:rFonts w:ascii="Times New Roman" w:hAnsi="Times New Roman" w:cs="Times New Roman"/>
          <w:color w:val="000000" w:themeColor="text1"/>
        </w:rPr>
      </w:pPr>
      <w:bookmarkStart w:id="117" w:name="concluding-remarks"/>
      <w:bookmarkEnd w:id="116"/>
      <w:r w:rsidRPr="005F2829">
        <w:rPr>
          <w:rFonts w:ascii="Times New Roman" w:hAnsi="Times New Roman" w:cs="Times New Roman"/>
          <w:color w:val="000000" w:themeColor="text1"/>
        </w:rPr>
        <w:t>Concluding Remarks</w:t>
      </w:r>
    </w:p>
    <w:p w14:paraId="08CEF560" w14:textId="77777777" w:rsidR="0055206D" w:rsidRPr="005F2829" w:rsidRDefault="00000000">
      <w:pPr>
        <w:pStyle w:val="FirstParagraph"/>
      </w:pPr>
      <w:r w:rsidRPr="005F2829">
        <w:t>The PANDA framework represents a significant step toward practical, robust, and clinically meaningful AI applications in healthcare. Our systematic integration of foundation models, feature selection, and domain adaptation addresses persistent challenges in medical AI deployment while establishing a foundation for future advances in the field.</w:t>
      </w:r>
    </w:p>
    <w:p w14:paraId="06A81016" w14:textId="77777777" w:rsidR="0055206D" w:rsidRPr="005F2829" w:rsidRDefault="00000000">
      <w:pPr>
        <w:pStyle w:val="a0"/>
      </w:pPr>
      <w:r w:rsidRPr="005F2829">
        <w:t xml:space="preserve">The demonstrated improvements in cross-institutional performance, combined with the framework’s emphasis on interpretability and clinical relevance, suggest that this approach could have substantial impact on the translation of AI research into clinical </w:t>
      </w:r>
      <w:r w:rsidRPr="005F2829">
        <w:lastRenderedPageBreak/>
        <w:t>practice. As medical AI continues to evolve, frameworks like PANDA will play an increasingly important role in bridging the gap between technological innovation and practical healthcare delivery.</w:t>
      </w:r>
    </w:p>
    <w:p w14:paraId="787DD5E9" w14:textId="77777777" w:rsidR="0055206D" w:rsidRPr="005F2829" w:rsidRDefault="00000000">
      <w:pPr>
        <w:pStyle w:val="a0"/>
      </w:pPr>
      <w:r w:rsidRPr="005F2829">
        <w:t>Our work demonstrates that with careful attention to clinical constraints, statistical rigor, and technical innovation, it is possible to develop AI systems that are not only technically sophisticated but also practically valuable in real-world healthcare settings. This balance between technical advancement and clinical applicability will be essential for the continued development and adoption of AI in medicine.</w:t>
      </w:r>
    </w:p>
    <w:p w14:paraId="0E843526" w14:textId="77777777" w:rsidR="0055206D" w:rsidRPr="005F2829" w:rsidRDefault="00000000" w:rsidP="000672B5">
      <w:pPr>
        <w:pStyle w:val="1"/>
      </w:pPr>
      <w:bookmarkStart w:id="118" w:name="references"/>
      <w:bookmarkEnd w:id="102"/>
      <w:bookmarkEnd w:id="117"/>
      <w:r w:rsidRPr="005F2829">
        <w:t>References</w:t>
      </w:r>
    </w:p>
    <w:p w14:paraId="00F79CB2" w14:textId="77777777" w:rsidR="0055206D" w:rsidRPr="005F2829" w:rsidRDefault="00000000">
      <w:pPr>
        <w:pStyle w:val="a9"/>
      </w:pPr>
      <w:bookmarkStart w:id="119" w:name="ref-he2021novel"/>
      <w:bookmarkStart w:id="120" w:name="refs"/>
      <w:r w:rsidRPr="005F2829">
        <w:t xml:space="preserve">[1] </w:t>
      </w:r>
      <w:r w:rsidRPr="005F2829">
        <w:tab/>
        <w:t>He X, Xue N, Liu X, Tang X, Peng S, Qu Y, Jiang L, Xu Q, Liu W, Chen S 2021. A novel clinical model for predicting malignancy of solitary pulmonary nodules: A multicenter study in chinese population. Cancer cell international.21:115</w:t>
      </w:r>
    </w:p>
    <w:p w14:paraId="3642FA62" w14:textId="77777777" w:rsidR="0055206D" w:rsidRPr="005F2829" w:rsidRDefault="00000000">
      <w:pPr>
        <w:pStyle w:val="a9"/>
      </w:pPr>
      <w:bookmarkStart w:id="121" w:name="ref-swensen1997chest"/>
      <w:bookmarkEnd w:id="119"/>
      <w:r w:rsidRPr="005F2829">
        <w:t xml:space="preserve">[2] </w:t>
      </w:r>
      <w:r w:rsidRPr="005F2829">
        <w:tab/>
        <w:t>Swensen SJ, Silverstein MD, Ilstrup DM, Schleck CD, Edell ES 1997. The probability of malignancy in solitary pulmonary nodules: Application to clinical practice. Chest.111:228–234</w:t>
      </w:r>
    </w:p>
    <w:p w14:paraId="428C5167" w14:textId="77777777" w:rsidR="0055206D" w:rsidRPr="005F2829" w:rsidRDefault="00000000">
      <w:pPr>
        <w:pStyle w:val="a9"/>
      </w:pPr>
      <w:bookmarkStart w:id="122" w:name="ref-swensen1997archives"/>
      <w:bookmarkEnd w:id="121"/>
      <w:r w:rsidRPr="005F2829">
        <w:t xml:space="preserve">[3] </w:t>
      </w:r>
      <w:r w:rsidRPr="005F2829">
        <w:tab/>
        <w:t>Swensen SJ, Silverstein MD, Ilstrup DM, Schleck CD, Edell ES 1997. The probability of malignancy in solitary pulmonary nodules: Application to small radiologically indeterminate nodules. Archives of Internal Medicine.157:849–855</w:t>
      </w:r>
    </w:p>
    <w:p w14:paraId="1C1BAC85" w14:textId="77777777" w:rsidR="0055206D" w:rsidRPr="005F2829" w:rsidRDefault="00000000">
      <w:pPr>
        <w:pStyle w:val="a9"/>
      </w:pPr>
      <w:bookmarkStart w:id="123" w:name="ref-li2011development"/>
      <w:bookmarkEnd w:id="122"/>
      <w:r w:rsidRPr="005F2829">
        <w:t xml:space="preserve">[4] </w:t>
      </w:r>
      <w:r w:rsidRPr="005F2829">
        <w:tab/>
        <w:t>Li Y, Chen K-Z, Wang J 2011. Development and validation of a clinical prediction model to estimate the probability of malignancy in solitary pulmonary nodules in chinese people. Clinical lung cancer.12:313–319</w:t>
      </w:r>
    </w:p>
    <w:p w14:paraId="6CB62475" w14:textId="77777777" w:rsidR="0055206D" w:rsidRPr="005F2829" w:rsidRDefault="00000000">
      <w:pPr>
        <w:pStyle w:val="a9"/>
      </w:pPr>
      <w:bookmarkStart w:id="124" w:name="ref-guan2021domain"/>
      <w:bookmarkEnd w:id="123"/>
      <w:r w:rsidRPr="005F2829">
        <w:t xml:space="preserve">[5] </w:t>
      </w:r>
      <w:r w:rsidRPr="005F2829">
        <w:tab/>
        <w:t>Guan H, Liu M 2021. Domain adaptation for medical image analysis: A survey. IEEE Transactions on Biomedical Engineering.69:1173–1185</w:t>
      </w:r>
    </w:p>
    <w:p w14:paraId="22A19AE9" w14:textId="77777777" w:rsidR="0055206D" w:rsidRPr="005F2829" w:rsidRDefault="00000000">
      <w:pPr>
        <w:pStyle w:val="a9"/>
      </w:pPr>
      <w:bookmarkStart w:id="125" w:name="ref-hellin2024unraveling"/>
      <w:bookmarkEnd w:id="124"/>
      <w:r w:rsidRPr="005F2829">
        <w:t xml:space="preserve">[6] </w:t>
      </w:r>
      <w:r w:rsidRPr="005F2829">
        <w:tab/>
        <w:t>Hellı́n CJ, Olmedo AA, Valledor A, Gómez J, López-Benı́tez M, Tayebi A 2024. Unraveling the impact of class imbalance on deep-learning models for medical image classification. Applied Sciences.14:3419</w:t>
      </w:r>
    </w:p>
    <w:p w14:paraId="2CC0A09B" w14:textId="77777777" w:rsidR="0055206D" w:rsidRPr="005F2829" w:rsidRDefault="00000000">
      <w:pPr>
        <w:pStyle w:val="a9"/>
      </w:pPr>
      <w:bookmarkStart w:id="126" w:name="ref-hollmann2025accurate"/>
      <w:bookmarkEnd w:id="125"/>
      <w:r w:rsidRPr="005F2829">
        <w:t xml:space="preserve">[7] </w:t>
      </w:r>
      <w:r w:rsidRPr="005F2829">
        <w:tab/>
        <w:t>Hollmann N, Müller S, Purucker L, Krishnakumar A, Körfer M, Hoo SB, Schirrmeister RT, Hutter F 2025. Accurate predictions on small data with a tabular foundation model. Nature.637:319–326</w:t>
      </w:r>
    </w:p>
    <w:p w14:paraId="74DE2A7B" w14:textId="77777777" w:rsidR="0055206D" w:rsidRPr="005F2829" w:rsidRDefault="00000000">
      <w:pPr>
        <w:pStyle w:val="a9"/>
      </w:pPr>
      <w:bookmarkStart w:id="127" w:name="ref-pan2010domain"/>
      <w:bookmarkEnd w:id="126"/>
      <w:r w:rsidRPr="005F2829">
        <w:t xml:space="preserve">[8] </w:t>
      </w:r>
      <w:r w:rsidRPr="005F2829">
        <w:tab/>
        <w:t>Pan SJ, Tsang IW, Kwok JT, Yang Q 2010. Domain adaptation via transfer component analysis. IEEE transactions on neural networks.22:199–210</w:t>
      </w:r>
    </w:p>
    <w:p w14:paraId="0A10982A" w14:textId="77777777" w:rsidR="0055206D" w:rsidRPr="005F2829" w:rsidRDefault="00000000">
      <w:pPr>
        <w:pStyle w:val="a9"/>
      </w:pPr>
      <w:bookmarkStart w:id="128" w:name="ref-chen2016xgboost"/>
      <w:bookmarkEnd w:id="127"/>
      <w:r w:rsidRPr="005F2829">
        <w:t xml:space="preserve">[9] </w:t>
      </w:r>
      <w:r w:rsidRPr="005F2829">
        <w:tab/>
        <w:t>Chen T, Guestrin C 2016. Xgboost: A scalable tree boosting system. Proceedings of the 22nd acm sigkdd international conference on knowledge discovery and data mining.785–794</w:t>
      </w:r>
    </w:p>
    <w:p w14:paraId="39AA30E4" w14:textId="77777777" w:rsidR="0055206D" w:rsidRPr="005F2829" w:rsidRDefault="00000000">
      <w:pPr>
        <w:pStyle w:val="a9"/>
      </w:pPr>
      <w:bookmarkStart w:id="129" w:name="ref-friedman2001greedy"/>
      <w:bookmarkEnd w:id="128"/>
      <w:r w:rsidRPr="005F2829">
        <w:t xml:space="preserve">[10] </w:t>
      </w:r>
      <w:r w:rsidRPr="005F2829">
        <w:tab/>
        <w:t>Friedman JH 2001. Greedy function approximation: A gradient boosting machine. Annals of statistics.1189–1232</w:t>
      </w:r>
    </w:p>
    <w:p w14:paraId="5122660E" w14:textId="77777777" w:rsidR="0055206D" w:rsidRPr="005F2829" w:rsidRDefault="00000000">
      <w:pPr>
        <w:pStyle w:val="a9"/>
      </w:pPr>
      <w:bookmarkStart w:id="130" w:name="ref-arik2021tabnet"/>
      <w:bookmarkEnd w:id="129"/>
      <w:r w:rsidRPr="005F2829">
        <w:lastRenderedPageBreak/>
        <w:t xml:space="preserve">[11] </w:t>
      </w:r>
      <w:r w:rsidRPr="005F2829">
        <w:tab/>
        <w:t>Arik SO, Pfister T 2021. TabNet: Attentive interpretable tabular learning. Proceedings of the AAAI conference on artificial intelligence.35:6679–6687</w:t>
      </w:r>
    </w:p>
    <w:p w14:paraId="2FB20F03" w14:textId="77777777" w:rsidR="0055206D" w:rsidRPr="005F2829" w:rsidRDefault="00000000">
      <w:pPr>
        <w:pStyle w:val="a9"/>
      </w:pPr>
      <w:bookmarkStart w:id="131" w:name="ref-huang2020tabtransformer"/>
      <w:bookmarkEnd w:id="130"/>
      <w:r w:rsidRPr="005F2829">
        <w:t xml:space="preserve">[12] </w:t>
      </w:r>
      <w:r w:rsidRPr="005F2829">
        <w:tab/>
        <w:t>Huang X, Khetan A, Cvitkovic M, Karnin Z 2020. TabTransformer: Tabular data modeling using contextual embeddings. Advances in neural information processing systems.33:14914–14925</w:t>
      </w:r>
    </w:p>
    <w:p w14:paraId="5CF6BD74" w14:textId="77777777" w:rsidR="0055206D" w:rsidRPr="005F2829" w:rsidRDefault="00000000">
      <w:pPr>
        <w:pStyle w:val="a9"/>
      </w:pPr>
      <w:bookmarkStart w:id="132" w:name="ref-somepalli2021saint"/>
      <w:bookmarkEnd w:id="131"/>
      <w:r w:rsidRPr="005F2829">
        <w:t xml:space="preserve">[13] </w:t>
      </w:r>
      <w:r w:rsidRPr="005F2829">
        <w:tab/>
        <w:t>Somepalli G, Goldblum M, Schwarzschild A, Bruss CB, Goldstein T 2021. Saint: Improved neural networks for tabular data via row attention and contrastive pre-training. arXiv preprint arXiv:2106.01342.</w:t>
      </w:r>
    </w:p>
    <w:p w14:paraId="00CF0368" w14:textId="77777777" w:rsidR="0055206D" w:rsidRPr="005F2829" w:rsidRDefault="00000000">
      <w:pPr>
        <w:pStyle w:val="a9"/>
      </w:pPr>
      <w:bookmarkStart w:id="133" w:name="ref-luo2021fsda"/>
      <w:bookmarkEnd w:id="132"/>
      <w:r w:rsidRPr="005F2829">
        <w:t xml:space="preserve">[14] </w:t>
      </w:r>
      <w:r w:rsidRPr="005F2829">
        <w:tab/>
        <w:t xml:space="preserve">Luo T, Zhang Z, Kwok J 2021. Informative feature selection for domain adaptation. </w:t>
      </w:r>
    </w:p>
    <w:p w14:paraId="20C24E5A" w14:textId="77777777" w:rsidR="0055206D" w:rsidRPr="005F2829" w:rsidRDefault="00000000">
      <w:pPr>
        <w:pStyle w:val="a9"/>
      </w:pPr>
      <w:bookmarkStart w:id="134" w:name="ref-sun2019informative"/>
      <w:bookmarkEnd w:id="133"/>
      <w:r w:rsidRPr="005F2829">
        <w:t xml:space="preserve">[15] </w:t>
      </w:r>
      <w:r w:rsidRPr="005F2829">
        <w:tab/>
        <w:t>Sun F, Wu H, Luo Z, Gu W, Yan Y, Du Q 2019. Informative feature selection for domain adaptation. IEEE Access.7:142551–142563</w:t>
      </w:r>
    </w:p>
    <w:p w14:paraId="5944948F" w14:textId="77777777" w:rsidR="0055206D" w:rsidRPr="005F2829" w:rsidRDefault="00000000">
      <w:pPr>
        <w:pStyle w:val="a9"/>
      </w:pPr>
      <w:bookmarkStart w:id="135" w:name="ref-musa2025addressing"/>
      <w:bookmarkEnd w:id="134"/>
      <w:r w:rsidRPr="005F2829">
        <w:t xml:space="preserve">[16] </w:t>
      </w:r>
      <w:r w:rsidRPr="005F2829">
        <w:tab/>
        <w:t>Musa A, Prasad R, Hernandez M 2025. Addressing cross-population domain shift in chest x-ray classification through supervised adversarial domain adaptation. Scientific Reports.15:11383</w:t>
      </w:r>
    </w:p>
    <w:p w14:paraId="37040A54" w14:textId="77777777" w:rsidR="0055206D" w:rsidRPr="005F2829" w:rsidRDefault="00000000">
      <w:pPr>
        <w:pStyle w:val="a9"/>
      </w:pPr>
      <w:bookmarkStart w:id="136" w:name="ref-schneider2024foundation"/>
      <w:bookmarkEnd w:id="135"/>
      <w:r w:rsidRPr="005F2829">
        <w:t xml:space="preserve">[17] </w:t>
      </w:r>
      <w:r w:rsidRPr="005F2829">
        <w:tab/>
        <w:t>Schneider J, Meske C, Kuss P 2024. Foundation models: A new paradigm for artificial intelligence. Business &amp; Information Systems Engineering.66:221–231</w:t>
      </w:r>
    </w:p>
    <w:p w14:paraId="310D089D" w14:textId="77777777" w:rsidR="0055206D" w:rsidRPr="005F2829" w:rsidRDefault="00000000">
      <w:pPr>
        <w:pStyle w:val="a9"/>
      </w:pPr>
      <w:bookmarkStart w:id="137" w:name="ref-bommasani2021opportunities"/>
      <w:bookmarkEnd w:id="136"/>
      <w:r w:rsidRPr="005F2829">
        <w:t xml:space="preserve">[18] </w:t>
      </w:r>
      <w:r w:rsidRPr="005F2829">
        <w:tab/>
        <w:t>Bommasani R, Hudson DA, Adeli E, al. et 2021. On the opportunities and risks of foundation models. arXiv preprint arXiv:2108.07258.</w:t>
      </w:r>
    </w:p>
    <w:p w14:paraId="5C104F8B" w14:textId="77777777" w:rsidR="0055206D" w:rsidRPr="005F2829" w:rsidRDefault="00000000">
      <w:pPr>
        <w:pStyle w:val="a9"/>
      </w:pPr>
      <w:bookmarkStart w:id="138" w:name="ref-guyon2002gene"/>
      <w:bookmarkEnd w:id="137"/>
      <w:r w:rsidRPr="005F2829">
        <w:t xml:space="preserve">[19] </w:t>
      </w:r>
      <w:r w:rsidRPr="005F2829">
        <w:tab/>
        <w:t>Guyon I, Weston J, Barnhill S, Vapnik V 2002. Gene selection for cancer classification using support vector machines. Machine learning.46:389–422</w:t>
      </w:r>
    </w:p>
    <w:p w14:paraId="78C85F89" w14:textId="77777777" w:rsidR="0055206D" w:rsidRPr="005F2829" w:rsidRDefault="00000000">
      <w:pPr>
        <w:pStyle w:val="a9"/>
      </w:pPr>
      <w:bookmarkStart w:id="139" w:name="ref-chen2023graph"/>
      <w:bookmarkEnd w:id="138"/>
      <w:r w:rsidRPr="005F2829">
        <w:t xml:space="preserve">[20] </w:t>
      </w:r>
      <w:r w:rsidRPr="005F2829">
        <w:tab/>
        <w:t>Chen C, Weiss ST, Liu Y-Y 2023. Graph convolutional network-based feature selection for high-dimensional and low-sample size data. Bioinformatics.39:btad135</w:t>
      </w:r>
    </w:p>
    <w:p w14:paraId="3A05F505" w14:textId="77777777" w:rsidR="0055206D" w:rsidRPr="005F2829" w:rsidRDefault="00000000">
      <w:pPr>
        <w:pStyle w:val="a9"/>
      </w:pPr>
      <w:bookmarkStart w:id="140" w:name="ref-liu2022deepfs"/>
      <w:bookmarkEnd w:id="139"/>
      <w:r w:rsidRPr="005F2829">
        <w:t xml:space="preserve">[21] </w:t>
      </w:r>
      <w:r w:rsidRPr="005F2829">
        <w:tab/>
        <w:t>Liu X, Wu D, Cao W, Cai J 2022. Deep feature screening: Feature selection for ultra high-dimensional data via deep neural networks. Neurocomputing.488:36–47</w:t>
      </w:r>
      <w:bookmarkEnd w:id="118"/>
      <w:bookmarkEnd w:id="120"/>
      <w:bookmarkEnd w:id="140"/>
    </w:p>
    <w:sectPr w:rsidR="0055206D" w:rsidRPr="005F2829">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B0B1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5E5A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CD0B3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70CD2DE"/>
    <w:multiLevelType w:val="multilevel"/>
    <w:tmpl w:val="DAB4A6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92095618">
    <w:abstractNumId w:val="3"/>
  </w:num>
  <w:num w:numId="2" w16cid:durableId="1869291725">
    <w:abstractNumId w:val="0"/>
  </w:num>
  <w:num w:numId="3" w16cid:durableId="2105496315">
    <w:abstractNumId w:val="1"/>
  </w:num>
  <w:num w:numId="4" w16cid:durableId="1927493926">
    <w:abstractNumId w:val="1"/>
  </w:num>
  <w:num w:numId="5" w16cid:durableId="1663896678">
    <w:abstractNumId w:val="1"/>
  </w:num>
  <w:num w:numId="6" w16cid:durableId="826283650">
    <w:abstractNumId w:val="1"/>
  </w:num>
  <w:num w:numId="7" w16cid:durableId="136185592">
    <w:abstractNumId w:val="1"/>
  </w:num>
  <w:num w:numId="8" w16cid:durableId="32659583">
    <w:abstractNumId w:val="1"/>
  </w:num>
  <w:num w:numId="9" w16cid:durableId="76636437">
    <w:abstractNumId w:val="1"/>
  </w:num>
  <w:num w:numId="10" w16cid:durableId="1909412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7789930">
    <w:abstractNumId w:val="1"/>
  </w:num>
  <w:num w:numId="12" w16cid:durableId="111217060">
    <w:abstractNumId w:val="1"/>
  </w:num>
  <w:num w:numId="13" w16cid:durableId="73665783">
    <w:abstractNumId w:val="1"/>
  </w:num>
  <w:num w:numId="14" w16cid:durableId="232544347">
    <w:abstractNumId w:val="1"/>
  </w:num>
  <w:num w:numId="15" w16cid:durableId="167406490">
    <w:abstractNumId w:val="1"/>
  </w:num>
  <w:num w:numId="16" w16cid:durableId="1884562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A44F0"/>
    <w:rsid w:val="000672B5"/>
    <w:rsid w:val="000F2A29"/>
    <w:rsid w:val="00226CA0"/>
    <w:rsid w:val="002F2F0A"/>
    <w:rsid w:val="004E1341"/>
    <w:rsid w:val="0055206D"/>
    <w:rsid w:val="005B519B"/>
    <w:rsid w:val="005F2829"/>
    <w:rsid w:val="006A44F0"/>
    <w:rsid w:val="007A63DB"/>
    <w:rsid w:val="007B7AE9"/>
    <w:rsid w:val="007E31DB"/>
    <w:rsid w:val="008942F4"/>
    <w:rsid w:val="00DA021B"/>
    <w:rsid w:val="00F33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FA3262"/>
  <w15:docId w15:val="{8EC49DC5-6B39-E34A-BC82-3EBA384E9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E1341"/>
    <w:rPr>
      <w:rFonts w:ascii="Times New Roman" w:eastAsia="Times New Roman" w:hAnsi="Times New Roman" w:cs="Times New Roman"/>
      <w:color w:val="000000" w:themeColor="text1"/>
    </w:rPr>
  </w:style>
  <w:style w:type="paragraph" w:styleId="1">
    <w:name w:val="heading 1"/>
    <w:basedOn w:val="a"/>
    <w:next w:val="a0"/>
    <w:link w:val="10"/>
    <w:autoRedefine/>
    <w:uiPriority w:val="9"/>
    <w:qFormat/>
    <w:rsid w:val="000672B5"/>
    <w:pPr>
      <w:keepNext/>
      <w:keepLines/>
      <w:spacing w:before="360" w:after="80"/>
      <w:outlineLvl w:val="0"/>
    </w:pPr>
    <w:rPr>
      <w:sz w:val="56"/>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autoRedefine/>
    <w:qFormat/>
    <w:rsid w:val="004E1341"/>
    <w:pPr>
      <w:spacing w:before="180" w:after="180"/>
    </w:pPr>
  </w:style>
  <w:style w:type="paragraph" w:customStyle="1" w:styleId="FirstParagraph">
    <w:name w:val="First Paragraph"/>
    <w:basedOn w:val="a0"/>
    <w:next w:val="a0"/>
    <w:qFormat/>
    <w:rsid w:val="004E1341"/>
  </w:style>
  <w:style w:type="paragraph" w:customStyle="1" w:styleId="Compact">
    <w:name w:val="Compact"/>
    <w:basedOn w:val="a0"/>
    <w:autoRedefine/>
    <w:qFormat/>
    <w:rsid w:val="004E1341"/>
    <w:pPr>
      <w:spacing w:before="36" w:after="36"/>
    </w:pPr>
  </w:style>
  <w:style w:type="paragraph" w:styleId="a4">
    <w:name w:val="Title"/>
    <w:basedOn w:val="a"/>
    <w:next w:val="a0"/>
    <w:link w:val="a5"/>
    <w:autoRedefine/>
    <w:uiPriority w:val="10"/>
    <w:qFormat/>
    <w:rsid w:val="004E1341"/>
    <w:pPr>
      <w:spacing w:after="80"/>
      <w:contextualSpacing/>
      <w:jc w:val="center"/>
    </w:pPr>
    <w:rPr>
      <w:sz w:val="56"/>
      <w:szCs w:val="56"/>
    </w:rPr>
  </w:style>
  <w:style w:type="character" w:customStyle="1" w:styleId="a5">
    <w:name w:val="标题 字符"/>
    <w:basedOn w:val="a1"/>
    <w:link w:val="a4"/>
    <w:uiPriority w:val="10"/>
    <w:rsid w:val="004E1341"/>
    <w:rPr>
      <w:rFonts w:ascii="Times New Roman" w:eastAsia="Times New Roman" w:hAnsi="Times New Roman" w:cs="Times New Roman"/>
      <w:color w:val="000000" w:themeColor="text1"/>
      <w:sz w:val="56"/>
      <w:szCs w:val="56"/>
    </w:rPr>
  </w:style>
  <w:style w:type="paragraph" w:styleId="a6">
    <w:name w:val="Subtitle"/>
    <w:basedOn w:val="a4"/>
    <w:next w:val="a0"/>
    <w:link w:val="a7"/>
    <w:autoRedefine/>
    <w:uiPriority w:val="11"/>
    <w:qFormat/>
    <w:rsid w:val="004E1341"/>
    <w:pPr>
      <w:numPr>
        <w:ilvl w:val="1"/>
      </w:numPr>
    </w:pPr>
    <w:rPr>
      <w:spacing w:val="15"/>
      <w:sz w:val="28"/>
      <w:szCs w:val="28"/>
    </w:rPr>
  </w:style>
  <w:style w:type="character" w:customStyle="1" w:styleId="a7">
    <w:name w:val="副标题 字符"/>
    <w:basedOn w:val="a1"/>
    <w:link w:val="a6"/>
    <w:uiPriority w:val="11"/>
    <w:rsid w:val="004E1341"/>
    <w:rPr>
      <w:rFonts w:ascii="Times New Roman" w:eastAsia="Times New Roman" w:hAnsi="Times New Roman" w:cs="Times New Roman"/>
      <w:color w:val="000000" w:themeColor="text1"/>
      <w:spacing w:val="15"/>
      <w:sz w:val="28"/>
      <w:szCs w:val="28"/>
    </w:rPr>
  </w:style>
  <w:style w:type="paragraph" w:customStyle="1" w:styleId="Author">
    <w:name w:val="Author"/>
    <w:basedOn w:val="a4"/>
    <w:next w:val="a0"/>
    <w:autoRedefine/>
    <w:qFormat/>
    <w:rsid w:val="007B7AE9"/>
    <w:pPr>
      <w:keepNext/>
      <w:keepLines/>
    </w:pPr>
    <w:rPr>
      <w:sz w:val="24"/>
      <w:szCs w:val="24"/>
    </w:rPr>
  </w:style>
  <w:style w:type="paragraph" w:styleId="a8">
    <w:name w:val="Date"/>
    <w:basedOn w:val="a4"/>
    <w:next w:val="a0"/>
    <w:autoRedefine/>
    <w:qFormat/>
    <w:rsid w:val="004E1341"/>
    <w:pPr>
      <w:keepNext/>
      <w:keepLines/>
    </w:pPr>
    <w:rPr>
      <w:sz w:val="24"/>
      <w:szCs w:val="24"/>
    </w:rPr>
  </w:style>
  <w:style w:type="paragraph" w:customStyle="1" w:styleId="AbstractTitle">
    <w:name w:val="Abstract Title"/>
    <w:basedOn w:val="a"/>
    <w:next w:val="Abstract"/>
    <w:autoRedefine/>
    <w:qFormat/>
    <w:rsid w:val="007B7AE9"/>
    <w:pPr>
      <w:keepNext/>
      <w:keepLines/>
      <w:spacing w:before="300" w:after="0"/>
      <w:jc w:val="center"/>
    </w:pPr>
    <w:rPr>
      <w:b/>
      <w:sz w:val="20"/>
      <w:szCs w:val="20"/>
    </w:rPr>
  </w:style>
  <w:style w:type="paragraph" w:customStyle="1" w:styleId="Abstract">
    <w:name w:val="Abstract"/>
    <w:basedOn w:val="a"/>
    <w:next w:val="a0"/>
    <w:autoRedefine/>
    <w:qFormat/>
    <w:rsid w:val="007B7AE9"/>
    <w:pPr>
      <w:keepNext/>
      <w:keepLines/>
      <w:spacing w:before="100" w:after="300"/>
    </w:pPr>
    <w:rPr>
      <w:sz w:val="20"/>
      <w:szCs w:val="20"/>
    </w:rPr>
  </w:style>
  <w:style w:type="paragraph" w:styleId="a9">
    <w:name w:val="Bibliography"/>
    <w:basedOn w:val="a"/>
    <w:autoRedefine/>
    <w:qFormat/>
    <w:rsid w:val="004E1341"/>
  </w:style>
  <w:style w:type="character" w:customStyle="1" w:styleId="10">
    <w:name w:val="标题 1 字符"/>
    <w:basedOn w:val="a1"/>
    <w:link w:val="1"/>
    <w:uiPriority w:val="9"/>
    <w:rsid w:val="000672B5"/>
    <w:rPr>
      <w:rFonts w:ascii="Times New Roman" w:eastAsia="Times New Roman" w:hAnsi="Times New Roman" w:cs="Times New Roman"/>
      <w:color w:val="000000" w:themeColor="text1"/>
      <w:sz w:val="56"/>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autoRedefine/>
    <w:uiPriority w:val="9"/>
    <w:unhideWhenUsed/>
    <w:qFormat/>
    <w:rsid w:val="004E1341"/>
    <w:pPr>
      <w:spacing w:before="100" w:after="100"/>
      <w:ind w:left="480" w:right="480"/>
    </w:pPr>
  </w:style>
  <w:style w:type="paragraph" w:styleId="ab">
    <w:name w:val="footnote text"/>
    <w:basedOn w:val="a"/>
    <w:autoRedefine/>
    <w:uiPriority w:val="9"/>
    <w:unhideWhenUsed/>
    <w:qFormat/>
    <w:rsid w:val="004E1341"/>
  </w:style>
  <w:style w:type="paragraph" w:customStyle="1" w:styleId="FootnoteBlockText">
    <w:name w:val="Footnote Block Text"/>
    <w:basedOn w:val="ab"/>
    <w:next w:val="ab"/>
    <w:autoRedefine/>
    <w:uiPriority w:val="9"/>
    <w:unhideWhenUsed/>
    <w:qFormat/>
    <w:rsid w:val="004E1341"/>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autoRedefine/>
    <w:uiPriority w:val="39"/>
    <w:unhideWhenUsed/>
    <w:qFormat/>
    <w:rsid w:val="007E31DB"/>
    <w:pPr>
      <w:spacing w:before="240" w:line="259" w:lineRule="auto"/>
      <w:outlineLvl w:val="9"/>
    </w:p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40</Pages>
  <Words>12203</Words>
  <Characters>69559</Characters>
  <Application>Microsoft Office Word</Application>
  <DocSecurity>0</DocSecurity>
  <Lines>579</Lines>
  <Paragraphs>163</Paragraphs>
  <ScaleCrop>false</ScaleCrop>
  <Company/>
  <LinksUpToDate>false</LinksUpToDate>
  <CharactersWithSpaces>81599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PANDA: Pretrained Adaptation Network with Domain Alignment for Feature-Efficient Cross-Hospital Pulmonary Nodule Classification</dc:title>
  <dc:creator>Qingyuan Liu1</dc:creator>
  <cp:keywords/>
  <cp:lastModifiedBy>Qingyuan Liu</cp:lastModifiedBy>
  <cp:revision>3</cp:revision>
  <dcterms:created xsi:type="dcterms:W3CDTF">2025-11-19T08:14:00Z</dcterms:created>
  <dcterms:modified xsi:type="dcterms:W3CDTF">2025-11-19T08:22:00Z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Fragmented hospital silos, privacy constraints, and disease rarity often leave medical AI systems with small, imbalanced, and heterogeneous tabular cohorts, making naïvely trained models brittle when deployed across institutions. We tackle these limitations with PANDA (Pretrained Adaptation Network with Domain Alignment), a cross-hospital framework that fuses tabular foundation modeling, feature-efficient learning, and unsupervised domain adaptation. PANDA leverages a TabPFN-style Transformer encoder that has been meta-trained on millions of synthetic tables to capture high-order interactions that routinely elude gradient-boosting ensembles under low-sample regimes. A cross-cohort recursive feature elimination (RFE) stage ranks biomarkers using the foundation model itself and retains the eight variables that remain predictive in textitboth hospitals, limiting data-collection burden while enforcing stability and interpretability. To bridge inter-hospital distribution gaps we embed Transfer Component Analysis (TCA) into the training loop, projecting source and target cohorts into a shared latent space before decoding predictions. This tight integration of self-attention representations, RFE-pruned features, and TCA reduces covariate shift, stabilizes decision boundaries under class imbalance, and yields compact saliency-ranked feature sets obtained via cross-cohort RFE so that the retained eight variables stay predictive even when local rankings differ between hospitals. Evaluated on structured lung nodule datasets from two hospitals (295 training patients vs. 190 external patients), PANDA boosts AUC and sensitivity over purely supervised and non-adaptive baselines, confirming that foundation-model priors plus statistical alignment deliver reliable generalization. Beyond pulmonary oncology, PANDA demonstrates how tabular foundation models combined with feature-efficient domain alignment can translate to broader small-sample, cross-domain classification problems in healthcare and other regulated industries.</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bibliography">
    <vt:lpwstr>refs.bib</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False</vt:lpwstr>
  </property>
  <property fmtid="{D5CDD505-2E9C-101B-9397-08002B2CF9AE}" pid="11" name="chaptersDepth">
    <vt:lpwstr>1</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csl">
    <vt:lpwstr>numeric.csl</vt:lpwstr>
  </property>
  <property fmtid="{D5CDD505-2E9C-101B-9397-08002B2CF9AE}" pid="16" name="date">
    <vt:lpwstr> 1Department of Computing, The Hong Kong Polytechnic University, Hong Kong SAR, China </vt:lpwstr>
  </property>
  <property fmtid="{D5CDD505-2E9C-101B-9397-08002B2CF9AE}" pid="17" name="eqLabels">
    <vt:lpwstr>arabic</vt:lpwstr>
  </property>
  <property fmtid="{D5CDD505-2E9C-101B-9397-08002B2CF9AE}" pid="18" name="eqnBlockInlineMath">
    <vt:lpwstr>False</vt:lpwstr>
  </property>
  <property fmtid="{D5CDD505-2E9C-101B-9397-08002B2CF9AE}" pid="19" name="eqnBlockTemplate">
    <vt:lpwstr>ti</vt:lpwstr>
  </property>
  <property fmtid="{D5CDD505-2E9C-101B-9397-08002B2CF9AE}" pid="20" name="eqnDisplayTemplate">
    <vt:lpwstr>e</vt:lpwstr>
  </property>
  <property fmtid="{D5CDD505-2E9C-101B-9397-08002B2CF9AE}" pid="21" name="eqnIndexTemplate">
    <vt:lpwstr>(i)</vt:lpwstr>
  </property>
  <property fmtid="{D5CDD505-2E9C-101B-9397-08002B2CF9AE}" pid="22" name="eqnInlineTableTemplate">
    <vt:lpwstr>e</vt:lpwstr>
  </property>
  <property fmtid="{D5CDD505-2E9C-101B-9397-08002B2CF9AE}" pid="23" name="eqnInlineTemplate">
    <vt:lpwstr>eequationNumberTeX{i}</vt:lpwstr>
  </property>
  <property fmtid="{D5CDD505-2E9C-101B-9397-08002B2CF9AE}" pid="24" name="eqnPrefix">
    <vt:lpwstr/>
  </property>
  <property fmtid="{D5CDD505-2E9C-101B-9397-08002B2CF9AE}" pid="25" name="eqnPrefixTemplate">
    <vt:lpwstr>p i</vt:lpwstr>
  </property>
  <property fmtid="{D5CDD505-2E9C-101B-9397-08002B2CF9AE}" pid="26" name="equationNumberTeX">
    <vt:lpwstr>\qquad</vt:lpwstr>
  </property>
  <property fmtid="{D5CDD505-2E9C-101B-9397-08002B2CF9AE}" pid="27" name="figLabels">
    <vt:lpwstr>arabic</vt:lpwstr>
  </property>
  <property fmtid="{D5CDD505-2E9C-101B-9397-08002B2CF9AE}" pid="28" name="figPrefix">
    <vt:lpwstr/>
  </property>
  <property fmtid="{D5CDD505-2E9C-101B-9397-08002B2CF9AE}" pid="29" name="figPrefixTemplate">
    <vt:lpwstr>p i</vt:lpwstr>
  </property>
  <property fmtid="{D5CDD505-2E9C-101B-9397-08002B2CF9AE}" pid="30" name="figureTemplate">
    <vt:lpwstr>figureTitle ititleDelim t</vt:lpwstr>
  </property>
  <property fmtid="{D5CDD505-2E9C-101B-9397-08002B2CF9AE}" pid="31" name="figureTitle">
    <vt:lpwstr>Figure</vt:lpwstr>
  </property>
  <property fmtid="{D5CDD505-2E9C-101B-9397-08002B2CF9AE}" pid="32" name="lastDelim">
    <vt:lpwstr>, </vt:lpwstr>
  </property>
  <property fmtid="{D5CDD505-2E9C-101B-9397-08002B2CF9AE}" pid="33" name="link-bibliography">
    <vt:lpwstr>True</vt:lpwstr>
  </property>
  <property fmtid="{D5CDD505-2E9C-101B-9397-08002B2CF9AE}" pid="34" name="link-citations">
    <vt:lpwstr>True</vt:lpwstr>
  </property>
  <property fmtid="{D5CDD505-2E9C-101B-9397-08002B2CF9AE}" pid="35" name="linkReferences">
    <vt:lpwstr>False</vt:lpwstr>
  </property>
  <property fmtid="{D5CDD505-2E9C-101B-9397-08002B2CF9AE}" pid="36" name="listItemTitleDelim">
    <vt:lpwstr>.</vt:lpwstr>
  </property>
  <property fmtid="{D5CDD505-2E9C-101B-9397-08002B2CF9AE}" pid="37" name="listOfMetadata">
    <vt:lpwstr>False</vt:lpwstr>
  </property>
  <property fmtid="{D5CDD505-2E9C-101B-9397-08002B2CF9AE}" pid="38" name="listingTemplate">
    <vt:lpwstr>listingTitle ititleDelim t</vt:lpwstr>
  </property>
  <property fmtid="{D5CDD505-2E9C-101B-9397-08002B2CF9AE}" pid="39" name="listingTitle">
    <vt:lpwstr>Listing</vt:lpwstr>
  </property>
  <property fmtid="{D5CDD505-2E9C-101B-9397-08002B2CF9AE}" pid="40" name="listings">
    <vt:lpwstr>False</vt:lpwstr>
  </property>
  <property fmtid="{D5CDD505-2E9C-101B-9397-08002B2CF9AE}" pid="41" name="lofItemTemplate">
    <vt:lpwstr>lofItemTitleilistItemTitleDelimt </vt:lpwstr>
  </property>
  <property fmtid="{D5CDD505-2E9C-101B-9397-08002B2CF9AE}" pid="42" name="lofItemTitle">
    <vt:lpwstr/>
  </property>
  <property fmtid="{D5CDD505-2E9C-101B-9397-08002B2CF9AE}" pid="43" name="lofTitle">
    <vt:lpwstr>List of Figures</vt:lpwstr>
  </property>
  <property fmtid="{D5CDD505-2E9C-101B-9397-08002B2CF9AE}" pid="44" name="lolItemTemplate">
    <vt:lpwstr>lolItemTitleilistItemTitleDelimt </vt:lpwstr>
  </property>
  <property fmtid="{D5CDD505-2E9C-101B-9397-08002B2CF9AE}" pid="45" name="lolItemTitle">
    <vt:lpwstr/>
  </property>
  <property fmtid="{D5CDD505-2E9C-101B-9397-08002B2CF9AE}" pid="46" name="lolTitle">
    <vt:lpwstr>List of Listings</vt:lpwstr>
  </property>
  <property fmtid="{D5CDD505-2E9C-101B-9397-08002B2CF9AE}" pid="47" name="lotItemTemplate">
    <vt:lpwstr>lotItemTitleilistItemTitleDelimt </vt:lpwstr>
  </property>
  <property fmtid="{D5CDD505-2E9C-101B-9397-08002B2CF9AE}" pid="48" name="lotItemTitle">
    <vt:lpwstr/>
  </property>
  <property fmtid="{D5CDD505-2E9C-101B-9397-08002B2CF9AE}" pid="49" name="lotTitle">
    <vt:lpwstr>List of Tables</vt:lpwstr>
  </property>
  <property fmtid="{D5CDD505-2E9C-101B-9397-08002B2CF9AE}" pid="50" name="lstLabels">
    <vt:lpwstr>arabic</vt:lpwstr>
  </property>
  <property fmtid="{D5CDD505-2E9C-101B-9397-08002B2CF9AE}" pid="51" name="lstPrefix">
    <vt:lpwstr/>
  </property>
  <property fmtid="{D5CDD505-2E9C-101B-9397-08002B2CF9AE}" pid="52" name="lstPrefixTemplate">
    <vt:lpwstr>p i</vt:lpwstr>
  </property>
  <property fmtid="{D5CDD505-2E9C-101B-9397-08002B2CF9AE}" pid="53" name="nameInLink">
    <vt:lpwstr>False</vt:lpwstr>
  </property>
  <property fmtid="{D5CDD505-2E9C-101B-9397-08002B2CF9AE}" pid="54" name="numberSections">
    <vt:lpwstr>False</vt:lpwstr>
  </property>
  <property fmtid="{D5CDD505-2E9C-101B-9397-08002B2CF9AE}" pid="55" name="pairDelim">
    <vt:lpwstr>, </vt:lpwstr>
  </property>
  <property fmtid="{D5CDD505-2E9C-101B-9397-08002B2CF9AE}" pid="56" name="rangeDelim">
    <vt:lpwstr>-</vt:lpwstr>
  </property>
  <property fmtid="{D5CDD505-2E9C-101B-9397-08002B2CF9AE}" pid="57" name="refDelim">
    <vt:lpwstr>, </vt:lpwstr>
  </property>
  <property fmtid="{D5CDD505-2E9C-101B-9397-08002B2CF9AE}" pid="58" name="refIndexTemplate">
    <vt:lpwstr>isuf</vt:lpwstr>
  </property>
  <property fmtid="{D5CDD505-2E9C-101B-9397-08002B2CF9AE}" pid="59" name="secHeaderDelim">
    <vt:lpwstr> </vt:lpwstr>
  </property>
  <property fmtid="{D5CDD505-2E9C-101B-9397-08002B2CF9AE}" pid="60" name="secHeaderTemplate">
    <vt:lpwstr>isecHeaderDelim[n]t</vt:lpwstr>
  </property>
  <property fmtid="{D5CDD505-2E9C-101B-9397-08002B2CF9AE}" pid="61" name="secLabels">
    <vt:lpwstr>arabic</vt:lpwstr>
  </property>
  <property fmtid="{D5CDD505-2E9C-101B-9397-08002B2CF9AE}" pid="62" name="secPrefix">
    <vt:lpwstr/>
  </property>
  <property fmtid="{D5CDD505-2E9C-101B-9397-08002B2CF9AE}" pid="63" name="secPrefixTemplate">
    <vt:lpwstr>p i</vt:lpwstr>
  </property>
  <property fmtid="{D5CDD505-2E9C-101B-9397-08002B2CF9AE}" pid="64" name="sectionsDepth">
    <vt:lpwstr>0</vt:lpwstr>
  </property>
  <property fmtid="{D5CDD505-2E9C-101B-9397-08002B2CF9AE}" pid="65" name="subfigGrid">
    <vt:lpwstr>False</vt:lpwstr>
  </property>
  <property fmtid="{D5CDD505-2E9C-101B-9397-08002B2CF9AE}" pid="66" name="subfigLabels">
    <vt:lpwstr>alpha a</vt:lpwstr>
  </property>
  <property fmtid="{D5CDD505-2E9C-101B-9397-08002B2CF9AE}" pid="67" name="subfigureChildTemplate">
    <vt:lpwstr>i</vt:lpwstr>
  </property>
  <property fmtid="{D5CDD505-2E9C-101B-9397-08002B2CF9AE}" pid="68" name="subfigureRefIndexTemplate">
    <vt:lpwstr>isuf (s)</vt:lpwstr>
  </property>
  <property fmtid="{D5CDD505-2E9C-101B-9397-08002B2CF9AE}" pid="69" name="subfigureTemplate">
    <vt:lpwstr>figureTitle ititleDelim t. ccs</vt:lpwstr>
  </property>
  <property fmtid="{D5CDD505-2E9C-101B-9397-08002B2CF9AE}" pid="70" name="tableEqns">
    <vt:lpwstr>False</vt:lpwstr>
  </property>
  <property fmtid="{D5CDD505-2E9C-101B-9397-08002B2CF9AE}" pid="71" name="tableTemplate">
    <vt:lpwstr>tableTitle ititleDelim t</vt:lpwstr>
  </property>
  <property fmtid="{D5CDD505-2E9C-101B-9397-08002B2CF9AE}" pid="72" name="tableTitle">
    <vt:lpwstr>Table</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ies>
</file>