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video1.bin" ContentType="application/vnd.openxmlformats-officedocument.oleObject"/>
  <Override PartName="/word/embeddings/video2.bin" ContentType="application/vnd.openxmlformats-officedocument.oleObject"/>
  <Override PartName="/word/embeddings/video3.bin" ContentType="application/vnd.openxmlformats-officedocument.oleObject"/>
  <Override PartName="/word/embeddings/video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758D2">
      <w:pPr>
        <w:pBdr>
          <w:bottom w:val="single" w:color="1F4E64" w:sz="10" w:space="4"/>
        </w:pBdr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1F4E64"/>
          <w:sz w:val="36"/>
        </w:rPr>
        <w:t>目前设计方案及工作</w:t>
      </w:r>
    </w:p>
    <w:p w14:paraId="13E7936C">
      <w:pPr>
        <w:pStyle w:val="3"/>
        <w:pBdr>
          <w:bottom w:val="single" w:color="B9C4CE" w:sz="8" w:space="4"/>
        </w:pBdr>
      </w:pPr>
      <w:r>
        <w:t>一、硬件选型</w:t>
      </w:r>
    </w:p>
    <w:p w14:paraId="22D71C1C">
      <w:pPr>
        <w:ind w:firstLine="420"/>
        <w:jc w:val="both"/>
      </w:pPr>
      <w:r>
        <w:rPr>
          <w:rFonts w:ascii="Times New Roman" w:hAnsi="Times New Roman" w:eastAsia="宋体"/>
          <w:sz w:val="21"/>
        </w:rPr>
        <w:t>硬件目前处于选型阶段，并行准备两套方案。两套方案的无线通信模块、手机 APP 与电机型号相同，差别在主控与驱动方式。</w:t>
      </w:r>
    </w:p>
    <w:p w14:paraId="506AF6CD">
      <w:pPr>
        <w:pStyle w:val="4"/>
      </w:pPr>
      <w:r>
        <w:t>（一）两方案共用的模块</w:t>
      </w:r>
    </w:p>
    <w:p w14:paraId="5C74769C">
      <w:pPr>
        <w:spacing w:after="40"/>
        <w:ind w:left="480" w:hanging="240"/>
        <w:jc w:val="both"/>
      </w:pPr>
      <w:r>
        <w:rPr>
          <w:rFonts w:ascii="Times New Roman" w:hAnsi="Times New Roman" w:eastAsia="宋体"/>
          <w:sz w:val="21"/>
        </w:rPr>
        <w:t>·　无线通信：HC-05 作为蓝牙连接模块，连接手机 APP。</w:t>
      </w:r>
    </w:p>
    <w:p w14:paraId="232FF16D">
      <w:pPr>
        <w:spacing w:after="40"/>
        <w:ind w:left="480" w:hanging="240"/>
        <w:jc w:val="both"/>
      </w:pPr>
      <w:r>
        <w:rPr>
          <w:rFonts w:ascii="Times New Roman" w:hAnsi="Times New Roman" w:eastAsia="宋体"/>
          <w:sz w:val="21"/>
        </w:rPr>
        <w:t>·　电机：选择 1503 无刷电机（7.4 V）。</w:t>
      </w:r>
    </w:p>
    <w:p w14:paraId="2878E5DB">
      <w:pPr>
        <w:ind w:firstLine="420"/>
        <w:jc w:val="both"/>
      </w:pPr>
      <w:r>
        <w:rPr>
          <w:rFonts w:ascii="Times New Roman" w:hAnsi="Times New Roman" w:eastAsia="宋体"/>
          <w:sz w:val="21"/>
        </w:rPr>
        <w:t>目前软件 APP 已设计好初步版本，界面如下。</w:t>
      </w:r>
    </w:p>
    <w:p w14:paraId="62072A87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2376000" cy="1080165"/>
            <wp:effectExtent l="0" t="0" r="1206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080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114300" distR="114300">
            <wp:extent cx="2376000" cy="1082595"/>
            <wp:effectExtent l="0" t="0" r="1206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0825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94F2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4104000" cy="1867450"/>
            <wp:effectExtent l="0" t="0" r="889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867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CE78">
      <w:pPr>
        <w:spacing w:before="0" w:after="160" w:line="240" w:lineRule="auto"/>
        <w:jc w:val="center"/>
      </w:pPr>
      <w:r>
        <w:rPr>
          <w:rFonts w:ascii="Times New Roman" w:hAnsi="Times New Roman" w:eastAsia="宋体"/>
          <w:color w:val="5B6670"/>
          <w:sz w:val="18"/>
        </w:rPr>
        <w:t>图 1　手机 APP 界面（控制页、连接页与连接状态页）</w:t>
      </w:r>
    </w:p>
    <w:p w14:paraId="7D1F19CB">
      <w:pPr>
        <w:pStyle w:val="4"/>
      </w:pPr>
      <w:r>
        <w:t>（二）方案一：STM32F103C8T6</w:t>
      </w:r>
    </w:p>
    <w:p w14:paraId="4897AA12">
      <w:pPr>
        <w:ind w:firstLine="420"/>
        <w:jc w:val="both"/>
      </w:pPr>
      <w:r>
        <w:rPr>
          <w:rFonts w:ascii="Times New Roman" w:hAnsi="Times New Roman" w:eastAsia="宋体"/>
          <w:sz w:val="21"/>
        </w:rPr>
        <w:t>使用 STM32F103C8T6 作为主控，主控上含有 IMU 模块 MPU6050、气压计模块 BMP280，主板使用 3.7–6.2 V 供电。该方案需要额外连接电调进行组装，</w:t>
      </w:r>
      <w:r>
        <w:rPr>
          <w:rFonts w:hint="eastAsia"/>
          <w:sz w:val="21"/>
          <w:lang w:val="en-US" w:eastAsia="zh-CN"/>
        </w:rPr>
        <w:t>电调</w:t>
      </w:r>
      <w:r>
        <w:rPr>
          <w:rFonts w:ascii="Times New Roman" w:hAnsi="Times New Roman" w:eastAsia="宋体"/>
          <w:sz w:val="21"/>
        </w:rPr>
        <w:t>可参考以下链接。</w:t>
      </w:r>
    </w:p>
    <w:p w14:paraId="3283EF83">
      <w:pPr>
        <w:spacing w:after="60"/>
        <w:ind w:left="420"/>
        <w:jc w:val="both"/>
      </w:pPr>
      <w:r>
        <w:rPr>
          <w:rFonts w:ascii="Times New Roman" w:hAnsi="Times New Roman" w:eastAsia="宋体"/>
          <w:sz w:val="19"/>
        </w:rPr>
        <w:t>1503 无人机无刷电机（航模 / 穿越机用）：</w:t>
      </w:r>
      <w:r>
        <w:rPr>
          <w:rFonts w:ascii="Consolas" w:hAnsi="Consolas" w:eastAsia="宋体"/>
          <w:color w:val="1F4E64"/>
          <w:sz w:val="19"/>
        </w:rPr>
        <w:t>https://e.tb.cn/h.jV7rWpibMtNKTb1?tk=rWDBTCL7Cau</w:t>
      </w:r>
    </w:p>
    <w:p w14:paraId="692122BD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1692000" cy="2257339"/>
            <wp:effectExtent l="0" t="0" r="1397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22573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2806">
      <w:pPr>
        <w:spacing w:before="0" w:after="160" w:line="240" w:lineRule="auto"/>
        <w:jc w:val="center"/>
      </w:pPr>
      <w:r>
        <w:rPr>
          <w:rFonts w:ascii="Times New Roman" w:hAnsi="Times New Roman" w:eastAsia="宋体"/>
          <w:color w:val="5B6670"/>
          <w:sz w:val="18"/>
        </w:rPr>
        <w:t>图 2　方案一主控板与 HC-05 模块</w:t>
      </w:r>
    </w:p>
    <w:p w14:paraId="08021A9E">
      <w:pPr>
        <w:ind w:firstLine="420"/>
        <w:jc w:val="both"/>
      </w:pPr>
      <w:r>
        <w:rPr>
          <w:rFonts w:ascii="Times New Roman" w:hAnsi="Times New Roman" w:eastAsia="宋体"/>
          <w:sz w:val="21"/>
        </w:rPr>
        <w:t>目前已做与需要设计补充的内容如表 1。</w:t>
      </w:r>
    </w:p>
    <w:p w14:paraId="24487282">
      <w:pPr>
        <w:keepNext/>
        <w:spacing w:before="160" w:after="60" w:line="240" w:lineRule="auto"/>
        <w:jc w:val="center"/>
      </w:pPr>
      <w:r>
        <w:rPr>
          <w:rFonts w:ascii="Times New Roman" w:hAnsi="Times New Roman" w:eastAsia="宋体"/>
          <w:color w:val="5B6670"/>
          <w:sz w:val="18"/>
        </w:rPr>
        <w:t>表 1　方案一的工作状态</w:t>
      </w:r>
    </w:p>
    <w:tbl>
      <w:tblPr>
        <w:tblStyle w:val="33"/>
        <w:tblW w:w="8957" w:type="dxa"/>
        <w:jc w:val="center"/>
        <w:tblBorders>
          <w:top w:val="single" w:color="A9B4BE" w:sz="4" w:space="0"/>
          <w:left w:val="single" w:color="A9B4BE" w:sz="4" w:space="0"/>
          <w:bottom w:val="single" w:color="A9B4BE" w:sz="4" w:space="0"/>
          <w:right w:val="single" w:color="A9B4BE" w:sz="4" w:space="0"/>
          <w:insideH w:val="single" w:color="A9B4BE" w:sz="4" w:space="0"/>
          <w:insideV w:val="single" w:color="A9B4B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7029"/>
      </w:tblGrid>
      <w:tr w14:paraId="371492C4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EDF2F5"/>
            <w:vAlign w:val="center"/>
          </w:tcPr>
          <w:p w14:paraId="75241DB8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分类</w:t>
            </w:r>
          </w:p>
        </w:tc>
        <w:tc>
          <w:tcPr>
            <w:tcW w:w="7030" w:type="dxa"/>
            <w:shd w:val="clear" w:color="auto" w:fill="EDF2F5"/>
            <w:vAlign w:val="center"/>
          </w:tcPr>
          <w:p w14:paraId="61D7720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</w:tr>
      <w:tr w14:paraId="3D25CF5C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Merge w:val="restart"/>
            <w:vAlign w:val="center"/>
          </w:tcPr>
          <w:p w14:paraId="57408BF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目前已做</w:t>
            </w:r>
          </w:p>
          <w:p w14:paraId="799D5908">
            <w:pPr>
              <w:spacing w:before="20" w:after="20" w:line="240" w:lineRule="auto"/>
              <w:jc w:val="center"/>
            </w:pPr>
          </w:p>
        </w:tc>
        <w:tc>
          <w:tcPr>
            <w:tcW w:w="7030" w:type="dxa"/>
            <w:vAlign w:val="center"/>
          </w:tcPr>
          <w:p w14:paraId="2C38DA1D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主控板已有（见图 2）</w:t>
            </w:r>
          </w:p>
        </w:tc>
      </w:tr>
      <w:tr w14:paraId="55B42B67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Merge w:val="continue"/>
            <w:vAlign w:val="center"/>
          </w:tcPr>
          <w:p w14:paraId="7973CEC4"/>
        </w:tc>
        <w:tc>
          <w:tcPr>
            <w:tcW w:w="7030" w:type="dxa"/>
            <w:vAlign w:val="center"/>
          </w:tcPr>
          <w:p w14:paraId="5F440821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连接 STM32F103C8T6 尝试通过，可读取电压状态、IMU 数据等</w:t>
            </w:r>
          </w:p>
        </w:tc>
      </w:tr>
      <w:tr w14:paraId="3B531538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Merge w:val="restart"/>
            <w:vAlign w:val="center"/>
          </w:tcPr>
          <w:p w14:paraId="529ED86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需要设计补充</w:t>
            </w:r>
          </w:p>
          <w:p w14:paraId="2952E164">
            <w:pPr>
              <w:spacing w:before="20" w:after="20" w:line="240" w:lineRule="auto"/>
              <w:jc w:val="center"/>
            </w:pPr>
          </w:p>
          <w:p w14:paraId="6C198FE9">
            <w:pPr>
              <w:spacing w:before="20" w:after="20" w:line="240" w:lineRule="auto"/>
              <w:jc w:val="center"/>
            </w:pPr>
          </w:p>
          <w:p w14:paraId="2791DEEE">
            <w:pPr>
              <w:spacing w:before="20" w:after="20" w:line="240" w:lineRule="auto"/>
              <w:jc w:val="center"/>
            </w:pPr>
          </w:p>
        </w:tc>
        <w:tc>
          <w:tcPr>
            <w:tcW w:w="7030" w:type="dxa"/>
            <w:vAlign w:val="center"/>
          </w:tcPr>
          <w:p w14:paraId="07225E76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整体机架设计</w:t>
            </w:r>
          </w:p>
        </w:tc>
      </w:tr>
      <w:tr w14:paraId="5D592B5B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Merge w:val="continue"/>
            <w:vAlign w:val="center"/>
          </w:tcPr>
          <w:p w14:paraId="0D2D0DC9"/>
        </w:tc>
        <w:tc>
          <w:tcPr>
            <w:tcW w:w="7030" w:type="dxa"/>
            <w:vAlign w:val="center"/>
          </w:tcPr>
          <w:p w14:paraId="218CA367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连接电调</w:t>
            </w:r>
          </w:p>
        </w:tc>
      </w:tr>
      <w:tr w14:paraId="4FD54EA1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Merge w:val="continue"/>
            <w:vAlign w:val="center"/>
          </w:tcPr>
          <w:p w14:paraId="7866F32D"/>
        </w:tc>
        <w:tc>
          <w:tcPr>
            <w:tcW w:w="7030" w:type="dxa"/>
            <w:vAlign w:val="center"/>
          </w:tcPr>
          <w:p w14:paraId="7157C8EB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无人机进行调试</w:t>
            </w:r>
          </w:p>
        </w:tc>
      </w:tr>
      <w:tr w14:paraId="6A1B1D5D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Merge w:val="continue"/>
            <w:vAlign w:val="center"/>
          </w:tcPr>
          <w:p w14:paraId="289A4188"/>
        </w:tc>
        <w:tc>
          <w:tcPr>
            <w:tcW w:w="7030" w:type="dxa"/>
            <w:vAlign w:val="center"/>
          </w:tcPr>
          <w:p w14:paraId="6DB99C17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飞控调试</w:t>
            </w:r>
          </w:p>
        </w:tc>
      </w:tr>
    </w:tbl>
    <w:p w14:paraId="3D768823">
      <w:pPr>
        <w:spacing w:before="0" w:after="0" w:line="60" w:lineRule="exact"/>
      </w:pPr>
    </w:p>
    <w:p w14:paraId="440F685D">
      <w:pPr>
        <w:pStyle w:val="4"/>
      </w:pPr>
      <w:r>
        <w:t>（三）方案二：STM32F407VET6</w:t>
      </w:r>
    </w:p>
    <w:p w14:paraId="78B00B1D">
      <w:pPr>
        <w:ind w:firstLine="420"/>
        <w:jc w:val="both"/>
      </w:pPr>
      <w:r>
        <w:rPr>
          <w:rFonts w:ascii="Times New Roman" w:hAnsi="Times New Roman" w:eastAsia="宋体"/>
          <w:sz w:val="21"/>
        </w:rPr>
        <w:t>采用 STM32F407VET6 作为主控，目前已有的板子如图 3，分为主控板与驱动板两块。</w:t>
      </w:r>
    </w:p>
    <w:p w14:paraId="788F35D9">
      <w:pPr>
        <w:keepNext/>
        <w:spacing w:before="160" w:after="60" w:line="240" w:lineRule="auto"/>
        <w:jc w:val="center"/>
      </w:pPr>
      <w:r>
        <w:rPr>
          <w:rFonts w:ascii="Times New Roman" w:hAnsi="Times New Roman" w:eastAsia="宋体"/>
          <w:color w:val="5B6670"/>
          <w:sz w:val="18"/>
        </w:rPr>
        <w:t>表 2　方案二的主控板与驱动板资源</w:t>
      </w:r>
    </w:p>
    <w:tbl>
      <w:tblPr>
        <w:tblStyle w:val="33"/>
        <w:tblW w:w="8957" w:type="dxa"/>
        <w:jc w:val="center"/>
        <w:tblBorders>
          <w:top w:val="single" w:color="A9B4BE" w:sz="4" w:space="0"/>
          <w:left w:val="single" w:color="A9B4BE" w:sz="4" w:space="0"/>
          <w:bottom w:val="single" w:color="A9B4BE" w:sz="4" w:space="0"/>
          <w:right w:val="single" w:color="A9B4BE" w:sz="4" w:space="0"/>
          <w:insideH w:val="single" w:color="A9B4BE" w:sz="4" w:space="0"/>
          <w:insideV w:val="single" w:color="A9B4B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256"/>
      </w:tblGrid>
      <w:tr w14:paraId="3F23C451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EDF2F5"/>
            <w:vAlign w:val="center"/>
          </w:tcPr>
          <w:p w14:paraId="5EFF6AD3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板卡</w:t>
            </w:r>
          </w:p>
        </w:tc>
        <w:tc>
          <w:tcPr>
            <w:tcW w:w="7257" w:type="dxa"/>
            <w:shd w:val="clear" w:color="auto" w:fill="EDF2F5"/>
            <w:vAlign w:val="center"/>
          </w:tcPr>
          <w:p w14:paraId="6293313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资源</w:t>
            </w:r>
          </w:p>
        </w:tc>
      </w:tr>
      <w:tr w14:paraId="7268F06F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Merge w:val="restart"/>
            <w:vAlign w:val="center"/>
          </w:tcPr>
          <w:p w14:paraId="5A81EA9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主控板</w:t>
            </w:r>
          </w:p>
          <w:p w14:paraId="15779A9D">
            <w:pPr>
              <w:spacing w:before="20" w:after="20" w:line="240" w:lineRule="auto"/>
              <w:jc w:val="center"/>
            </w:pPr>
          </w:p>
          <w:p w14:paraId="6040350E">
            <w:pPr>
              <w:spacing w:before="20" w:after="20" w:line="240" w:lineRule="auto"/>
              <w:jc w:val="center"/>
            </w:pPr>
          </w:p>
          <w:p w14:paraId="5884582E">
            <w:pPr>
              <w:spacing w:before="20" w:after="20" w:line="240" w:lineRule="auto"/>
              <w:jc w:val="center"/>
            </w:pPr>
          </w:p>
        </w:tc>
        <w:tc>
          <w:tcPr>
            <w:tcW w:w="7257" w:type="dxa"/>
            <w:vAlign w:val="center"/>
          </w:tcPr>
          <w:p w14:paraId="3EFEF1FE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STM32F407VET6 主控</w:t>
            </w:r>
          </w:p>
        </w:tc>
      </w:tr>
      <w:tr w14:paraId="16833456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Merge w:val="continue"/>
            <w:vAlign w:val="center"/>
          </w:tcPr>
          <w:p w14:paraId="4802642C"/>
        </w:tc>
        <w:tc>
          <w:tcPr>
            <w:tcW w:w="7257" w:type="dxa"/>
            <w:vAlign w:val="center"/>
          </w:tcPr>
          <w:p w14:paraId="05E190D2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2 个串口通信接口、1 个 USB 接口</w:t>
            </w:r>
          </w:p>
        </w:tc>
      </w:tr>
      <w:tr w14:paraId="30A2578C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Merge w:val="continue"/>
            <w:vAlign w:val="center"/>
          </w:tcPr>
          <w:p w14:paraId="66080C23"/>
        </w:tc>
        <w:tc>
          <w:tcPr>
            <w:tcW w:w="7257" w:type="dxa"/>
            <w:vAlign w:val="center"/>
          </w:tcPr>
          <w:p w14:paraId="2FD3BA08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SPI 通信的 IMU660RB 模块</w:t>
            </w:r>
          </w:p>
        </w:tc>
      </w:tr>
      <w:tr w14:paraId="1EAE8DFA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Merge w:val="continue"/>
            <w:vAlign w:val="center"/>
          </w:tcPr>
          <w:p w14:paraId="6576626F"/>
        </w:tc>
        <w:tc>
          <w:tcPr>
            <w:tcW w:w="7257" w:type="dxa"/>
            <w:vAlign w:val="center"/>
          </w:tcPr>
          <w:p w14:paraId="430195B0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1 个 SPI 的 LCD 调试屏幕</w:t>
            </w:r>
          </w:p>
        </w:tc>
      </w:tr>
      <w:tr w14:paraId="4AA349D8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Merge w:val="restart"/>
            <w:vAlign w:val="center"/>
          </w:tcPr>
          <w:p w14:paraId="56C8BDA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驱动板</w:t>
            </w:r>
          </w:p>
          <w:p w14:paraId="1BED0988">
            <w:pPr>
              <w:spacing w:before="20" w:after="20" w:line="240" w:lineRule="auto"/>
              <w:jc w:val="center"/>
            </w:pPr>
          </w:p>
          <w:p w14:paraId="27257068">
            <w:pPr>
              <w:spacing w:before="20" w:after="20" w:line="240" w:lineRule="auto"/>
              <w:jc w:val="center"/>
            </w:pPr>
          </w:p>
        </w:tc>
        <w:tc>
          <w:tcPr>
            <w:tcW w:w="7257" w:type="dxa"/>
            <w:vAlign w:val="center"/>
          </w:tcPr>
          <w:p w14:paraId="151D91F0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4 个无刷电机的驱动电路，采用 DRV 驱动芯片</w:t>
            </w:r>
          </w:p>
        </w:tc>
      </w:tr>
      <w:tr w14:paraId="225999E3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Merge w:val="continue"/>
            <w:vAlign w:val="center"/>
          </w:tcPr>
          <w:p w14:paraId="30820EEA"/>
        </w:tc>
        <w:tc>
          <w:tcPr>
            <w:tcW w:w="7257" w:type="dxa"/>
            <w:vAlign w:val="center"/>
          </w:tcPr>
          <w:p w14:paraId="5D28DBA6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8 路 ADC 电流读取设计</w:t>
            </w:r>
          </w:p>
        </w:tc>
      </w:tr>
      <w:tr w14:paraId="27343E05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Merge w:val="continue"/>
            <w:vAlign w:val="center"/>
          </w:tcPr>
          <w:p w14:paraId="23757A48"/>
        </w:tc>
        <w:tc>
          <w:tcPr>
            <w:tcW w:w="7257" w:type="dxa"/>
            <w:vAlign w:val="center"/>
          </w:tcPr>
          <w:p w14:paraId="7316AF42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总线舵机的连接接口（可删去该接口以缩小整体质量）</w:t>
            </w:r>
          </w:p>
        </w:tc>
      </w:tr>
    </w:tbl>
    <w:p w14:paraId="394F60B2">
      <w:pPr>
        <w:spacing w:before="0" w:after="0" w:line="60" w:lineRule="exact"/>
      </w:pPr>
    </w:p>
    <w:p w14:paraId="61B5ABD6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3240000" cy="242728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272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A08F9">
      <w:pPr>
        <w:spacing w:before="0" w:after="160" w:line="240" w:lineRule="auto"/>
        <w:jc w:val="center"/>
      </w:pPr>
      <w:r>
        <w:rPr>
          <w:rFonts w:ascii="Times New Roman" w:hAnsi="Times New Roman" w:eastAsia="宋体"/>
          <w:color w:val="5B6670"/>
          <w:sz w:val="18"/>
        </w:rPr>
        <w:t>图 3　方案二驱动板（左）与主控板（右）</w:t>
      </w:r>
    </w:p>
    <w:p w14:paraId="0EF9A8BD">
      <w:pPr>
        <w:ind w:firstLine="420"/>
        <w:jc w:val="both"/>
      </w:pPr>
      <w:r>
        <w:rPr>
          <w:rFonts w:ascii="Times New Roman" w:hAnsi="Times New Roman" w:eastAsia="宋体"/>
          <w:sz w:val="21"/>
        </w:rPr>
        <w:t>软件方面，底层已完成无刷电机的电流环与速度环：电流环 1 kHz，对 d、q 轴电流做 PI 后经 SVPWM 输出；速度环 40 ms 一拍，由编码器角差换算转速，PI 输出 iq 目标。8 路相电流由 ADC 同步采样（TIM3 触发、DMA 搬运，上电标定零点），目前以 4 号电机做闭环调试。</w:t>
      </w:r>
    </w:p>
    <w:p>
      <w:pPr>
        <w:spacing w:line="240" w:lineRule="auto" w:before="120" w:after="60"/>
        <w:ind w:firstLine="420"/>
        <w:jc w:val="both"/>
      </w:pPr>
      <w:r>
        <w:rPr>
          <w:sz w:val="21"/>
        </w:rPr>
        <w:t>图 4、图 5 是 4 号电机空载闭环调试的波形。图 4 为速度环与电流环同时工作时读到的转速，转速基本稳定，但叠加了小幅振荡；图 5 为电流环读取的编码器角度，随转子转动在 0–2π 之间循环。由于空载时电流与加速度变化较大，转速上会出现这一小幅振荡，增加负载后可以解决；电流环获取的速度比较稳定。</w:t>
      </w:r>
    </w:p>
    <w:p>
      <w:pPr>
        <w:keepNext/>
        <w:spacing w:line="240" w:lineRule="auto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16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699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jc w:val="center"/>
      </w:pPr>
      <w:r>
        <w:rPr>
          <w:color w:val="5B6670"/>
          <w:sz w:val="18"/>
        </w:rPr>
        <w:t>图 4　空载时速度环 + 电流环的转速波形</w:t>
      </w:r>
    </w:p>
    <w:p>
      <w:pPr>
        <w:keepNext/>
        <w:spacing w:line="240" w:lineRule="auto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84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849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jc w:val="center"/>
      </w:pPr>
      <w:r>
        <w:rPr>
          <w:color w:val="5B6670"/>
          <w:sz w:val="18"/>
        </w:rPr>
        <w:t>图 5　电流环读取的编码器角度波形</w:t>
      </w:r>
    </w:p>
    <w:p w14:paraId="0EF9A8BD">
      <w:pPr>
        <w:ind w:firstLine="420"/>
        <w:jc w:val="both"/>
      </w:pPr>
      <w:r>
        <w:rPr>
          <w:rFonts w:ascii="Times New Roman" w:hAnsi="Times New Roman" w:eastAsia="宋体"/>
          <w:sz w:val="21"/>
        </w:rPr>
        <w:t xml:space="preserve">ADC 8 路同时读取时第 5 路读数异常的问题仍未排除：测试板上的 ADC 驱动芯片已损坏，暂时无法复测，待板子修复后再验证。</w:t>
      </w:r>
    </w:p>
    <w:p w14:paraId="21253961">
      <w:pPr>
        <w:ind w:firstLine="420"/>
        <w:jc w:val="both"/>
      </w:pPr>
      <w:r>
        <w:rPr>
          <w:rFonts w:ascii="Times New Roman" w:hAnsi="Times New Roman" w:eastAsia="宋体"/>
          <w:sz w:val="21"/>
        </w:rPr>
        <w:t>整体机架还需设计；该方案无需电调，但需要修改驱动板。</w:t>
      </w:r>
    </w:p>
    <w:p w14:paraId="36FE154B">
      <w:pPr>
        <w:pStyle w:val="4"/>
      </w:pPr>
      <w:r>
        <w:t>（四）两方案对照</w:t>
      </w:r>
    </w:p>
    <w:p w14:paraId="783EB0A6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4968000" cy="2541122"/>
            <wp:effectExtent l="0" t="0" r="762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5411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CB266D">
      <w:pPr>
        <w:spacing w:before="0" w:after="160" w:line="240" w:lineRule="auto"/>
        <w:jc w:val="center"/>
      </w:pPr>
      <w:r>
        <w:rPr>
          <w:rFonts w:ascii="Times New Roman" w:hAnsi="Times New Roman" w:eastAsia="宋体"/>
          <w:color w:val="5B6670"/>
          <w:sz w:val="18"/>
        </w:rPr>
        <w:t>图 6　两套方案的硬件组成</w:t>
      </w:r>
    </w:p>
    <w:p w14:paraId="6B733C63">
      <w:pPr>
        <w:ind w:firstLine="420"/>
        <w:jc w:val="both"/>
      </w:pPr>
      <w:r>
        <w:rPr>
          <w:rFonts w:ascii="Times New Roman" w:hAnsi="Times New Roman" w:eastAsia="宋体"/>
          <w:sz w:val="21"/>
        </w:rPr>
        <w:t>两套方案的关键差异如表 3。</w:t>
      </w:r>
    </w:p>
    <w:p w14:paraId="5F1E24BE">
      <w:pPr>
        <w:keepNext/>
        <w:spacing w:before="160" w:after="60" w:line="240" w:lineRule="auto"/>
        <w:jc w:val="center"/>
      </w:pPr>
      <w:r>
        <w:rPr>
          <w:rFonts w:ascii="Times New Roman" w:hAnsi="Times New Roman" w:eastAsia="宋体"/>
          <w:color w:val="5B6670"/>
          <w:sz w:val="18"/>
        </w:rPr>
        <w:t>表 3　两套方案对照</w:t>
      </w:r>
    </w:p>
    <w:tbl>
      <w:tblPr>
        <w:tblStyle w:val="33"/>
        <w:tblW w:w="8957" w:type="dxa"/>
        <w:jc w:val="center"/>
        <w:tblBorders>
          <w:top w:val="single" w:color="A9B4BE" w:sz="4" w:space="0"/>
          <w:left w:val="single" w:color="A9B4BE" w:sz="4" w:space="0"/>
          <w:bottom w:val="single" w:color="A9B4BE" w:sz="4" w:space="0"/>
          <w:right w:val="single" w:color="A9B4BE" w:sz="4" w:space="0"/>
          <w:insideH w:val="single" w:color="A9B4BE" w:sz="4" w:space="0"/>
          <w:insideV w:val="single" w:color="A9B4B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71"/>
        <w:gridCol w:w="3571"/>
      </w:tblGrid>
      <w:tr w14:paraId="21506E59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DF2F5"/>
            <w:vAlign w:val="center"/>
          </w:tcPr>
          <w:p w14:paraId="58B6715B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对比项</w:t>
            </w:r>
          </w:p>
        </w:tc>
        <w:tc>
          <w:tcPr>
            <w:tcW w:w="3572" w:type="dxa"/>
            <w:shd w:val="clear" w:color="auto" w:fill="EDF2F5"/>
            <w:vAlign w:val="center"/>
          </w:tcPr>
          <w:p w14:paraId="620A287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方案一</w:t>
            </w:r>
          </w:p>
        </w:tc>
        <w:tc>
          <w:tcPr>
            <w:tcW w:w="3572" w:type="dxa"/>
            <w:shd w:val="clear" w:color="auto" w:fill="EDF2F5"/>
            <w:vAlign w:val="center"/>
          </w:tcPr>
          <w:p w14:paraId="75807BE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方案二</w:t>
            </w:r>
          </w:p>
        </w:tc>
      </w:tr>
      <w:tr w14:paraId="2EEAE416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A833FB0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主控</w:t>
            </w:r>
          </w:p>
        </w:tc>
        <w:tc>
          <w:tcPr>
            <w:tcW w:w="3572" w:type="dxa"/>
            <w:vAlign w:val="center"/>
          </w:tcPr>
          <w:p w14:paraId="34544B90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STM32F103C8T6</w:t>
            </w:r>
          </w:p>
        </w:tc>
        <w:tc>
          <w:tcPr>
            <w:tcW w:w="3572" w:type="dxa"/>
            <w:vAlign w:val="center"/>
          </w:tcPr>
          <w:p w14:paraId="07996D83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STM32F407VET6</w:t>
            </w:r>
          </w:p>
        </w:tc>
      </w:tr>
      <w:tr w14:paraId="6F6D0DC4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CE05B19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板载惯性测量</w:t>
            </w:r>
          </w:p>
        </w:tc>
        <w:tc>
          <w:tcPr>
            <w:tcW w:w="3572" w:type="dxa"/>
            <w:vAlign w:val="center"/>
          </w:tcPr>
          <w:p w14:paraId="63C673A0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MPU6050</w:t>
            </w:r>
          </w:p>
        </w:tc>
        <w:tc>
          <w:tcPr>
            <w:tcW w:w="3572" w:type="dxa"/>
            <w:vAlign w:val="center"/>
          </w:tcPr>
          <w:p w14:paraId="412EF17B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IMU660RB（SPI）</w:t>
            </w:r>
          </w:p>
        </w:tc>
      </w:tr>
      <w:tr w14:paraId="4FE62848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21B1184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气压计</w:t>
            </w:r>
          </w:p>
        </w:tc>
        <w:tc>
          <w:tcPr>
            <w:tcW w:w="3572" w:type="dxa"/>
            <w:vAlign w:val="center"/>
          </w:tcPr>
          <w:p w14:paraId="070512F3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BMP280</w:t>
            </w:r>
          </w:p>
        </w:tc>
        <w:tc>
          <w:tcPr>
            <w:tcW w:w="3572" w:type="dxa"/>
            <w:vAlign w:val="center"/>
          </w:tcPr>
          <w:p w14:paraId="631B6E45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 w14:paraId="511A86F3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FD1DB0D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驱动方式</w:t>
            </w:r>
          </w:p>
        </w:tc>
        <w:tc>
          <w:tcPr>
            <w:tcW w:w="3572" w:type="dxa"/>
            <w:vAlign w:val="center"/>
          </w:tcPr>
          <w:p w14:paraId="4E79EF45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外接电调</w:t>
            </w:r>
          </w:p>
        </w:tc>
        <w:tc>
          <w:tcPr>
            <w:tcW w:w="3572" w:type="dxa"/>
            <w:vAlign w:val="center"/>
          </w:tcPr>
          <w:p w14:paraId="026B4D3D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板载 DRV 驱动 ×4</w:t>
            </w:r>
          </w:p>
        </w:tc>
      </w:tr>
      <w:tr w14:paraId="6EAEB675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7161317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电流读取</w:t>
            </w:r>
          </w:p>
        </w:tc>
        <w:tc>
          <w:tcPr>
            <w:tcW w:w="3572" w:type="dxa"/>
            <w:vAlign w:val="center"/>
          </w:tcPr>
          <w:p w14:paraId="4526C4F5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w="3572" w:type="dxa"/>
            <w:vAlign w:val="center"/>
          </w:tcPr>
          <w:p w14:paraId="4BF775EA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8 路 ADC</w:t>
            </w:r>
          </w:p>
        </w:tc>
      </w:tr>
      <w:tr w14:paraId="2FCE0623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7EA56B5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调试屏</w:t>
            </w:r>
          </w:p>
        </w:tc>
        <w:tc>
          <w:tcPr>
            <w:tcW w:w="3572" w:type="dxa"/>
            <w:vAlign w:val="center"/>
          </w:tcPr>
          <w:p w14:paraId="4A47676A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w="3572" w:type="dxa"/>
            <w:vAlign w:val="center"/>
          </w:tcPr>
          <w:p w14:paraId="63E4BCEF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SPI LCD</w:t>
            </w:r>
          </w:p>
        </w:tc>
      </w:tr>
      <w:tr w14:paraId="4621F1B6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37A8C6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供电</w:t>
            </w:r>
          </w:p>
        </w:tc>
        <w:tc>
          <w:tcPr>
            <w:tcW w:w="3572" w:type="dxa"/>
            <w:vAlign w:val="center"/>
          </w:tcPr>
          <w:p w14:paraId="030DB1AD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3.7–6.2 V</w:t>
            </w:r>
          </w:p>
        </w:tc>
        <w:tc>
          <w:tcPr>
            <w:tcW w:w="3572" w:type="dxa"/>
            <w:vAlign w:val="center"/>
          </w:tcPr>
          <w:p w14:paraId="3D61FF2B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 w14:paraId="41D850AE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E1E45C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机架</w:t>
            </w:r>
          </w:p>
        </w:tc>
        <w:tc>
          <w:tcPr>
            <w:tcW w:w="3572" w:type="dxa"/>
            <w:vAlign w:val="center"/>
          </w:tcPr>
          <w:p w14:paraId="47948C28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待设计</w:t>
            </w:r>
          </w:p>
        </w:tc>
        <w:tc>
          <w:tcPr>
            <w:tcW w:w="3572" w:type="dxa"/>
            <w:vAlign w:val="center"/>
          </w:tcPr>
          <w:p w14:paraId="1C4CBE6D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待设计，驱动板需修改</w:t>
            </w:r>
          </w:p>
        </w:tc>
      </w:tr>
      <w:tr w14:paraId="2EE18E65">
        <w:tblPrEx>
          <w:tblBorders>
            <w:top w:val="single" w:color="A9B4BE" w:sz="4" w:space="0"/>
            <w:left w:val="single" w:color="A9B4BE" w:sz="4" w:space="0"/>
            <w:bottom w:val="single" w:color="A9B4BE" w:sz="4" w:space="0"/>
            <w:right w:val="single" w:color="A9B4BE" w:sz="4" w:space="0"/>
            <w:insideH w:val="single" w:color="A9B4BE" w:sz="4" w:space="0"/>
            <w:insideV w:val="single" w:color="A9B4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0F2E2A"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当前进度</w:t>
            </w:r>
          </w:p>
        </w:tc>
        <w:tc>
          <w:tcPr>
            <w:tcW w:w="3572" w:type="dxa"/>
            <w:vAlign w:val="center"/>
          </w:tcPr>
          <w:p w14:paraId="1B174A93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主控板已有，可读取电压与 IMU 数据</w:t>
            </w:r>
          </w:p>
        </w:tc>
        <w:tc>
          <w:tcPr>
            <w:tcW w:w="3572" w:type="dxa"/>
            <w:vAlign w:val="center"/>
          </w:tcPr>
          <w:p w14:paraId="49DEE866"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sz w:val="18"/>
              </w:rPr>
              <w:t>电流环、速度环已实现；ADC 第 5 路待复测</w:t>
            </w:r>
          </w:p>
        </w:tc>
      </w:tr>
    </w:tbl>
    <w:p w14:paraId="5389D67A">
      <w:pPr>
        <w:spacing w:before="0" w:after="0" w:line="60" w:lineRule="exact"/>
      </w:pPr>
    </w:p>
    <w:p w14:paraId="221A99A0">
      <w:pPr>
        <w:jc w:val="both"/>
      </w:pPr>
      <w:r>
        <w:rPr>
          <w:rFonts w:ascii="Times New Roman" w:hAnsi="Times New Roman" w:eastAsia="宋体"/>
          <w:sz w:val="21"/>
        </w:rPr>
        <w:t>表中“—”表示原记录中未说明该项。</w:t>
      </w:r>
    </w:p>
    <w:p w14:paraId="7A8C703C">
      <w:pPr>
        <w:pStyle w:val="3"/>
        <w:pBdr>
          <w:bottom w:val="single" w:color="B9C4CE" w:sz="8" w:space="4"/>
        </w:pBdr>
      </w:pPr>
      <w:r>
        <w:t>二、软件仿真</w:t>
      </w:r>
    </w:p>
    <w:p w14:paraId="7F0F0F9F">
      <w:pPr>
        <w:ind w:firstLine="420"/>
        <w:jc w:val="both"/>
      </w:pPr>
      <w:r>
        <w:rPr>
          <w:rFonts w:ascii="Times New Roman" w:hAnsi="Times New Roman" w:eastAsia="宋体"/>
          <w:sz w:val="21"/>
        </w:rPr>
        <w:t>软件部分已在仿真中完成四种控制算法的设计，并组合出 8 种飞控设计，代码仓库与演示视频见下文。</w:t>
      </w:r>
    </w:p>
    <w:p w14:paraId="6BECC091">
      <w:pPr>
        <w:pStyle w:val="4"/>
      </w:pPr>
      <w:r>
        <w:t>（一）四种算法与 8 种飞控设计</w:t>
      </w:r>
    </w:p>
    <w:p w14:paraId="3B07C46F">
      <w:pPr>
        <w:ind w:firstLine="420"/>
        <w:jc w:val="both"/>
      </w:pPr>
      <w:r>
        <w:rPr>
          <w:rFonts w:ascii="Times New Roman" w:hAnsi="Times New Roman" w:eastAsia="宋体"/>
          <w:sz w:val="21"/>
        </w:rPr>
        <w:t>目前设计了 TinyMPC、串级 PI、LQR、LADRC 四种算法。其中串级 PI 和 LADRC 支持三种模式：串级、仅姿态、姿态 + 定高；TinyMPC 和 LQR 只有位置 / 全状态一种模式。各算法支持的模式如图 7，合计 8 种飞控设计。</w:t>
      </w:r>
    </w:p>
    <w:p w14:paraId="6D09FF00">
      <w:pPr>
        <w:keepNext/>
        <w:spacing w:before="120" w:after="60" w:line="240" w:lineRule="auto"/>
        <w:jc w:val="center"/>
      </w:pPr>
      <w:r>
        <w:drawing>
          <wp:inline distT="0" distB="0" distL="114300" distR="114300">
            <wp:extent cx="4464000" cy="14764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147641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C898">
      <w:pPr>
        <w:spacing w:before="0" w:after="160" w:line="240" w:lineRule="auto"/>
        <w:jc w:val="center"/>
      </w:pPr>
      <w:r>
        <w:rPr>
          <w:rFonts w:ascii="Times New Roman" w:hAnsi="Times New Roman" w:eastAsia="宋体"/>
          <w:color w:val="5B6670"/>
          <w:sz w:val="18"/>
        </w:rPr>
        <w:t>图 7　四种算法与支持的模式</w:t>
      </w:r>
    </w:p>
    <w:p w14:paraId="5C55E2B7">
      <w:pPr>
        <w:pStyle w:val="4"/>
      </w:pPr>
      <w:r>
        <w:t>（二）代码与演示</w:t>
      </w:r>
    </w:p>
    <w:p w14:paraId="6DCAF2EC">
      <w:pPr>
        <w:spacing w:after="60"/>
        <w:ind w:left="420"/>
        <w:jc w:val="both"/>
      </w:pPr>
      <w:r>
        <w:rPr>
          <w:rFonts w:ascii="Times New Roman" w:hAnsi="Times New Roman" w:eastAsia="宋体"/>
          <w:sz w:val="19"/>
        </w:rPr>
        <w:t>代码仓库：</w:t>
      </w:r>
      <w:r>
        <w:rPr>
          <w:rFonts w:ascii="Consolas" w:hAnsi="Consolas" w:eastAsia="宋体"/>
          <w:color w:val="1F4E64"/>
          <w:sz w:val="19"/>
        </w:rPr>
        <w:t>https://github.com/liu114116/uav_sim</w:t>
      </w:r>
    </w:p>
    <w:p w14:paraId="3149997A">
      <w:pPr>
        <w:ind w:firstLine="420"/>
        <w:jc w:val="both"/>
      </w:pPr>
      <w:r>
        <w:rPr>
          <w:rFonts w:ascii="Times New Roman" w:hAnsi="Times New Roman" w:eastAsia="宋体"/>
          <w:sz w:val="21"/>
        </w:rPr>
        <w:t>演示视频为 tinympc.mp4、ccpi.mp4、lqr.mp4、ladrc.mp4，分别对应 TinyMPC、串级 PI、LQR、LADRC 四种算法，均保存在仓库的 video/ 目录；可根据主控资源以及使用的模块选择不同的算法。</w:t>
      </w:r>
    </w:p>
    <w:p w14:paraId="6B03F4D9">
      <w:pPr>
        <w:spacing w:before="0" w:after="0" w:line="60" w:lineRule="exact"/>
      </w:pPr>
    </w:p>
    <w:p>
      <w:pPr>
        <w:keepNext/>
        <w:spacing w:before="40" w:after="40" w:line="240" w:lineRule="auto"/>
        <w:jc w:val="center"/>
      </w:pPr>
      <w:r>
        <w:object>
          <v:shape id="_x0000_i1026" o:spt="75" type="#_x0000_t75" style="height:36pt;width:42.32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Package" ShapeID="_x0000_i1026" DrawAspect="Content" ObjectID="_1468075725" r:id="rId18">
            <o:LockedField>false</o:LockedField>
          </o:OLEObject>
        </w:object>
      </w:r>
      <w:r>
        <w:rPr>
          <w:sz w:val="18"/>
        </w:rPr>
        <w:t xml:space="preserve">　　　</w:t>
      </w:r>
      <w:r>
        <w:object>
          <v:shape id="_x0000_i1027" o:spt="75" type="#_x0000_t75" style="height:36pt;width:46.74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Package" ShapeID="_x0000_i1027" DrawAspect="Content" ObjectID="_1468075726" r:id="rId20">
            <o:LockedField>false</o:LockedField>
          </o:OLEObject>
        </w:object>
      </w:r>
      <w:r>
        <w:rPr>
          <w:sz w:val="18"/>
        </w:rPr>
        <w:t xml:space="preserve">　　　</w:t>
      </w:r>
      <w:r>
        <w:object>
          <v:shape id="_x0000_i1028" o:spt="75" type="#_x0000_t75" style="height:36pt;width:36.63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Package" ShapeID="_x0000_i1028" DrawAspect="Content" ObjectID="_1468075727" r:id="rId22">
            <o:LockedField>false</o:LockedField>
          </o:OLEObject>
        </w:object>
      </w:r>
      <w:r>
        <w:rPr>
          <w:sz w:val="18"/>
        </w:rPr>
        <w:t xml:space="preserve">　　　</w:t>
      </w:r>
      <w:r>
        <w:object>
          <v:shape id="_x0000_i1029" o:spt="75" type="#_x0000_t75" style="height:36pt;width:59.37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Package" ShapeID="_x0000_i1029" DrawAspect="Content" ObjectID="_1468075728" r:id="rId24">
            <o:LockedField>false</o:LockedField>
          </o:OLEObject>
        </w:object>
      </w:r>
      <w:r>
        <w:rPr>
          <w:sz w:val="18"/>
        </w:rPr>
        <w:t xml:space="preserve">　　　</w:t>
      </w:r>
    </w:p>
    <w:p>
      <w:pPr>
        <w:spacing w:before="40" w:after="160" w:line="240" w:lineRule="auto"/>
        <w:jc w:val="center"/>
      </w:pPr>
      <w:r>
        <w:rPr>
          <w:color w:val="5B6670"/>
          <w:sz w:val="18"/>
        </w:rPr>
        <w:t>图 8　四段仿真演示视频（双击图标播放）</w:t>
      </w:r>
    </w:p>
    <w:sectPr>
      <w:footerReference r:id="rId5" w:type="default"/>
      <w:pgSz w:w="11906" w:h="16838"/>
      <w:pgMar w:top="1417" w:right="1474" w:bottom="1361" w:left="1474" w:header="720" w:footer="73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D45C5">
    <w:pPr>
      <w:pStyle w:val="24"/>
      <w:jc w:val="center"/>
    </w:pPr>
    <w:r>
      <w:rPr>
        <w:color w:val="5B6670"/>
        <w:sz w:val="18"/>
      </w:rPr>
      <w:t xml:space="preserve">— </w:t>
    </w:r>
    <w:r>
      <w:rPr>
        <w:color w:val="5B6670"/>
        <w:sz w:val="18"/>
      </w:rPr>
      <w:fldChar w:fldCharType="begin"/>
    </w:r>
    <w:r>
      <w:rPr>
        <w:color w:val="5B6670"/>
        <w:sz w:val="18"/>
      </w:rPr>
      <w:instrText xml:space="preserve"> PAGE </w:instrText>
    </w:r>
    <w:r>
      <w:rPr>
        <w:color w:val="5B6670"/>
        <w:sz w:val="18"/>
      </w:rPr>
      <w:fldChar w:fldCharType="separate"/>
    </w:r>
    <w:r>
      <w:rPr>
        <w:color w:val="5B6670"/>
        <w:sz w:val="18"/>
      </w:rPr>
      <w:t>1</w:t>
    </w:r>
    <w:r>
      <w:rPr>
        <w:color w:val="5B6670"/>
        <w:sz w:val="18"/>
      </w:rPr>
      <w:fldChar w:fldCharType="end"/>
    </w:r>
    <w:r>
      <w:rPr>
        <w:color w:val="5B6670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61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60" w:line="360" w:lineRule="auto"/>
    </w:pPr>
    <w:rPr>
      <w:rFonts w:ascii="Times New Roman" w:hAnsi="Times New Roman" w:eastAsia="宋体" w:cstheme="minorBidi"/>
      <w:color w:val="1F242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40" w:line="240" w:lineRule="auto"/>
      <w:outlineLvl w:val="0"/>
    </w:pPr>
    <w:rPr>
      <w:rFonts w:asciiTheme="majorHAnsi" w:hAnsiTheme="majorHAnsi" w:eastAsiaTheme="majorEastAsia" w:cstheme="majorBidi"/>
      <w:b/>
      <w:bCs/>
      <w:color w:val="1F4E64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60" w:line="240" w:lineRule="auto"/>
      <w:outlineLvl w:val="1"/>
    </w:pPr>
    <w:rPr>
      <w:rFonts w:asciiTheme="majorHAnsi" w:hAnsiTheme="majorHAnsi" w:eastAsiaTheme="majorEastAsia" w:cstheme="majorBidi"/>
      <w:b/>
      <w:bCs/>
      <w:color w:val="1F2429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Relationship Id="rId17" Type="http://schemas.openxmlformats.org/officeDocument/2006/relationships/image" Target="media/video_icon1.emf"/><Relationship Id="rId18" Type="http://schemas.openxmlformats.org/officeDocument/2006/relationships/oleObject" Target="embeddings/video1.bin"/><Relationship Id="rId19" Type="http://schemas.openxmlformats.org/officeDocument/2006/relationships/image" Target="media/video_icon2.emf"/><Relationship Id="rId20" Type="http://schemas.openxmlformats.org/officeDocument/2006/relationships/oleObject" Target="embeddings/video2.bin"/><Relationship Id="rId21" Type="http://schemas.openxmlformats.org/officeDocument/2006/relationships/image" Target="media/video_icon3.emf"/><Relationship Id="rId22" Type="http://schemas.openxmlformats.org/officeDocument/2006/relationships/oleObject" Target="embeddings/video3.bin"/><Relationship Id="rId23" Type="http://schemas.openxmlformats.org/officeDocument/2006/relationships/image" Target="media/video_icon4.emf"/><Relationship Id="rId24" Type="http://schemas.openxmlformats.org/officeDocument/2006/relationships/oleObject" Target="embeddings/video4.bin"/><Relationship Id="rId25" Type="http://schemas.openxmlformats.org/officeDocument/2006/relationships/image" Target="media/image8.png"/><Relationship Id="rId2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615</Words>
  <Characters>800</Characters>
  <Lines>0</Lines>
  <Paragraphs>0</Paragraphs>
  <TotalTime>1</TotalTime>
  <ScaleCrop>false</ScaleCrop>
  <LinksUpToDate>false</LinksUpToDate>
  <CharactersWithSpaces>874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派大星༉</cp:lastModifiedBy>
  <dcterms:modified xsi:type="dcterms:W3CDTF">2026-10-26T22:34:39Z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eyJoZGlkIjoiZGMwNjg1ZDgyZDY3NzE2MjM5NWFkMmY0NDFjYWIzZjUiLCJ1c2VySWQiOiIxNjA1NzA1NTI2In0=</vt:lpwstr>
  </property>
  <property fmtid="{D5CDD505-2E9C-101B-9397-08002B2CF9AE}" pid="3" name="KSOProductBuildVer">
    <vt:lpwstr>2052-12.1.0.28043</vt:lpwstr>
  </property>
  <property fmtid="{D5CDD505-2E9C-101B-9397-08002B2CF9AE}" pid="4" name="ICV">
    <vt:lpwstr>8E6540B8B8F24903A5FB63D1AA40687B_12</vt:lpwstr>
  </property>
</Properties>
</file>