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Times New Roman" w:hAnsi="Times New Roman" w:eastAsia="黑体"/>
          <w:b/>
          <w:color w:val="1F3A5F"/>
          <w:sz w:val="60"/>
          <w:rFonts/>
        </w:rPr>
        <w:t>论文攻坚组</w:t>
      </w:r>
    </w:p>
    <w:p>
      <w:pPr>
        <w:jc w:val="center"/>
      </w:pPr>
      <w:r>
        <w:rPr>
          <w:color w:val="555555"/>
          <w:sz w:val="26"/>
        </w:rPr>
        <w:t>六成员智能体团队 · 配置手册与 WorkBuddy 部署指南</w:t>
      </w:r>
    </w:p>
    <w:p/>
    <w:p>
      <w:pPr>
        <w:jc w:val="center"/>
      </w:pPr>
      <w:r>
        <w:rPr>
          <w:color w:val="BBBBBB"/>
        </w:rPr>
        <w:t>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一、团队总览</w:t>
      </w:r>
    </w:p>
    <w:p>
      <w:pPr>
        <w:spacing w:after="160"/>
      </w:pPr>
      <w:r>
        <w:rPr>
          <w:b w:val="0"/>
        </w:rPr>
        <w:t>本团队是一个面向中文学术论文写作的六成员智能体流水线。每个成员挂载一组功能互补的 agent skill，按依赖关系依次推进：选题开题 → 文献精读 → 深度调研 → 实证分析 → 图表设计 → 全文写作 → 预投稿审查 → 去 AIGC → 定稿。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041"/>
        <w:gridCol w:w="7144"/>
      </w:tblGrid>
      <w:tr>
        <w:trPr>
          <w:tblHeader w:val="true"/>
        </w:trPr>
        <w:tc>
          <w:tcPr>
            <w:tcW w:type="dxa" w:w="2041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  <w:rFonts/>
              </w:rPr>
              <w:t>项目</w:t>
            </w:r>
          </w:p>
        </w:tc>
        <w:tc>
          <w:tcPr>
            <w:tcW w:type="dxa" w:w="7143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  <w:rFonts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团队名称</w:t>
            </w:r>
          </w:p>
        </w:tc>
        <w:tc>
          <w:tcPr>
            <w:tcW w:type="dxa" w:w="7143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论文攻坚组（内部标识 paper-pipeline）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成员数量</w:t>
            </w:r>
          </w:p>
        </w:tc>
        <w:tc>
          <w:tcPr>
            <w:tcW w:type="dxa" w:w="7143"/>
          </w:tcPr>
          <w:p>
            <w:r/>
            <w:r>
              <w:t>7 名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挂载 skill</w:t>
            </w:r>
          </w:p>
        </w:tc>
        <w:tc>
          <w:tcPr>
            <w:tcW w:type="dxa" w:w="7143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68 个，分属 7 个技能族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流水线阶段</w:t>
            </w:r>
          </w:p>
        </w:tc>
        <w:tc>
          <w:tcPr>
            <w:tcW w:type="dxa" w:w="7143"/>
          </w:tcPr>
          <w:p>
            <w:r/>
            <w:r>
              <w:t>11 个任务（t1–t11），12 条依赖边 + 2 条条件边</w:t>
            </w:r>
          </w:p>
        </w:tc>
      </w:tr>
      <w:tr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协作机制</w:t>
            </w:r>
          </w:p>
        </w:tc>
        <w:tc>
          <w:tcPr>
            <w:tcW w:type="dxa" w:w="7143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9"/>
                <w:rFonts/>
              </w:rPr>
              <w:t>任务板 + 依赖 DAG + 消息传递 + 技能证据留痕</w:t>
            </w:r>
          </w:p>
        </w:tc>
      </w:tr>
    </w:tbl>
    <w:p>
      <w:pPr>
        <w:pStyle w:val="Heading2"/>
      </w:pPr>
      <w:r>
        <w:t>1.1 技能族规模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3061"/>
        <w:gridCol w:w="850"/>
        <w:gridCol w:w="793"/>
        <w:gridCol w:w="4479"/>
      </w:tblGrid>
      <w:tr>
        <w:trPr>
          <w:tblHeader w:val="true"/>
        </w:trPr>
        <w:tc>
          <w:tcPr>
            <w:tcW w:type="dxa" w:w="3061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技能族（目录名）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数</w:t>
            </w:r>
          </w:p>
        </w:tc>
        <w:tc>
          <w:tcPr>
            <w:tcW w:type="dxa" w:w="794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体积</w:t>
            </w:r>
          </w:p>
        </w:tc>
        <w:tc>
          <w:tcPr>
            <w:tcW w:type="dxa" w:w="4479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一句话定位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academic-research-skills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3.2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学术研究全流程：选题、深度研究、写作、评审、系统综述筛选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supervisor-skills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12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13.1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写作督导：正文、引言、润色、投稿前自查、审稿回应、图表设计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auto-empirical-research-skills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32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5.5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实证分析：计量全流程（Python/R/Stata）、因果推断、去 AIGC、AER 投稿包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academic-figure-skills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3.5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学术图表：分析规划、绘制迭代、转可编辑 PPTX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ai-research-skills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10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1.6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研究知识工程：ARA 产物编译、认识论评审、ML/系统论文写作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deep-research-skills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&lt;0.1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轻量深度调研：大纲生成、逐项调研、报告汇总</w:t>
            </w:r>
          </w:p>
        </w:tc>
      </w:tr>
      <w:tr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corpus-paper-archiving</w:t>
            </w:r>
          </w:p>
        </w:tc>
        <w:tc>
          <w:tcPr>
            <w:tcW w:type="dxa" w:w="85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0.1 MB</w:t>
            </w:r>
          </w:p>
        </w:tc>
        <w:tc>
          <w:tcPr>
            <w:tcW w:type="dxa" w:w="447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文献精读归档：逐篇建可核对读档，写总论汇总成 Word</w:t>
            </w:r>
          </w:p>
        </w:tc>
      </w:tr>
    </w:tbl>
    <w:p>
      <w:pPr>
        <w:spacing w:before="60"/>
        <w:ind w:left="283"/>
      </w:pPr>
      <w:r>
        <w:rPr>
          <w:i/>
          <w:color w:val="666666"/>
          <w:sz w:val="18"/>
        </w:rPr>
        <w:t>注：auto-empirical-research-skills 内含 aer-skills（15 个 skill）与 p-hacking-skills（11 个 skill）两个插件式子包，其余 6 个为独立 skill，合计 32 个。</w:t>
      </w:r>
    </w:p>
    <w:p>
      <w:r>
        <w:br w:type="page"/>
      </w:r>
    </w:p>
    <w:p>
      <w:pPr>
        <w:pStyle w:val="Heading1"/>
      </w:pPr>
      <w:r>
        <w:t>二、成员名册</w:t>
      </w:r>
    </w:p>
    <w:p>
      <w:r>
        <w:t>模型列按三档分配：strong（判断型任务，推理强度 max）、standard（有脚本或清单兜底）、fast（模式化、量大）。逐角色理由与换模型方法见 docs/model-assignment.md；改模型只需编辑 team.json 的 modelPolicy，再运行 python scripts/apply_models.py 同步到各成员定义。</w:t>
      </w:r>
    </w:p>
    <w:p>
      <w:pPr>
        <w:spacing w:after="160"/>
      </w:pPr>
      <w:r>
        <w:rPr>
          <w:b w:val="0"/>
        </w:rPr>
        <w:t>下表为七名成员的完整配置。模型列中的 flash-sg 指 deepseek-v4.1-flash-sg，flash 指 deepseek-v4.1-flash —— 两者路由不同，这一点在实战中造成过故障（见第四章）。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453"/>
        <w:gridCol w:w="1927"/>
        <w:gridCol w:w="3061"/>
        <w:gridCol w:w="1814"/>
        <w:gridCol w:w="680"/>
        <w:gridCol w:w="1247"/>
      </w:tblGrid>
      <w:tr>
        <w:trPr>
          <w:tblHeader w:val="true"/>
        </w:trPr>
        <w:tc>
          <w:tcPr>
            <w:tcW w:type="dxa" w:w="454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#</w:t>
            </w:r>
          </w:p>
        </w:tc>
        <w:tc>
          <w:tcPr>
            <w:tcW w:type="dxa" w:w="192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成员标识</w:t>
            </w:r>
          </w:p>
        </w:tc>
        <w:tc>
          <w:tcPr>
            <w:tcW w:type="dxa" w:w="3061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负责领域</w:t>
            </w:r>
          </w:p>
        </w:tc>
        <w:tc>
          <w:tcPr>
            <w:tcW w:type="dxa" w:w="1814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挂载技能族</w:t>
            </w:r>
          </w:p>
        </w:tc>
        <w:tc>
          <w:tcPr>
            <w:tcW w:type="dxa" w:w="680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数</w:t>
            </w:r>
          </w:p>
        </w:tc>
        <w:tc>
          <w:tcPr>
            <w:tcW w:type="dxa" w:w="1247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模型路由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research-orchestrator</w:t>
            </w:r>
          </w:p>
        </w:tc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研究总控：选题开题、流程编排、期刊选型、完整性核查、定稿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academic-research-skills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</w:t>
            </w:r>
          </w:p>
        </w:tc>
        <w:tc>
          <w:tcPr>
            <w:tcW w:type="dxa" w:w="1247"/>
          </w:tcPr>
          <w:p>
            <w:r/>
            <w:r>
              <w:t>强·flash-sg（strong）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2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corpus-archivist</w:t>
            </w:r>
          </w:p>
        </w:tc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文献精读与归档：逐篇精读建可核对读档、撰写文献综述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corpus-paper-archiving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</w:t>
            </w:r>
          </w:p>
        </w:tc>
        <w:tc>
          <w:tcPr>
            <w:tcW w:type="dxa" w:w="1247"/>
          </w:tcPr>
          <w:p>
            <w:r/>
            <w:r>
              <w:t>快·flash（fast）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deep-researcher</w:t>
            </w:r>
          </w:p>
        </w:tc>
        <w:tc>
          <w:tcPr>
            <w:tcW w:type="dxa" w:w="3061"/>
          </w:tcPr>
          <w:p>
            <w:r/>
            <w:r>
              <w:t>深度调研与独立审查：领域全景、方法对比、创新点核查；成稿后做内容层面独立审查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ai-research-skills</w:t>
              <w:br/>
              <w:t>deep-research-skills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10</w:t>
              <w:br/>
              <w:t>+5</w:t>
            </w:r>
          </w:p>
        </w:tc>
        <w:tc>
          <w:tcPr>
            <w:tcW w:type="dxa" w:w="1247"/>
          </w:tcPr>
          <w:p>
            <w:r/>
            <w:r>
              <w:t>强·flash-sg（strong）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4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empirical-analyst</w:t>
            </w:r>
          </w:p>
        </w:tc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实证分析与文本规范化：数据清洗、统计建模、结果表、去 AIGC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auto-empirical-research-skills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32</w:t>
            </w:r>
          </w:p>
        </w:tc>
        <w:tc>
          <w:tcPr>
            <w:tcW w:type="dxa" w:w="1247"/>
          </w:tcPr>
          <w:p>
            <w:r/>
            <w:r>
              <w:t>标·flash-sg（standard）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figure-designer</w:t>
            </w:r>
          </w:p>
        </w:tc>
        <w:tc>
          <w:tcPr>
            <w:tcW w:type="dxa" w:w="3061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图表设计：图表规划、绘制、可编辑 PPTX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academic-figure-skills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</w:t>
            </w:r>
          </w:p>
        </w:tc>
        <w:tc>
          <w:tcPr>
            <w:tcW w:type="dxa" w:w="1247"/>
          </w:tcPr>
          <w:p>
            <w:r/>
            <w:r>
              <w:t>快·flash（fast）</w:t>
            </w:r>
          </w:p>
        </w:tc>
      </w:tr>
      <w:tr>
        <w:tc>
          <w:tcPr>
            <w:tcW w:type="dxa" w:w="45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6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paper-supervisor</w:t>
            </w:r>
          </w:p>
        </w:tc>
        <w:tc>
          <w:tcPr>
            <w:tcW w:type="dxa" w:w="3061"/>
          </w:tcPr>
          <w:p>
            <w:r/>
            <w:r>
              <w:t>写作与修订：全文写作、引言专项、润色；按审查意见逐条修订</w:t>
            </w:r>
          </w:p>
        </w:tc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supervisor-skills</w:t>
            </w:r>
          </w:p>
        </w:tc>
        <w:tc>
          <w:tcPr>
            <w:tcW w:type="dxa" w:w="68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12</w:t>
            </w:r>
          </w:p>
        </w:tc>
        <w:tc>
          <w:tcPr>
            <w:tcW w:type="dxa" w:w="1247"/>
          </w:tcPr>
          <w:p>
            <w:r/>
            <w:r>
              <w:t>强·flash-sg（strong）</w:t>
            </w:r>
          </w:p>
        </w:tc>
      </w:tr>
      <w:tr>
        <w:tc>
          <w:tcPr>
            <w:tcW w:type="dxa" w:w="453"/>
          </w:tcPr>
          <w:p>
            <w:r/>
            <w:r>
              <w:t>7</w:t>
            </w:r>
          </w:p>
        </w:tc>
        <w:tc>
          <w:tcPr>
            <w:tcW w:type="dxa" w:w="1927"/>
          </w:tcPr>
          <w:p>
            <w:r/>
            <w:r>
              <w:t>quality-gatekeeper</w:t>
            </w:r>
          </w:p>
        </w:tc>
        <w:tc>
          <w:tcPr>
            <w:tcW w:type="dxa" w:w="3061"/>
          </w:tcPr>
          <w:p>
            <w:r/>
            <w:r>
              <w:t>质量与合规验收：引注合规、格式排版、复现包完整性、引文真实性抽核</w:t>
            </w:r>
          </w:p>
        </w:tc>
        <w:tc>
          <w:tcPr>
            <w:tcW w:type="dxa" w:w="1814"/>
          </w:tcPr>
          <w:p>
            <w:r/>
            <w:r>
              <w:t>academic-research-skills + supervisor-skills</w:t>
            </w:r>
          </w:p>
        </w:tc>
        <w:tc>
          <w:tcPr>
            <w:tcW w:type="dxa" w:w="680"/>
          </w:tcPr>
          <w:p>
            <w:r/>
            <w:r>
              <w:t>17</w:t>
            </w:r>
          </w:p>
        </w:tc>
        <w:tc>
          <w:tcPr>
            <w:tcW w:type="dxa" w:w="1247"/>
          </w:tcPr>
          <w:p>
            <w:r/>
            <w:r>
              <w:t>标·flash-sg（standard）</w:t>
            </w:r>
          </w:p>
        </w:tc>
      </w:tr>
    </w:tbl>
    <w:p>
      <w:r>
        <w:br w:type="page"/>
      </w:r>
    </w:p>
    <w:p>
      <w:pPr>
        <w:pStyle w:val="Heading1"/>
      </w:pPr>
      <w:r>
        <w:t>三、成员职责与技能配置详解</w:t>
      </w:r>
    </w:p>
    <w:p>
      <w:pPr>
        <w:pStyle w:val="Heading2"/>
      </w:pPr>
      <w:r>
        <w:t>3.1　research-orchestrator</w:t>
      </w:r>
    </w:p>
    <w:p>
      <w:pPr>
        <w:spacing w:after="80"/>
      </w:pPr>
      <w:r>
        <w:rPr>
          <w:b/>
        </w:rPr>
        <w:t>职责：研究总控。负责选题收敛与开题、期刊选型与投稿规范核查、全流程状态跟踪、完整性核查与定稿。</w:t>
      </w:r>
    </w:p>
    <w:p>
      <w:pPr>
        <w:spacing w:after="120"/>
      </w:pPr>
      <w:r>
        <w:rPr>
          <w:b w:val="0"/>
        </w:rPr>
        <w:t>挂载技能族：academic-research-skills</w:t>
      </w:r>
    </w:p>
    <w:p>
      <w:pPr>
        <w:spacing w:after="40"/>
      </w:pPr>
      <w:r>
        <w:rPr>
          <w:b/>
        </w:rPr>
        <w:t>技能清单：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608"/>
        <w:gridCol w:w="6577"/>
      </w:tblGrid>
      <w:tr>
        <w:trPr>
          <w:tblHeader w:val="true"/>
        </w:trPr>
        <w:tc>
          <w:tcPr>
            <w:tcW w:type="dxa" w:w="260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名</w:t>
            </w:r>
          </w:p>
        </w:tc>
        <w:tc>
          <w:tcPr>
            <w:tcW w:type="dxa" w:w="6576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用途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academic-pipeline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10 阶段全流程编排器：研究→写作→完整性检查→评审→修订→复审→再修订→终检→定稿→过程记录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deep-research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13 个 agent 的深度研究管线，8 种模式（完整研究、快速简报、论文评审、文献综述、事实核查、三向扫描、苏格拉底式引导、系统综述+元分析）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academic-paper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12 个 agent 的论文写作管线，11 种模式（全文/规划/大纲/修订/修订辅导/摘要/文献综述/格式转换/引文核查/披露/反驳审计）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academic-paper-reviewer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 席审稿人模拟（期刊匹配审稿人 + 3 个同行评审角色 + 魔鬼代言人）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sr-screener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系统综述 / 范围综述的文献筛选，含 PRISMA 2020 计数与双盲筛选</w:t>
            </w:r>
          </w:p>
        </w:tc>
      </w:tr>
    </w:tbl>
    <w:p>
      <w:r>
        <w:rPr>
          <w:b w:val="0"/>
        </w:rPr>
      </w:r>
    </w:p>
    <w:p>
      <w:r>
        <w:br w:type="page"/>
      </w:r>
    </w:p>
    <w:p>
      <w:pPr>
        <w:pStyle w:val="Heading2"/>
      </w:pPr>
      <w:r>
        <w:t>3.2　corpus-archivist</w:t>
      </w:r>
    </w:p>
    <w:p>
      <w:pPr>
        <w:spacing w:after="80"/>
      </w:pPr>
      <w:r>
        <w:rPr>
          <w:b/>
        </w:rPr>
        <w:t>职责：文献精读与归档。逐篇精读全文，为每篇建立可核对的读档，再据读档写文献综述。核心要求：每条判断都能回到原文出处。</w:t>
      </w:r>
    </w:p>
    <w:p>
      <w:pPr>
        <w:spacing w:after="120"/>
      </w:pPr>
      <w:r>
        <w:rPr>
          <w:b w:val="0"/>
        </w:rPr>
        <w:t>挂载技能族：corpus-paper-archiving</w:t>
      </w:r>
    </w:p>
    <w:p>
      <w:pPr>
        <w:spacing w:after="40"/>
      </w:pPr>
      <w:r>
        <w:rPr>
          <w:b/>
        </w:rPr>
        <w:t>技能清单：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608"/>
        <w:gridCol w:w="6577"/>
      </w:tblGrid>
      <w:tr>
        <w:trPr>
          <w:tblHeader w:val="true"/>
        </w:trPr>
        <w:tc>
          <w:tcPr>
            <w:tcW w:type="dxa" w:w="260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名</w:t>
            </w:r>
          </w:p>
        </w:tc>
        <w:tc>
          <w:tcPr>
            <w:tcW w:type="dxa" w:w="6576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用途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corpus-paper-archiving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逐篇精读一批论文（PDF 或已转出文本），为每一篇建立可核对的读档，再据读档写总论、汇总成 Word。适用于「把这些论文读完并写出学术总结」「不要只看摘要、不要跳过篇目、结论要能回到原文核对」这类任务。</w:t>
            </w:r>
          </w:p>
        </w:tc>
      </w:tr>
    </w:tbl>
    <w:p>
      <w:r>
        <w:rPr>
          <w:b w:val="0"/>
        </w:rPr>
      </w:r>
    </w:p>
    <w:p>
      <w:r>
        <w:br w:type="page"/>
      </w:r>
    </w:p>
    <w:p>
      <w:pPr>
        <w:pStyle w:val="Heading2"/>
      </w:pPr>
      <w:r>
        <w:t>3.3　deep-researcher</w:t>
      </w:r>
    </w:p>
    <w:p>
      <w:pPr>
        <w:spacing w:after="80"/>
      </w:pPr>
      <w:r>
        <w:rPr>
          <w:b/>
        </w:rPr>
        <w:t>职责：深度调研与独立审查。负责领域全景、方法对比、研究空白与创新点核查（t3）；成稿后对内容层面做独立审查（t7）——创新性是否成立、论证是否有断点、方法是否支撑结论、结论是否超出证据。审查与写作分属不同成员，避免自审。</w:t>
      </w:r>
    </w:p>
    <w:p>
      <w:pPr>
        <w:spacing w:after="120"/>
      </w:pPr>
      <w:r>
        <w:rPr>
          <w:b w:val="0"/>
        </w:rPr>
        <w:t>挂载技能族：ai-research-skills + deep-research-skills</w:t>
      </w:r>
    </w:p>
    <w:p>
      <w:pPr>
        <w:spacing w:after="40"/>
      </w:pPr>
      <w:r>
        <w:rPr>
          <w:b/>
        </w:rPr>
        <w:t>技能清单：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608"/>
        <w:gridCol w:w="6577"/>
      </w:tblGrid>
      <w:tr>
        <w:trPr>
          <w:tblHeader w:val="true"/>
        </w:trPr>
        <w:tc>
          <w:tcPr>
            <w:tcW w:type="dxa" w:w="260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名</w:t>
            </w:r>
          </w:p>
        </w:tc>
        <w:tc>
          <w:tcPr>
            <w:tcW w:type="dxa" w:w="6576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用途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ara-compiler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把任意研究输入（PDF 论文、GitHub 仓库、实验日志、代码目录、原始笔记）编译成 Agent-Native Research Artifact（ARA），含认知层（claims/concepts/heuristics）、物理层（配置、代码桩）、探索图与证据链接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ara-research-manager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研究过程溯源：扫描会话历史，提取决策、实验、死胡同、论断、启发式与转向，写入 ara/ 目录并标注人机来源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ara-rigor-reviewer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ARA 的 Seal Level 2 认识论评审：六维打分（证据相关性、可证伪性、范围校准、论证一致性、探索完整性、方法严谨性）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academic-plotting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从研究上下文生成 ML 论文级配图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autoresearch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自主研究双环架构：内环快速实验迭代，外环综合结果并引导方向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brainstorming-research-ideas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结构化选题头脑风暴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creative-thinking-for-research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认知科学框架驱动的创造性科研构思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ml-paper-writing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NeurIPS/ICML/ICLR/ACL/AAAI 论文写作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presenting-conference-talks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论文转会议演讲幻灯片（Beamer + 可编辑 PPTX）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systems-paper-writing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OSDI/SOSP/ASPLOS 系统论文写作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research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初步调研并生成研究大纲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research-add-fields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为现有大纲增加字段定义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research-add-items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为现有大纲增加研究条目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research-deep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按大纲逐项启动独立 agent 深度调研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research-report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把深度调研结果汇总为 markdown 报告</w:t>
            </w:r>
          </w:p>
        </w:tc>
      </w:tr>
    </w:tbl>
    <w:p>
      <w:r>
        <w:rPr>
          <w:b w:val="0"/>
        </w:rPr>
      </w:r>
    </w:p>
    <w:p>
      <w:r>
        <w:br w:type="page"/>
      </w:r>
    </w:p>
    <w:p>
      <w:pPr>
        <w:pStyle w:val="Heading2"/>
      </w:pPr>
      <w:r>
        <w:t>3.4　empirical-analyst</w:t>
      </w:r>
    </w:p>
    <w:p>
      <w:pPr>
        <w:spacing w:after="80"/>
      </w:pPr>
      <w:r>
        <w:rPr>
          <w:b/>
        </w:rPr>
        <w:t>职责：实证分析与文本规范化。负责数据清洗与编码映射、统计建模、结果表生成，以及定稿前的去 AIGC 痕迹处理。</w:t>
      </w:r>
    </w:p>
    <w:p>
      <w:pPr>
        <w:spacing w:after="120"/>
      </w:pPr>
      <w:r>
        <w:rPr>
          <w:b w:val="0"/>
        </w:rPr>
        <w:t>挂载技能族：auto-empirical-research-skills</w:t>
      </w:r>
    </w:p>
    <w:p>
      <w:pPr>
        <w:spacing w:after="40"/>
      </w:pPr>
      <w:r>
        <w:rPr>
          <w:b/>
        </w:rPr>
        <w:t>技能清单：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608"/>
        <w:gridCol w:w="6577"/>
      </w:tblGrid>
      <w:tr>
        <w:trPr>
          <w:tblHeader w:val="true"/>
        </w:trPr>
        <w:tc>
          <w:tcPr>
            <w:tcW w:type="dxa" w:w="260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名</w:t>
            </w:r>
          </w:p>
        </w:tc>
        <w:tc>
          <w:tcPr>
            <w:tcW w:type="dxa" w:w="6576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用途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full-empirical-python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Python 计量全流程：pandas + numpy + scipy + statsmodels + linearmodels + pyfixest + rdrobust + econml + causalml + matplotlib/seaborn。默认 AER/QJE/AEJ 经济学实证论文风格，产出多列回归表（M1→M6 递进控制）、描述统计表、机制/异质性/稳健性表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full-empirical-r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同上，R 版（tidyverse + fixest + sandwich + clubSandwich + did + Synth + MatchIt + DoubleML 等）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full-empirical-stata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同上，Stata 版（reghdfe + ivreg2 + csdid + rdrobust + synth + psmatch2 + esttab 等）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statspai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因果推断引擎：DID / RD / IV / SCM / DML / matching，也支持流行病学与公共卫生风格（目标试验模拟、IPTW + g-formula + TMLE、孟德尔随机化、KM/AFT 生存分析）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de-aigc-skills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中英双语学术去 AIGC：清除 AI 生成写作特征，覆盖 Turnitin AI / GPTZero / Originality.ai 与知网 AMLC / 万方 / 维普口径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literature-review-tools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推荐并运行文献综述各环节的开源工具、agent、skill 与 MCP 服务器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aer-skills（子包，15 个）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AER / AER:Insights / AEJ 投稿全流程：选题筛选、文献定位与引文核验、因果识别（DiD/IV/RDD/SCM/Bartik）、预注册与功效计算、稳健性、正文撰写、Keith Head 式引言、AER booktabs 表格、全文一致性审计、对抗性审稿模拟、复现包、投稿前检查、R&amp;R 回应信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p-hacking-skills（子包，11 个）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规格搜索与 p-hacking 审计：设计卡、规格曲线、p-curve 检验、框架攻击红队测试、叙事洗白审计、免疫化（预注册、多重检验校正、拆分样本）</w:t>
            </w:r>
          </w:p>
        </w:tc>
      </w:tr>
    </w:tbl>
    <w:p>
      <w:r>
        <w:rPr>
          <w:b w:val="0"/>
        </w:rPr>
      </w:r>
    </w:p>
    <w:p>
      <w:r>
        <w:br w:type="page"/>
      </w:r>
    </w:p>
    <w:p>
      <w:pPr>
        <w:pStyle w:val="Heading2"/>
      </w:pPr>
      <w:r>
        <w:t>3.5　figure-designer</w:t>
      </w:r>
    </w:p>
    <w:p>
      <w:pPr>
        <w:spacing w:after="80"/>
      </w:pPr>
      <w:r>
        <w:rPr>
          <w:b/>
        </w:rPr>
        <w:t>职责：图表设计。负责图表规划、绘制与可编辑 PPT 版图输出。</w:t>
      </w:r>
    </w:p>
    <w:p>
      <w:pPr>
        <w:spacing w:after="120"/>
      </w:pPr>
      <w:r>
        <w:rPr>
          <w:b w:val="0"/>
        </w:rPr>
        <w:t>挂载技能族：academic-figure-skills</w:t>
      </w:r>
    </w:p>
    <w:p>
      <w:pPr>
        <w:spacing w:after="40"/>
      </w:pPr>
      <w:r>
        <w:rPr>
          <w:b/>
        </w:rPr>
        <w:t>技能清单：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608"/>
        <w:gridCol w:w="6577"/>
      </w:tblGrid>
      <w:tr>
        <w:trPr>
          <w:tblHeader w:val="true"/>
        </w:trPr>
        <w:tc>
          <w:tcPr>
            <w:tcW w:type="dxa" w:w="260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名</w:t>
            </w:r>
          </w:p>
        </w:tc>
        <w:tc>
          <w:tcPr>
            <w:tcW w:type="dxa" w:w="6576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用途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fig-analyze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把仓库、论文草稿、参考图分析成可交接结果（SemanticArchitecture@1、FigurePlan@1、ReferenceAnalysis@1），不写 prompt，也不生图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fig-draw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从仓库、论文、草稿笔记、论文 URL、PDF 或参考图规划并生成学术图，含语义调色板、参考图风格迁移、prompt 工程、信息密度反馈与 FigureSpec v1 编译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fig-pptx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把已接受的学术示意图拆成可编辑 PPTX：干净背景、透明框架、透明图标、真文本框。不改源 PNG</w:t>
            </w:r>
          </w:p>
        </w:tc>
      </w:tr>
    </w:tbl>
    <w:p>
      <w:r>
        <w:rPr>
          <w:b w:val="0"/>
        </w:rPr>
      </w:r>
    </w:p>
    <w:p>
      <w:r>
        <w:br w:type="page"/>
      </w:r>
    </w:p>
    <w:p>
      <w:pPr>
        <w:pStyle w:val="Heading2"/>
      </w:pPr>
      <w:r>
        <w:t>3.6　paper-supervisor</w:t>
      </w:r>
    </w:p>
    <w:p>
      <w:pPr>
        <w:spacing w:after="80"/>
      </w:pPr>
      <w:r>
        <w:rPr>
          <w:b/>
        </w:rPr>
        <w:t>职责：写作与修订。负责全文写作（t6）、引言专项、语言润色，以及按独立审查意见逐条修订（t8）。本成员不再承担审查职责，审查由 deep-researcher 独立执行。</w:t>
      </w:r>
    </w:p>
    <w:p>
      <w:pPr>
        <w:spacing w:after="120"/>
      </w:pPr>
      <w:r>
        <w:rPr>
          <w:b w:val="0"/>
        </w:rPr>
        <w:t>挂载技能族：supervisor-skills</w:t>
      </w:r>
    </w:p>
    <w:p>
      <w:pPr>
        <w:spacing w:after="40"/>
      </w:pPr>
      <w:r>
        <w:rPr>
          <w:b/>
        </w:rPr>
        <w:t>技能清单：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608"/>
        <w:gridCol w:w="6577"/>
      </w:tblGrid>
      <w:tr>
        <w:trPr>
          <w:tblHeader w:val="true"/>
        </w:trPr>
        <w:tc>
          <w:tcPr>
            <w:tcW w:type="dxa" w:w="260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名</w:t>
            </w:r>
          </w:p>
        </w:tc>
        <w:tc>
          <w:tcPr>
            <w:tcW w:type="dxa" w:w="6576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用途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paper-writer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从作者自有材料撰写可发表的论文正文，从单段到整篇。每条事实性陈述必须追溯到用户输入、已核实检索或领域常识；引用须过独立核验阶梯；交付干净正文，零占位符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intro-drafter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引言专项：六段流程（背景与示例、现有局限、问题本质与目标、关键挑战、方案概览、贡献）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paper-polish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在保留作者原意前提下润色：语法与流畅度修复、语气按证据强度校准、去 AI 腔、中译英达到投稿质量。绝不编造数据、引用或论断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pre-submission-reviewer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投稿前五维自查：宏观逻辑、写作细节、英文语法、LaTeX 格式、图表质量。用 CRITICAL / MAJOR / MINOR 三级分类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idea-evaluator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选题五维评估（Higher / Faster / Stronger / Cheaper / Broader）+ 生命周期与能力匹配 + 范式转换探测 + 致命缺陷审计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rebuttal-guidance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审稿回应策略（非代写全文）：匹配审稿人心理 X、推荐策略 Y、可选地引用稿件证据与历史成功案例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figure-designer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技术论文三类核心图设计建议：动机示例图、方案概览图、实验结果图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benchmark-paper-template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Benchmark 与评测论文的五柱框架结构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tech-paper-template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技术论文的逻辑骨架模板：研究背景、局限、核心思路、挑战、方法模块、贡献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drawio-reconstruction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把参考图重建为高保真可编辑 draw.io 文件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supervisor-deep-research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综述级深度文献调研：冻结研究问题、多对抗视角检索、逐条引文核验、MECE 分类综述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vibe-research-workflow</w:t>
            </w:r>
          </w:p>
        </w:tc>
        <w:tc>
          <w:tcPr>
            <w:tcW w:type="dxa" w:w="6576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AI 辅助科研三子流程（Vibe Coding / Figure / Writing）的行为准则与工具选型</w:t>
            </w:r>
          </w:p>
        </w:tc>
      </w:tr>
    </w:tbl>
    <w:p>
      <w:r>
        <w:rPr>
          <w:b w:val="0"/>
        </w:rPr>
      </w:r>
    </w:p>
    <w:p>
      <w:r>
        <w:br w:type="page"/>
      </w:r>
    </w:p>
    <w:p>
      <w:pPr>
        <w:pStyle w:val="Heading2"/>
      </w:pPr>
      <w:r>
        <w:t>3.7　quality-gatekeeper</w:t>
      </w:r>
    </w:p>
    <w:p>
      <w:r>
        <w:t>职责：收尾质量闸门。对定稿执行四项验收——① 引注与参考文献合规（与目标刊体例逐条比对，中文刊按 GB/T 7714-2015 或本刊体例）；② 格式与编号一致性（标题层级、图表编号、正文交叉引用、摘要与关键词字数限制）；③ 复现包完整性（数据字典、清洗脚本、分析脚本与结果表能否按声明步骤复算）；④ 引文真实性抽核（抽样回原始出处核对 DOI／卷期／页码／出版日期）。</w:t>
      </w:r>
    </w:p>
    <w:p>
      <w:r>
        <w:t>其中第 ④ 项对领导人著作与讲话执行逐条核对、不抽样，范围覆盖各时期领导人（毛泽东、邓小平、江泽民、胡锦涛、习近平等），按四类文献形态分别核验：选集／文选／文集（须交代卷次、版次年份与页码）、文集中的单篇（须以文集为出处）、报纸上的讲话（须有年月日与版次）、官方网络发布（须有发布机构、发布日期与引用日期）。硬规则四条：只引原始出处，二手转引不算来源；摘引须完整且不改变原意，割裂原文判为致命缺陷；文字须与官方文本一致，改写不得冒充引用；同一篇文献的版次必须前后统一，混用版次即缺陷。核对流程与表格见 docs/citation-check-template.md。</w:t>
      </w:r>
    </w:p>
    <w:p>
      <w:r>
        <w:t>挂载技能族：academic-research-skills（调用 academic-paper 内置的 citation_compliance 与 formatter 子 agent）+ supervisor-skills（pre-submission-reviewer 的格式审查清单）。</w:t>
      </w:r>
    </w:p>
    <w:p>
      <w:r>
        <w:t>技能清单：citation_compliance_agent、formatter_agent、pre-submission-reviewer。</w:t>
      </w:r>
    </w:p>
    <w:p>
      <w:r>
        <w:t>验收边界：只判定、不改稿。发现问题退回对应上游成员并给出可定位的缺陷清单（页码／段落／图表号／文件行号），不自行修补；未实际打开核对的内容不得判定为合规，只能标为「未核实」。</w:t>
      </w:r>
    </w:p>
    <w:p>
      <w:pPr>
        <w:pStyle w:val="Heading1"/>
      </w:pPr>
      <w:r>
        <w:t>四、流水线结构与任务分配</w:t>
      </w:r>
    </w:p>
    <w:p>
      <w:pPr>
        <w:pStyle w:val="Heading2"/>
      </w:pPr>
      <w:r>
        <w:t>4.1 依赖关系</w:t>
      </w:r>
    </w:p>
    <w:p>
      <w:pPr>
        <w:spacing w:after="80"/>
      </w:pPr>
      <w:r>
        <w:rPr>
          <w:b w:val="0"/>
        </w:rPr>
        <w:t>下图为本团队实际执行的 DAG。箭头表示「必须在之后」：</w:t>
      </w:r>
    </w:p>
    <w:p>
      <w:pPr>
        <w:spacing w:before="80" w:after="160"/>
        <w:ind w:left="454"/>
      </w:pPr>
      <w:r>
        <w:rPr>
          <w:rFonts w:ascii="Consolas" w:hAnsi="Consolas" w:eastAsia="宋体"/>
          <w:sz w:val="17"/>
          <w:rFonts/>
        </w:rPr>
        <w:t>t1 选题开题（research-orchestrator）</w:t>
        <w:br/>
        <w:t xml:space="preserve"> ├── t2 文献精读归档（corpus-archivist）──────────┐</w:t>
        <w:br/>
        <w:t xml:space="preserve"> ├── t3 深度调研（deep-researcher）───────────────┤</w:t>
        <w:br/>
        <w:t xml:space="preserve"> └── t4 实证分析（empirical-analyst）[条件：需要实证] ┤</w:t>
      </w:r>
    </w:p>
    <w:p>
      <w:pPr>
        <w:spacing w:before="80" w:after="160"/>
        <w:ind w:left="454"/>
      </w:pPr>
      <w:r>
        <w:rPr>
          <w:rFonts w:ascii="Consolas" w:hAnsi="Consolas" w:eastAsia="宋体"/>
          <w:sz w:val="17"/>
          <w:rFonts/>
        </w:rPr>
        <w:t>→ t5 图表设计（figure-designer）→ t6 全文写作（paper-supervisor）</w:t>
        <w:br/>
        <w:t>→ t7 独立审查（deep-researcher）→ t8 修订（paper-supervisor）</w:t>
        <w:br/>
        <w:t>→ t9 去 AI 痕迹（empirical-analyst）→ t10 候选定稿（research-orchestrator）</w:t>
        <w:br/>
        <w:t>→ t11 质量验收（quality-gatekeeper）　［pass：交付　fail：退回 t8］</w:t>
      </w:r>
    </w:p>
    <w:p>
      <w:pPr>
        <w:pStyle w:val="Heading2"/>
      </w:pPr>
      <w:r>
        <w:t>4.2 三条可复用的经验</w:t>
      </w:r>
    </w:p>
    <w:p>
      <w:pPr>
        <w:spacing w:after="40"/>
      </w:pPr>
      <w:r>
        <w:rPr>
          <w:b/>
        </w:rPr>
        <w:t>经验一：skill 的加载方式取决于工具是否已注册这些 skill</w:t>
      </w:r>
    </w:p>
    <w:p>
      <w:pPr>
        <w:spacing w:after="160"/>
      </w:pPr>
      <w:r>
        <w:rPr>
          <w:b w:val="0"/>
        </w:rPr>
        <w:t>本项目启动时，.claude/skills 下的 68 个 skill 并未注册进 DSH 的 skill 目录，成员无法用 skill 工具加载。解决方案是在每个任务描述里写明 SKILL.md 的绝对路径，让成员用 read 工具直接读取并遵循其流程。此后 skill 目录更新，这些 skill 才变成可直接调用的条目。截至项目结束，de-aigc-skills 仍未进入目录，只能用读文件的方式使用。</w:t>
      </w:r>
    </w:p>
    <w:p>
      <w:pPr>
        <w:spacing w:after="40"/>
      </w:pPr>
      <w:r>
        <w:rPr>
          <w:b/>
        </w:rPr>
        <w:t>经验二：模型路由不一致会以「请求被拦截」的形式暴露</w:t>
      </w:r>
    </w:p>
    <w:p>
      <w:pPr>
        <w:spacing w:after="160"/>
      </w:pPr>
      <w:r>
        <w:rPr>
          <w:b w:val="0"/>
        </w:rPr>
        <w:t>figure-designer 是唯一配置了不同模型路由的成员（workbuddy/ 而非 workbuddy-ai/），它连续两次在同一个上游 API 400 错误上失败。改派给路由正常的成员后，同样的任务改用「一步一文件」的小请求节奏即顺利完成。建议：同一团队内保持模型路由一致，并给绘图类任务强制分步执行。</w:t>
      </w:r>
    </w:p>
    <w:p>
      <w:r>
        <w:br w:type="page"/>
      </w:r>
    </w:p>
    <w:p>
      <w:pPr>
        <w:pStyle w:val="Heading1"/>
      </w:pPr>
      <w:r>
        <w:t>五、WorkBuddy 安装指南</w:t>
      </w:r>
    </w:p>
    <w:p>
      <w:pPr>
        <w:spacing w:after="160"/>
      </w:pPr>
      <w:r>
        <w:rPr>
          <w:b w:val="0"/>
        </w:rPr>
        <w:t>本章说明如何把这 68 个 skill 安装到 WorkBuddy，使其具备与本团队相同的技能基础。</w:t>
      </w:r>
    </w:p>
    <w:p>
      <w:pPr>
        <w:pStyle w:val="Heading2"/>
      </w:pPr>
      <w:r>
        <w:t>5.1 技能包结构</w:t>
      </w:r>
    </w:p>
    <w:p>
      <w:pPr>
        <w:spacing w:after="120"/>
      </w:pPr>
      <w:r>
        <w:rPr>
          <w:b w:val="0"/>
        </w:rPr>
        <w:t>这些 skill 遵循通用的 Agent Skills 约定：每个 skill 是一个目录，目录内至少有一个 SKILL.md，其 YAML frontmatter 声明 name、description，正文为可执行的流程指令；同级可带 references/（参考资料）、scripts/（脚本）、assets/（模板与素材）。</w:t>
      </w:r>
    </w:p>
    <w:p>
      <w:pPr>
        <w:spacing w:after="160"/>
        <w:ind w:left="340"/>
      </w:pPr>
      <w:r>
        <w:rPr>
          <w:rFonts w:ascii="Consolas" w:hAnsi="Consolas" w:eastAsia="宋体"/>
          <w:sz w:val="17"/>
          <w:rFonts/>
        </w:rPr>
        <w:t>.claude/skills/</w:t>
        <w:br/>
        <w:t>├── &lt;技能族&gt;/</w:t>
        <w:br/>
        <w:t>│   ├── &lt;skill-A&gt;/</w:t>
        <w:br/>
        <w:t>│   │   ├── SKILL.md          ← 必需：frontmatter + 流程指令</w:t>
        <w:br/>
        <w:t>│   │   ├── references/       ← 可选：参考文献与规范</w:t>
        <w:br/>
        <w:t>│   │   ├── scripts/          ← 可选：可执行脚本</w:t>
        <w:br/>
        <w:t>│   │   └── assets/           ← 可选：模板、字体、示例</w:t>
        <w:br/>
        <w:t>│   └── &lt;skill-B&gt;/</w:t>
        <w:br/>
        <w:t>│       └── SKILL.md</w:t>
        <w:br/>
        <w:t>└── &lt;技能族2&gt;/...</w:t>
        <w:br/>
        <w:br/>
        <w:t>特例（插件式子包，含 .claude-plugin/plugin.json）：</w:t>
        <w:br/>
        <w:t>auto-empirical-research-skills/aer-skills/        （15 个 skill）</w:t>
        <w:br/>
        <w:t>auto-empirical-research-skills/p-hacking-skills/  （11 个 skill）</w:t>
      </w:r>
    </w:p>
    <w:p>
      <w:pPr>
        <w:pStyle w:val="Heading2"/>
      </w:pPr>
      <w:r>
        <w:t>5.2 需要复制的七个目录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2948"/>
        <w:gridCol w:w="793"/>
        <w:gridCol w:w="1020"/>
        <w:gridCol w:w="4422"/>
      </w:tblGrid>
      <w:tr>
        <w:trPr>
          <w:tblHeader w:val="true"/>
        </w:trPr>
        <w:tc>
          <w:tcPr>
            <w:tcW w:type="dxa" w:w="294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目录名</w:t>
            </w:r>
          </w:p>
        </w:tc>
        <w:tc>
          <w:tcPr>
            <w:tcW w:type="dxa" w:w="794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skill 数</w:t>
            </w:r>
          </w:p>
        </w:tc>
        <w:tc>
          <w:tcPr>
            <w:tcW w:type="dxa" w:w="1020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必需程度</w:t>
            </w:r>
          </w:p>
        </w:tc>
        <w:tc>
          <w:tcPr>
            <w:tcW w:type="dxa" w:w="4422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说明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academic-research-skills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强烈建议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开题、深度研究、写作、评审的中枢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supervisor-skills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12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强烈建议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写作与投稿自查，中文学术写作适配度最高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auto-empirical-research-skills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32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按需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有实证数据才需要；纯理论论文可跳过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academic-figure-skills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3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建议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图表规划与绘制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ai-research-skills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10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建议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ARA 知识产物与 ML/系统论文写作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deep-research-skills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5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可选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轻量调研，与 deep-research 功能有重叠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corpus-paper-archiving</w:t>
            </w:r>
          </w:p>
        </w:tc>
        <w:tc>
          <w:tcPr>
            <w:tcW w:type="dxa" w:w="794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建议</w:t>
            </w:r>
          </w:p>
        </w:tc>
        <w:tc>
          <w:tcPr>
            <w:tcW w:type="dxa" w:w="4422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文献精读归档，中文文献场景特别有用</w:t>
            </w:r>
          </w:p>
        </w:tc>
      </w:tr>
    </w:tbl>
    <w:p>
      <w:pPr>
        <w:pStyle w:val="Heading2"/>
      </w:pPr>
      <w:r>
        <w:t>5.3 安装步骤</w:t>
      </w:r>
    </w:p>
    <w:p>
      <w:pPr>
        <w:spacing w:after="20"/>
        <w:ind w:left="283"/>
      </w:pPr>
      <w:r>
        <w:rPr>
          <w:b/>
          <w:sz w:val="20"/>
        </w:rPr>
        <w:t>第 1 步　定位 WorkBuddy 的 skills 目录</w:t>
      </w:r>
    </w:p>
    <w:p>
      <w:pPr>
        <w:spacing w:after="160"/>
        <w:ind w:left="283"/>
      </w:pPr>
      <w:r>
        <w:rPr>
          <w:b w:val="0"/>
        </w:rPr>
        <w:t>打开 WorkBuddy 的设置或安装目录，查找名为 skills 的文件夹。常见位置包括用户主目录下的 .workbuddy/skills、.codebuddy/skills，或工作区的 .claude/skills。若不确认，可先建一个空目录并在工具中验证它是否被识别。</w:t>
      </w:r>
    </w:p>
    <w:p>
      <w:pPr>
        <w:spacing w:after="20"/>
        <w:ind w:left="283"/>
      </w:pPr>
      <w:r>
        <w:rPr>
          <w:b/>
          <w:sz w:val="20"/>
        </w:rPr>
        <w:t>第 2 步　复制技能族目录</w:t>
      </w:r>
    </w:p>
    <w:p>
      <w:pPr>
        <w:spacing w:after="160"/>
        <w:ind w:left="283"/>
      </w:pPr>
      <w:r>
        <w:rPr>
          <w:b w:val="0"/>
        </w:rPr>
        <w:t>源目录为本机技能库的 .claude/skills/ 目录。把上表中需要的技能族整个目录复制进 WorkBuddy 的 skills 目录。注意保持「族/ skill / SKILL.md」的层级，不要只复制 SKILL.md 文件本身 —— references/ 与 scripts/ 是 skill 正常工作所依赖的。</w:t>
      </w:r>
    </w:p>
    <w:p>
      <w:pPr>
        <w:spacing w:after="20"/>
        <w:ind w:left="283"/>
      </w:pPr>
      <w:r>
        <w:rPr>
          <w:b/>
          <w:sz w:val="20"/>
        </w:rPr>
        <w:t>第 3 步　验证识别</w:t>
      </w:r>
    </w:p>
    <w:p>
      <w:pPr>
        <w:spacing w:after="160"/>
        <w:ind w:left="283"/>
      </w:pPr>
      <w:r>
        <w:rPr>
          <w:b w:val="0"/>
        </w:rPr>
        <w:t>重启 WorkBuddy 或重载配置，然后查询可用 skill 列表。应能看到 academic-pipeline、paper-writer、corpus-paper-archiving 等条目。若未识别，检查 SKILL.md 的 frontmatter 是否完整（name 与 description 是必需字段）。</w:t>
      </w:r>
    </w:p>
    <w:p>
      <w:pPr>
        <w:spacing w:after="20"/>
        <w:ind w:left="283"/>
      </w:pPr>
      <w:r>
        <w:rPr>
          <w:b/>
          <w:sz w:val="20"/>
        </w:rPr>
        <w:t>第 4 步　处理两个插件式子包</w:t>
      </w:r>
    </w:p>
    <w:p>
      <w:pPr>
        <w:spacing w:after="160"/>
        <w:ind w:left="283"/>
      </w:pPr>
      <w:r>
        <w:rPr>
          <w:b w:val="0"/>
        </w:rPr>
        <w:t>aer-skills 与 p-hacking-skills 带有 .claude-plugin/plugin.json，属于插件格式。若 WorkBuddy 支持插件安装，可直接安装；若不支持，把其下的 skills/ 子目录内的各个 skill 目录平铺复制即可。</w:t>
      </w:r>
    </w:p>
    <w:p>
      <w:pPr>
        <w:spacing w:after="20"/>
        <w:ind w:left="283"/>
      </w:pPr>
      <w:r>
        <w:rPr>
          <w:b/>
          <w:sz w:val="20"/>
        </w:rPr>
        <w:t>第 5 步　补齐外部依赖</w:t>
      </w:r>
    </w:p>
    <w:p>
      <w:pPr>
        <w:spacing w:after="160"/>
        <w:ind w:left="283"/>
      </w:pPr>
      <w:r>
        <w:rPr>
          <w:b w:val="0"/>
        </w:rPr>
        <w:t>部分 skill 运行需要外部工具：full-empirical-* 需要 pandas/statsmodels/feols 等；fig-draw 需要绘图环境；de-aigc-skills 只需文本处理。建议先在 WorkBuddy 中确认 Python 与常用统计包可用。</w:t>
      </w:r>
    </w:p>
    <w:p>
      <w:pPr>
        <w:pStyle w:val="Heading2"/>
      </w:pPr>
      <w:r>
        <w:t>5.4 来源与许可</w:t>
      </w:r>
    </w:p>
    <w:p>
      <w:pPr>
        <w:spacing w:after="80"/>
      </w:pPr>
      <w:r>
        <w:rPr>
          <w:b w:val="0"/>
        </w:rPr>
        <w:t>经核查，68 个 skill 中仅两个带有明确的来源与许可声明：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1927"/>
        <w:gridCol w:w="1020"/>
        <w:gridCol w:w="907"/>
        <w:gridCol w:w="5329"/>
      </w:tblGrid>
      <w:tr>
        <w:trPr>
          <w:tblHeader w:val="true"/>
        </w:trPr>
        <w:tc>
          <w:tcPr>
            <w:tcW w:type="dxa" w:w="192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子包</w:t>
            </w:r>
          </w:p>
        </w:tc>
        <w:tc>
          <w:tcPr>
            <w:tcW w:type="dxa" w:w="1020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版本</w:t>
            </w:r>
          </w:p>
        </w:tc>
        <w:tc>
          <w:tcPr>
            <w:tcW w:type="dxa" w:w="907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许可</w:t>
            </w:r>
          </w:p>
        </w:tc>
        <w:tc>
          <w:tcPr>
            <w:tcW w:type="dxa" w:w="5329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来源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aer-skills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1.5.0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MIT</w:t>
            </w:r>
          </w:p>
        </w:tc>
        <w:tc>
          <w:tcPr>
            <w:tcW w:type="dxa" w:w="532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github.com/brycewang-stanford/AER-Skills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p-hacking-skills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0.5.0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MIT</w:t>
            </w:r>
          </w:p>
        </w:tc>
        <w:tc>
          <w:tcPr>
            <w:tcW w:type="dxa" w:w="5329"/>
          </w:tcPr>
          <w:p>
            <w:pPr>
              <w:spacing w:after="0" w:line="252" w:lineRule="auto"/>
            </w:pPr>
            <w:r/>
            <w:r>
              <w:rPr>
                <w:rFonts w:ascii="Times New Roman" w:hAnsi="Times New Roman" w:eastAsia="宋体"/>
                <w:sz w:val="17"/>
                <w:rFonts/>
              </w:rPr>
              <w:t>github.com/brycewang-stanford/p-hacking-skills</w:t>
            </w:r>
          </w:p>
        </w:tc>
      </w:tr>
    </w:tbl>
    <w:p>
      <w:pPr>
        <w:spacing w:before="60"/>
        <w:ind w:left="283"/>
      </w:pPr>
      <w:r>
        <w:rPr>
          <w:i/>
          <w:color w:val="666666"/>
          <w:sz w:val="18"/>
        </w:rPr>
        <w:t>其余技能族目录内未发现 LICENSE、PROVENANCE 或 package.json 等溯源文件，无法从本地文件判定来源与许可。supervisor-skills 的 vibe-research-workflow 在其 frontmatter 中标注 license: CC-BY-4.0。在企业环境内部使用前，建议先确认这些技能族的原始授权条款。</w:t>
      </w:r>
    </w:p>
    <w:p>
      <w:r>
        <w:br w:type="page"/>
      </w:r>
    </w:p>
    <w:p>
      <w:pPr>
        <w:pStyle w:val="Heading1"/>
      </w:pPr>
      <w:r>
        <w:t>六、在 WorkBuddy 中组建智能体团队</w:t>
      </w:r>
    </w:p>
    <w:p>
      <w:pPr>
        <w:spacing w:after="160"/>
      </w:pPr>
      <w:r>
        <w:rPr>
          <w:b w:val="0"/>
        </w:rPr>
        <w:t>本章给出一套可直接使用的团队定义。核心思路是：一个成员对应一个技能族，成员之间用任务依赖串成流水线，每个任务写明「读哪个 skill、产出什么文件、交接什么」。</w:t>
      </w:r>
    </w:p>
    <w:p>
      <w:pPr>
        <w:pStyle w:val="Heading2"/>
      </w:pPr>
      <w:r>
        <w:t>6.1 七个成员的职责任务书</w:t>
      </w:r>
    </w:p>
    <w:p>
      <w:pPr>
        <w:pStyle w:val="Heading3"/>
      </w:pPr>
      <w:r>
        <w:t>成员 1　research-orchestrator（研究总控）</w:t>
      </w:r>
    </w:p>
    <w:p>
      <w:pPr>
        <w:spacing w:after="40"/>
      </w:pPr>
      <w:r>
        <w:rPr>
          <w:b/>
          <w:sz w:val="18"/>
        </w:rPr>
        <w:t>技能族：academic-research-skills</w:t>
      </w:r>
    </w:p>
    <w:p>
      <w:pPr>
        <w:spacing w:after="40"/>
        <w:ind w:left="227"/>
      </w:pPr>
      <w:r>
        <w:rPr>
          <w:b w:val="0"/>
        </w:rPr>
        <w:t>职责：选题收敛、开题、期刊选型、流程编排、完整性核查、定稿。</w:t>
      </w:r>
    </w:p>
    <w:p>
      <w:pPr>
        <w:spacing w:after="40"/>
        <w:ind w:left="227"/>
      </w:pPr>
      <w:r>
        <w:rPr>
          <w:b w:val="0"/>
        </w:rPr>
        <w:t>第一个任务：读 academic-pipeline 与 deep-research，与用户确认研究主题、学科、目标期刊、论文类型、引用格式、写作语言；产出研究问题简报、方法蓝图、目标期刊说明、论文骨架、检索策略五份文件；额外产出一份「是否需要实证」的判定文件，供后续分支使用。</w:t>
      </w:r>
    </w:p>
    <w:p>
      <w:pPr>
        <w:spacing w:after="40"/>
        <w:ind w:left="227"/>
      </w:pPr>
      <w:r>
        <w:rPr>
          <w:b w:val="0"/>
        </w:rPr>
        <w:t>最后一个任务：完整性核查（参考文献真实性逐条核对、正文引用与文献表一一对应、数据与表格一致、结论不超出证据）、格式转换、过程记录。</w:t>
      </w:r>
    </w:p>
    <w:p>
      <w:pPr>
        <w:pStyle w:val="Heading3"/>
      </w:pPr>
      <w:r>
        <w:t>成员 2　corpus-archivist（文献精读归档）</w:t>
      </w:r>
    </w:p>
    <w:p>
      <w:pPr>
        <w:spacing w:after="40"/>
      </w:pPr>
      <w:r>
        <w:rPr>
          <w:b/>
          <w:sz w:val="18"/>
        </w:rPr>
        <w:t>技能族：corpus-paper-archiving</w:t>
      </w:r>
    </w:p>
    <w:p>
      <w:pPr>
        <w:spacing w:after="40"/>
        <w:ind w:left="227"/>
      </w:pPr>
      <w:r>
        <w:rPr>
          <w:b w:val="0"/>
        </w:rPr>
        <w:t>职责：逐篇精读全文建可核对读档，再据读档写文献综述。</w:t>
      </w:r>
    </w:p>
    <w:p>
      <w:pPr>
        <w:spacing w:after="40"/>
        <w:ind w:left="227"/>
      </w:pPr>
      <w:r>
        <w:rPr>
          <w:b w:val="0"/>
        </w:rPr>
        <w:t>关键约束：不许只看摘要下结论；每条判断必须能回到原文的具体位置（页码/段落）；建一份 evidence-gaps 文件，记录所有因全文不可得而无法核实的论断，以及建议的替代表述。</w:t>
      </w:r>
    </w:p>
    <w:p>
      <w:pPr>
        <w:pStyle w:val="Heading3"/>
      </w:pPr>
      <w:r>
        <w:t>成员 3　deep-researcher（深度调研与独立审查）</w:t>
      </w:r>
    </w:p>
    <w:p>
      <w:pPr>
        <w:spacing w:after="40"/>
      </w:pPr>
      <w:r>
        <w:rPr>
          <w:b/>
          <w:sz w:val="18"/>
        </w:rPr>
        <w:t>技能族：ai-research-skills + deep-research-skills</w:t>
      </w:r>
    </w:p>
    <w:p>
      <w:pPr>
        <w:spacing w:after="40"/>
        <w:ind w:left="227"/>
      </w:pPr>
      <w:r>
        <w:rPr>
          <w:b w:val="0"/>
        </w:rPr>
        <w:t>职责：领域全景、方法对比、研究空白与创新点核查（t3）；并对成稿做内容层面的独立审查（t7）。</w:t>
      </w:r>
    </w:p>
    <w:p>
      <w:pPr>
        <w:spacing w:after="40"/>
        <w:ind w:left="227"/>
      </w:pPr>
      <w:r>
        <w:rPr>
          <w:b w:val="0"/>
        </w:rPr>
        <w:t>关键产出：一份能回答「本文的创新点是否已被别人做过」的核查报告，以及能找到国际基准数字的外部参照系检索。</w:t>
      </w:r>
    </w:p>
    <w:p>
      <w:pPr>
        <w:pStyle w:val="Heading3"/>
      </w:pPr>
      <w:r>
        <w:t>成员 4　empirical-analyst（实证分析）</w:t>
      </w:r>
    </w:p>
    <w:p>
      <w:pPr>
        <w:spacing w:after="40"/>
      </w:pPr>
      <w:r>
        <w:rPr>
          <w:b/>
          <w:sz w:val="18"/>
        </w:rPr>
        <w:t>技能族：auto-empirical-research-skills</w:t>
      </w:r>
    </w:p>
    <w:p>
      <w:pPr>
        <w:spacing w:after="40"/>
        <w:ind w:left="227"/>
      </w:pPr>
      <w:r>
        <w:rPr>
          <w:b w:val="0"/>
        </w:rPr>
        <w:t>职责：先判定是否需要实证，需要则做数据清洗、编码映射、统计建模、结果表生成；另负责定稿前的去 AIGC 痕迹处理。</w:t>
      </w:r>
    </w:p>
    <w:p>
      <w:pPr>
        <w:spacing w:after="40"/>
        <w:ind w:left="227"/>
      </w:pPr>
      <w:r>
        <w:rPr>
          <w:b w:val="0"/>
        </w:rPr>
        <w:t>关键约束：不得编造数据；所有数字必须由脚本从原始数据直接生成；结果不支持假设时如实报告，不得调整数据或只报有利的一行。</w:t>
      </w:r>
    </w:p>
    <w:p>
      <w:pPr>
        <w:pStyle w:val="Heading3"/>
      </w:pPr>
      <w:r>
        <w:t>成员 5　figure-designer（图表设计）</w:t>
      </w:r>
    </w:p>
    <w:p>
      <w:pPr>
        <w:spacing w:after="40"/>
      </w:pPr>
      <w:r>
        <w:rPr>
          <w:b/>
          <w:sz w:val="18"/>
        </w:rPr>
        <w:t>技能族：academic-figure-skills</w:t>
      </w:r>
    </w:p>
    <w:p>
      <w:pPr>
        <w:spacing w:after="40"/>
        <w:ind w:left="227"/>
      </w:pPr>
      <w:r>
        <w:rPr>
          <w:b w:val="0"/>
        </w:rPr>
        <w:t>职责：先分析规划（产出 FigurePlan），再绘制，最后按需转可编辑 PPTX。</w:t>
      </w:r>
    </w:p>
    <w:p>
      <w:pPr>
        <w:spacing w:after="40"/>
        <w:ind w:left="227"/>
      </w:pPr>
      <w:r>
        <w:rPr>
          <w:b w:val="0"/>
        </w:rPr>
        <w:t>关键约束：先规划后绘制；图上不得出现与统计结果不符的表述；每张图附中文图题与数据溯源说明。</w:t>
      </w:r>
    </w:p>
    <w:p>
      <w:pPr>
        <w:pStyle w:val="Heading3"/>
      </w:pPr>
      <w:r>
        <w:t>成员 6　paper-supervisor（写作与修订）</w:t>
      </w:r>
    </w:p>
    <w:p>
      <w:pPr>
        <w:spacing w:after="40"/>
      </w:pPr>
      <w:r>
        <w:rPr>
          <w:b/>
          <w:sz w:val="18"/>
        </w:rPr>
        <w:t>技能族：supervisor-skills</w:t>
      </w:r>
    </w:p>
    <w:p>
      <w:pPr>
        <w:spacing w:after="40"/>
        <w:ind w:left="227"/>
      </w:pPr>
      <w:r>
        <w:rPr>
          <w:b w:val="0"/>
        </w:rPr>
        <w:t>职责：全文写作（t6）、引言专项、语言润色，以及按独立审查意见逐条修订（t8）。</w:t>
      </w:r>
    </w:p>
    <w:p>
      <w:pPr>
        <w:spacing w:after="40"/>
        <w:ind w:left="227"/>
      </w:pPr>
      <w:r>
        <w:rPr>
          <w:b w:val="0"/>
        </w:rPr>
        <w:t>关键约束：每条事实性陈述必须能追溯到上游提供的材料；润色只改表达不改事实与立场；不得对无法获取全文的文献断言其「未做某事」。</w:t>
      </w:r>
    </w:p>
    <w:p>
      <w:pPr>
        <w:pStyle w:val="Heading3"/>
      </w:pPr>
      <w:r>
        <w:t>成员 7　quality-gatekeeper（质量与合规验收）</w:t>
      </w:r>
    </w:p>
    <w:p>
      <w:r>
        <w:t>技能族：academic-research-skills + supervisor-skills</w:t>
      </w:r>
    </w:p>
    <w:p>
      <w:r>
        <w:t>职责：独立于写作环节的验收方。写作与审查由 paper-supervisor 完成，质量合规由本成员判定，两者不重叠——避免「自己检查自己」的假通过。</w:t>
      </w:r>
    </w:p>
    <w:p>
      <w:r>
        <w:t>第一个任务：接收 t10 候选定稿与全套过程产物（文献表、数据字典、脚本、图表源文件），按四项闸门逐条验收，输出验收报告：通过项、退回项、每项的可定位证据；判 fail 时退回 t8 的责任成员，不在验收环节改稿。</w:t>
      </w:r>
    </w:p>
    <w:p>
      <w:r>
        <w:t>判定标准：verdict=pass 仅当四项闸门全部通过，或剩余问题已由队长书面豁免；任一闸门不通过即 failed，并附缺陷清单。</w:t>
      </w:r>
    </w:p>
    <w:p>
      <w:pPr>
        <w:pStyle w:val="Heading2"/>
      </w:pPr>
      <w:r>
        <w:t>6.2 任务依赖表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185"/>
      </w:tblPr>
      <w:tblGrid>
        <w:gridCol w:w="1701"/>
        <w:gridCol w:w="2268"/>
        <w:gridCol w:w="1134"/>
        <w:gridCol w:w="4082"/>
      </w:tblGrid>
      <w:tr>
        <w:trPr>
          <w:tblHeader w:val="true"/>
        </w:trPr>
        <w:tc>
          <w:tcPr>
            <w:tcW w:type="dxa" w:w="1701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任务</w:t>
            </w:r>
          </w:p>
        </w:tc>
        <w:tc>
          <w:tcPr>
            <w:tcW w:type="dxa" w:w="2268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负责成员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依赖</w:t>
            </w:r>
          </w:p>
        </w:tc>
        <w:tc>
          <w:tcPr>
            <w:tcW w:type="dxa" w:w="4082"/>
            <w:shd w:val="clear" w:color="auto"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  <w:rFonts/>
              </w:rPr>
              <w:t>交付物</w:t>
            </w:r>
          </w:p>
        </w:tc>
      </w:tr>
      <w:tr>
        <w:tc>
          <w:tcPr>
            <w:tcW w:type="dxa" w:w="1701"/>
          </w:tcPr>
          <w:p>
            <w:r/>
            <w:r>
              <w:t>t1 选题开题</w:t>
            </w:r>
          </w:p>
        </w:tc>
        <w:tc>
          <w:tcPr>
            <w:tcW w:type="dxa" w:w="2268"/>
          </w:tcPr>
          <w:p>
            <w:r/>
            <w:r>
              <w:t>research-orchestrator</w:t>
            </w:r>
          </w:p>
        </w:tc>
        <w:tc>
          <w:tcPr>
            <w:tcW w:type="dxa" w:w="1134"/>
          </w:tcPr>
          <w:p>
            <w:r/>
            <w:r>
              <w:t>—</w:t>
            </w:r>
          </w:p>
        </w:tc>
        <w:tc>
          <w:tcPr>
            <w:tcW w:type="dxa" w:w="4082"/>
          </w:tcPr>
          <w:p>
            <w:r/>
            <w:r>
              <w:t>研究问题简报、方法蓝图、期刊说明、论文骨架、检索策略、实证判定</w:t>
            </w:r>
          </w:p>
        </w:tc>
      </w:tr>
      <w:tr>
        <w:tc>
          <w:tcPr>
            <w:tcW w:type="dxa" w:w="1701"/>
          </w:tcPr>
          <w:p>
            <w:r/>
            <w:r>
              <w:t>t2 文献精读</w:t>
            </w:r>
          </w:p>
        </w:tc>
        <w:tc>
          <w:tcPr>
            <w:tcW w:type="dxa" w:w="2268"/>
          </w:tcPr>
          <w:p>
            <w:r/>
            <w:r>
              <w:t>corpus-archivist</w:t>
            </w:r>
          </w:p>
        </w:tc>
        <w:tc>
          <w:tcPr>
            <w:tcW w:type="dxa" w:w="1134"/>
          </w:tcPr>
          <w:p>
            <w:r/>
            <w:r>
              <w:t>t1</w:t>
            </w:r>
          </w:p>
        </w:tc>
        <w:tc>
          <w:tcPr>
            <w:tcW w:type="dxa" w:w="4082"/>
          </w:tcPr>
          <w:p>
            <w:r/>
            <w:r>
              <w:t>逐篇读档、文献总表、综述初稿、证据缺口清单</w:t>
            </w:r>
          </w:p>
        </w:tc>
      </w:tr>
      <w:tr>
        <w:tc>
          <w:tcPr>
            <w:tcW w:type="dxa" w:w="1701"/>
          </w:tcPr>
          <w:p>
            <w:r/>
            <w:r>
              <w:t>t3 深度调研</w:t>
            </w:r>
          </w:p>
        </w:tc>
        <w:tc>
          <w:tcPr>
            <w:tcW w:type="dxa" w:w="2268"/>
          </w:tcPr>
          <w:p>
            <w:r/>
            <w:r>
              <w:t>deep-researcher</w:t>
            </w:r>
          </w:p>
        </w:tc>
        <w:tc>
          <w:tcPr>
            <w:tcW w:type="dxa" w:w="1134"/>
          </w:tcPr>
          <w:p>
            <w:r/>
            <w:r>
              <w:t>t1</w:t>
            </w:r>
          </w:p>
        </w:tc>
        <w:tc>
          <w:tcPr>
            <w:tcW w:type="dxa" w:w="4082"/>
          </w:tcPr>
          <w:p>
            <w:r/>
            <w:r>
              <w:t>研究报告、空白与创新性核查、ARA 产物</w:t>
            </w:r>
          </w:p>
        </w:tc>
      </w:tr>
      <w:tr>
        <w:tc>
          <w:tcPr>
            <w:tcW w:type="dxa" w:w="1701"/>
          </w:tcPr>
          <w:p>
            <w:r/>
            <w:r>
              <w:t>t4 实证分析</w:t>
            </w:r>
          </w:p>
        </w:tc>
        <w:tc>
          <w:tcPr>
            <w:tcW w:type="dxa" w:w="2268"/>
          </w:tcPr>
          <w:p>
            <w:r/>
            <w:r>
              <w:t>empirical-analyst</w:t>
            </w:r>
          </w:p>
        </w:tc>
        <w:tc>
          <w:tcPr>
            <w:tcW w:type="dxa" w:w="1134"/>
          </w:tcPr>
          <w:p>
            <w:r/>
            <w:r>
              <w:t>t1（条件：判定为需要实证）</w:t>
            </w:r>
          </w:p>
        </w:tc>
        <w:tc>
          <w:tcPr>
            <w:tcW w:type="dxa" w:w="4082"/>
          </w:tcPr>
          <w:p>
            <w:r/>
            <w:r>
              <w:t>分析脚本、结果表、实证报告</w:t>
            </w:r>
          </w:p>
        </w:tc>
      </w:tr>
      <w:tr>
        <w:tc>
          <w:tcPr>
            <w:tcW w:type="dxa" w:w="1701"/>
          </w:tcPr>
          <w:p>
            <w:r/>
            <w:r>
              <w:t>t5 图表设计</w:t>
            </w:r>
          </w:p>
        </w:tc>
        <w:tc>
          <w:tcPr>
            <w:tcW w:type="dxa" w:w="2268"/>
          </w:tcPr>
          <w:p>
            <w:r/>
            <w:r>
              <w:t>figure-designer</w:t>
            </w:r>
          </w:p>
        </w:tc>
        <w:tc>
          <w:tcPr>
            <w:tcW w:type="dxa" w:w="1134"/>
          </w:tcPr>
          <w:p>
            <w:r/>
            <w:r>
              <w:t>t3；需要实证时加 t4</w:t>
            </w:r>
          </w:p>
        </w:tc>
        <w:tc>
          <w:tcPr>
            <w:tcW w:type="dxa" w:w="4082"/>
          </w:tcPr>
          <w:p>
            <w:r/>
            <w:r>
              <w:t>图表规划、成品图、图题与正文引用位置</w:t>
            </w:r>
          </w:p>
        </w:tc>
      </w:tr>
      <w:tr>
        <w:tc>
          <w:tcPr>
            <w:tcW w:type="dxa" w:w="1701"/>
          </w:tcPr>
          <w:p>
            <w:r/>
            <w:r>
              <w:t>t6 全文写作</w:t>
            </w:r>
          </w:p>
        </w:tc>
        <w:tc>
          <w:tcPr>
            <w:tcW w:type="dxa" w:w="2268"/>
          </w:tcPr>
          <w:p>
            <w:r/>
            <w:r>
              <w:t>paper-supervisor</w:t>
            </w:r>
          </w:p>
        </w:tc>
        <w:tc>
          <w:tcPr>
            <w:tcW w:type="dxa" w:w="1134"/>
          </w:tcPr>
          <w:p>
            <w:r/>
            <w:r>
              <w:t>t2、t3、t5；需要实证时加 t4</w:t>
            </w:r>
          </w:p>
        </w:tc>
        <w:tc>
          <w:tcPr>
            <w:tcW w:type="dxa" w:w="4082"/>
          </w:tcPr>
          <w:p>
            <w:r/>
            <w:r>
              <w:t>全文初稿、论断溯源表、待补清单</w:t>
            </w:r>
          </w:p>
        </w:tc>
      </w:tr>
      <w:tr>
        <w:tc>
          <w:tcPr>
            <w:tcW w:type="dxa" w:w="1701"/>
          </w:tcPr>
          <w:p>
            <w:r/>
            <w:r>
              <w:t>t7 独立审查</w:t>
            </w:r>
          </w:p>
        </w:tc>
        <w:tc>
          <w:tcPr>
            <w:tcW w:type="dxa" w:w="2268"/>
          </w:tcPr>
          <w:p>
            <w:r/>
            <w:r>
              <w:t>deep-researcher</w:t>
            </w:r>
          </w:p>
        </w:tc>
        <w:tc>
          <w:tcPr>
            <w:tcW w:type="dxa" w:w="1134"/>
          </w:tcPr>
          <w:p>
            <w:r/>
            <w:r>
              <w:t>t6</w:t>
            </w:r>
          </w:p>
        </w:tc>
        <w:tc>
          <w:tcPr>
            <w:tcW w:type="dxa" w:w="4082"/>
          </w:tcPr>
          <w:p>
            <w:r/>
            <w:r>
              <w:t>问题清单（创新性／论证／方法／结论边界）</w:t>
            </w:r>
          </w:p>
        </w:tc>
      </w:tr>
      <w:tr>
        <w:tc>
          <w:tcPr>
            <w:tcW w:type="dxa" w:w="1701"/>
          </w:tcPr>
          <w:p>
            <w:r/>
            <w:r>
              <w:t>t8 修订</w:t>
            </w:r>
          </w:p>
        </w:tc>
        <w:tc>
          <w:tcPr>
            <w:tcW w:type="dxa" w:w="2268"/>
          </w:tcPr>
          <w:p>
            <w:r/>
            <w:r>
              <w:t>paper-supervisor</w:t>
            </w:r>
          </w:p>
        </w:tc>
        <w:tc>
          <w:tcPr>
            <w:tcW w:type="dxa" w:w="1134"/>
          </w:tcPr>
          <w:p>
            <w:r/>
            <w:r>
              <w:t>t7</w:t>
            </w:r>
          </w:p>
        </w:tc>
        <w:tc>
          <w:tcPr>
            <w:tcW w:type="dxa" w:w="4082"/>
          </w:tcPr>
          <w:p>
            <w:r/>
            <w:r>
              <w:t>修订稿、逐条回应表</w:t>
            </w:r>
          </w:p>
        </w:tc>
      </w:tr>
      <w:tr>
        <w:tc>
          <w:tcPr>
            <w:tcW w:type="dxa" w:w="1701"/>
          </w:tcPr>
          <w:p>
            <w:r/>
            <w:r>
              <w:t>t9 去 AI 痕迹</w:t>
            </w:r>
          </w:p>
        </w:tc>
        <w:tc>
          <w:tcPr>
            <w:tcW w:type="dxa" w:w="2268"/>
          </w:tcPr>
          <w:p>
            <w:r/>
            <w:r>
              <w:t>empirical-analyst</w:t>
            </w:r>
          </w:p>
        </w:tc>
        <w:tc>
          <w:tcPr>
            <w:tcW w:type="dxa" w:w="1134"/>
          </w:tcPr>
          <w:p>
            <w:r/>
            <w:r>
              <w:t>t8</w:t>
            </w:r>
          </w:p>
        </w:tc>
        <w:tc>
          <w:tcPr>
            <w:tcW w:type="dxa" w:w="4082"/>
          </w:tcPr>
          <w:p>
            <w:r/>
            <w:r>
              <w:t>处理后全文、改动清单</w:t>
            </w:r>
          </w:p>
        </w:tc>
      </w:tr>
      <w:tr>
        <w:tc>
          <w:tcPr>
            <w:tcW w:type="dxa" w:w="1701"/>
          </w:tcPr>
          <w:p>
            <w:r/>
            <w:r>
              <w:t>t10 候选定稿</w:t>
            </w:r>
          </w:p>
        </w:tc>
        <w:tc>
          <w:tcPr>
            <w:tcW w:type="dxa" w:w="2268"/>
          </w:tcPr>
          <w:p>
            <w:r/>
            <w:r>
              <w:t>research-orchestrator</w:t>
            </w:r>
          </w:p>
        </w:tc>
        <w:tc>
          <w:tcPr>
            <w:tcW w:type="dxa" w:w="1134"/>
          </w:tcPr>
          <w:p>
            <w:r/>
            <w:r>
              <w:t>t9</w:t>
            </w:r>
          </w:p>
        </w:tc>
        <w:tc>
          <w:tcPr>
            <w:tcW w:type="dxa" w:w="4082"/>
          </w:tcPr>
          <w:p>
            <w:r/>
            <w:r>
              <w:t>候选定稿、完整性报告、过程记录</w:t>
            </w:r>
          </w:p>
        </w:tc>
      </w:tr>
      <w:tr>
        <w:tc>
          <w:tcPr>
            <w:tcW w:type="dxa" w:w="1701"/>
          </w:tcPr>
          <w:p>
            <w:r/>
            <w:r>
              <w:t>t11 质量验收</w:t>
            </w:r>
          </w:p>
        </w:tc>
        <w:tc>
          <w:tcPr>
            <w:tcW w:type="dxa" w:w="2268"/>
          </w:tcPr>
          <w:p>
            <w:r/>
            <w:r>
              <w:t>quality-gatekeeper</w:t>
            </w:r>
          </w:p>
        </w:tc>
        <w:tc>
          <w:tcPr>
            <w:tcW w:type="dxa" w:w="1134"/>
          </w:tcPr>
          <w:p>
            <w:r/>
            <w:r>
              <w:t>t10</w:t>
            </w:r>
          </w:p>
        </w:tc>
        <w:tc>
          <w:tcPr>
            <w:tcW w:type="dxa" w:w="4082"/>
          </w:tcPr>
          <w:p>
            <w:r/>
            <w:r>
              <w:t>验收报告（verdict／缺陷清单）、引注核对表、复现核对记录</w:t>
            </w:r>
          </w:p>
        </w:tc>
      </w:tr>
    </w:tbl>
    <w:p>
      <w:pPr>
        <w:pStyle w:val="Heading2"/>
      </w:pPr>
      <w:r>
        <w:t>6.3 可直接粘贴的组建指令</w:t>
      </w:r>
    </w:p>
    <w:p>
      <w:pPr>
        <w:spacing w:after="80"/>
      </w:pPr>
      <w:r>
        <w:rPr>
          <w:b w:val="0"/>
        </w:rPr>
        <w:t>在 WorkBuddy 中新建团队时，把下面这段作为团队描述与首个任务下达：</w:t>
      </w:r>
    </w:p>
    <w:p>
      <w:pPr>
        <w:spacing w:after="160"/>
        <w:ind w:left="227" w:right="227"/>
      </w:pPr>
      <w:r>
        <w:rPr>
          <w:rFonts w:ascii="Consolas" w:hAnsi="Consolas" w:eastAsia="宋体"/>
          <w:sz w:val="17"/>
          <w:rFonts/>
        </w:rPr>
        <w:t>请组建一个 7 人智能体团队，用于中文学术论文写作全流程。</w:t>
        <w:br/>
        <w:br/>
        <w:t>团队名：论文攻坚组</w:t>
        <w:br/>
        <w:br/>
        <w:t>成员与技能族对应关系：</w:t>
        <w:br/>
        <w:t>1. research-orchestrator —— academic-research-skills</w:t>
        <w:br/>
        <w:t xml:space="preserve">   负责：选题开题（t1）、候选定稿（t10）</w:t>
        <w:br/>
        <w:t>2. corpus-archivist —— corpus-paper-archiving</w:t>
        <w:br/>
        <w:t xml:space="preserve">   负责：文献精读与归档（t2）</w:t>
        <w:br/>
        <w:t>3. deep-researcher —— ai-research-skills + deep-research-skills</w:t>
        <w:br/>
        <w:t xml:space="preserve">   负责：深度调研（t3）、独立审查（t7）</w:t>
        <w:br/>
        <w:t>4. empirical-analyst —— auto-empirical-research-skills</w:t>
        <w:br/>
        <w:t xml:space="preserve">   负责：实证分析（t4，条件）、去 AI 痕迹（t9）</w:t>
        <w:br/>
        <w:t>5. figure-designer —— academic-figure-skills</w:t>
        <w:br/>
        <w:t xml:space="preserve">   负责：图表设计（t5）</w:t>
        <w:br/>
        <w:t>6. paper-supervisor —— supervisor-skills</w:t>
        <w:br/>
        <w:t xml:space="preserve">   负责：全文写作（t6）、修订（t8）</w:t>
        <w:br/>
        <w:t>7. quality-gatekeeper —— academic-research-skills + supervisor-skills</w:t>
        <w:br/>
        <w:t xml:space="preserve">   负责：质量验收（t11）</w:t>
        <w:br/>
        <w:br/>
        <w:t>任务链与依赖：</w:t>
        <w:br/>
        <w:t>t1 →（t2 文献精读 / t3 深度调研 / t4 实证分析·条件）→ t5 图表设计（依 t3；需要实证时加 t4）</w:t>
        <w:br/>
        <w:t>→ t6 全文写作（依 t2、t3、t5；需要实证时加 t4）→ t7 独立审查 → t8 修订</w:t>
        <w:br/>
        <w:t>→ t9 去 AI 痕迹 → t10 候选定稿 → t11 质量验收</w:t>
        <w:br/>
        <w:br/>
        <w:t>三条硬规则：</w:t>
        <w:br/>
        <w:t>1. 写作（t6）与独立审查（t7）不得由同一成员承担。</w:t>
        <w:br/>
        <w:t>2. 质量验收（t11）独立于写作与修订；verdict=pass 方可交付。</w:t>
        <w:br/>
        <w:t>3. t11 判 fail 时退回 t8 的责任成员，按缺陷清单重走 t8→t11。</w:t>
      </w:r>
    </w:p>
    <w:p>
      <w:pPr>
        <w:pStyle w:val="Heading2"/>
      </w:pPr>
      <w:r>
        <w:t>6.4 迁移时容易踩的三个坑</w:t>
      </w:r>
    </w:p>
    <w:p>
      <w:pPr>
        <w:spacing w:after="40"/>
      </w:pPr>
      <w:r>
        <w:rPr>
          <w:b/>
        </w:rPr>
        <w:t>坑一：以为装了 skill 成员就会用</w:t>
      </w:r>
    </w:p>
    <w:p>
      <w:pPr>
        <w:spacing w:after="160"/>
        <w:ind w:left="227"/>
      </w:pPr>
      <w:r>
        <w:rPr>
          <w:b w:val="0"/>
        </w:rPr>
        <w:t>skill 只提供指令文本，成员还需要被明确告知「当前任务该用哪个 skill」。在每个任务的描述里写清 skill 名称，比自己判断更可靠。</w:t>
      </w:r>
    </w:p>
    <w:p>
      <w:pPr>
        <w:spacing w:after="40"/>
      </w:pPr>
      <w:r>
        <w:rPr>
          <w:b/>
        </w:rPr>
        <w:t>坑二：让成员一次性输出大量内容</w:t>
      </w:r>
    </w:p>
    <w:p>
      <w:pPr>
        <w:spacing w:after="160"/>
        <w:ind w:left="227"/>
      </w:pPr>
      <w:r>
        <w:rPr>
          <w:b w:val="0"/>
        </w:rPr>
        <w:t>本项目中绘图任务两次因单次请求过大被上游拦截（HTTP 400）。改为「一步一文件」——每次只写一个脚本、只跑一张图，即可稳定完成。写作任务同理，建议按章节分批产出。</w:t>
      </w:r>
    </w:p>
    <w:p>
      <w:pPr>
        <w:spacing w:after="40"/>
      </w:pPr>
      <w:r>
        <w:rPr>
          <w:b/>
        </w:rPr>
        <w:t>坑三：不给成员设定「不许做什么」</w:t>
      </w:r>
    </w:p>
    <w:p>
      <w:pPr>
        <w:spacing w:after="160"/>
        <w:ind w:left="227"/>
      </w:pPr>
      <w:r>
        <w:rPr>
          <w:b w:val="0"/>
        </w:rPr>
        <w:t>只写「要产出什么」不够。本项目最有效的约束都是否定式的：不得编造数据、不得对未见全文的文献下否定断言、不得不利结果只报一半。这些约束需要写进任务描述，而不是指望成员自己想到。</w:t>
      </w:r>
    </w:p>
    <w:p>
      <w:r>
        <w:br w:type="page"/>
      </w:r>
    </w:p>
    <w:p>
      <w:r>
        <w:rPr>
          <w:b w:val="0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论文攻坚组 paper-pipeline 团队配置手册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