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Chars="100" w:firstLine="281"/>
        <w:rPr>
          <w:b/>
          <w:color w:val="FF0000"/>
          <w:sz w:val="28"/>
        </w:rPr>
      </w:pPr>
      <w:r>
        <w:rPr>
          <w:b/>
          <w:color w:val="FF0000"/>
          <w:sz w:val="28"/>
        </w:rPr>
        <w:t>注：</w:t>
      </w:r>
      <w:r>
        <w:rPr>
          <w:b/>
          <w:color w:val="FF0000"/>
          <w:sz w:val="28"/>
        </w:rPr>
        <w:t xml:space="preserve"> </w:t>
      </w:r>
      <w:r>
        <w:rPr>
          <w:b/>
          <w:color w:val="FF0000"/>
          <w:sz w:val="28"/>
        </w:rPr>
        <w:t>此申报书提纲不能作为最终的打印稿，申报书以网上在线填写、提交的为准；申报书的打印也以在线生成的文档为准。</w:t>
      </w:r>
    </w:p>
    <w:p>
      <w:pPr>
        <w:ind w:firstLineChars="100" w:firstLine="281"/>
        <w:rPr>
          <w:b/>
          <w:sz w:val="28"/>
        </w:rPr>
      </w:pPr>
    </w:p>
    <w:p>
      <w:pPr>
        <w:ind w:firstLineChars="100" w:firstLine="281"/>
        <w:rPr>
          <w:b/>
          <w:sz w:val="28"/>
          <w:u w:val="single"/>
        </w:rPr>
      </w:pPr>
      <w:r>
        <w:rPr>
          <w:b/>
          <w:sz w:val="28"/>
        </w:rPr>
        <w:t>申报编号：</w:t>
      </w:r>
      <w:r>
        <w:rPr>
          <w:b/>
          <w:sz w:val="28"/>
        </w:rPr>
        <w:t xml:space="preserve">_________________                 </w:t>
      </w:r>
      <w:r>
        <w:rPr>
          <w:b/>
          <w:sz w:val="28"/>
        </w:rPr>
        <w:t>密级：</w:t>
      </w:r>
      <w:r>
        <w:rPr>
          <w:b/>
          <w:sz w:val="28"/>
          <w:u w:val="single"/>
        </w:rPr>
        <w:t xml:space="preserve">      </w:t>
      </w:r>
    </w:p>
    <w:p>
      <w:pPr>
        <w:jc w:val="center"/>
        <w:rPr>
          <w:b/>
          <w:sz w:val="28"/>
        </w:rPr>
      </w:pPr>
    </w:p>
    <w:p>
      <w:pPr>
        <w:rPr>
          <w:b/>
          <w:sz w:val="56"/>
        </w:rPr>
      </w:pPr>
      <w:r>
        <w:rPr>
          <w:b/>
          <w:sz w:val="56"/>
        </w:rPr>
        <w:t xml:space="preserve"> </w:t>
      </w:r>
      <w:r>
        <w:rPr>
          <w:b/>
          <w:sz w:val="56"/>
        </w:rPr>
        <w:tab/>
      </w:r>
      <w:r>
        <w:rPr>
          <w:b/>
          <w:sz w:val="56"/>
        </w:rPr>
        <w:tab/>
      </w:r>
      <w:r>
        <w:rPr>
          <w:b/>
          <w:sz w:val="56"/>
        </w:rPr>
        <w:tab/>
      </w:r>
      <w:r>
        <w:rPr>
          <w:b/>
          <w:sz w:val="56"/>
        </w:rPr>
        <w:tab/>
      </w:r>
      <w:r>
        <w:rPr>
          <w:b/>
          <w:sz w:val="56"/>
        </w:rPr>
        <w:t>四川省科技支撑计划</w:t>
      </w:r>
    </w:p>
    <w:p>
      <w:pPr>
        <w:jc w:val="center"/>
        <w:rPr>
          <w:b/>
          <w:sz w:val="56"/>
        </w:rPr>
      </w:pPr>
      <w:r>
        <w:rPr>
          <w:b/>
          <w:sz w:val="56"/>
        </w:rPr>
        <w:t>项目申报书</w:t>
      </w:r>
      <w:r>
        <w:rPr>
          <w:b/>
          <w:sz w:val="56"/>
        </w:rPr>
        <w:t xml:space="preserve">   </w:t>
      </w:r>
    </w:p>
    <w:p>
      <w:pPr>
        <w:jc w:val="center"/>
        <w:rPr>
          <w:b/>
          <w:sz w:val="28"/>
        </w:rPr>
      </w:pPr>
      <w:r>
        <w:rPr>
          <w:b/>
          <w:sz w:val="28"/>
        </w:rPr>
        <w:t xml:space="preserve">      </w:t>
      </w:r>
    </w:p>
    <w:p>
      <w:pPr>
        <w:rPr>
          <w:b/>
          <w:sz w:val="28"/>
        </w:rPr>
      </w:pPr>
    </w:p>
    <w:p>
      <w:pPr>
        <w:rPr>
          <w:b/>
          <w:sz w:val="28"/>
        </w:rPr>
      </w:pPr>
      <w:r>
        <w:rPr>
          <w:b/>
          <w:sz w:val="28"/>
        </w:rPr>
        <w:t xml:space="preserve">     </w:t>
      </w:r>
      <w:r>
        <w:rPr>
          <w:b/>
          <w:sz w:val="28"/>
        </w:rPr>
        <w:t>项目名称：</w:t>
      </w:r>
      <w:r>
        <w:rPr>
          <w:b/>
          <w:sz w:val="28"/>
          <w:u w:val="single"/>
        </w:rPr>
        <w:t xml:space="preserve">   </w:t>
      </w:r>
      <w:r>
        <w:rPr>
          <w:rFonts w:hint="eastAsia"/>
          <w:kern w:val="0"/>
          <w:sz w:val="24"/>
        </w:rPr>
        <w:t>3G</w:t>
      </w:r>
      <w:r>
        <w:rPr>
          <w:rFonts w:hint="eastAsia"/>
          <w:kern w:val="0"/>
          <w:sz w:val="24"/>
        </w:rPr>
        <w:t>移动通信自动路测系统</w:t>
      </w:r>
      <w:r>
        <w:rPr>
          <w:b/>
          <w:sz w:val="28"/>
          <w:u w:val="single"/>
        </w:rPr>
        <w:t xml:space="preserve">   </w:t>
      </w:r>
    </w:p>
    <w:p>
      <w:pPr>
        <w:rPr>
          <w:b/>
          <w:sz w:val="28"/>
        </w:rPr>
      </w:pPr>
      <w:r>
        <w:rPr>
          <w:b/>
          <w:sz w:val="28"/>
        </w:rPr>
        <w:t xml:space="preserve">     </w:t>
      </w:r>
      <w:r>
        <w:rPr>
          <w:b/>
          <w:sz w:val="28"/>
        </w:rPr>
        <w:t>研究领域：</w:t>
      </w:r>
      <w:r>
        <w:rPr>
          <w:b/>
          <w:sz w:val="28"/>
          <w:u w:val="single"/>
        </w:rPr>
        <w:t xml:space="preserve">      </w:t>
      </w:r>
      <w:r>
        <w:rPr>
          <w:b/>
          <w:sz w:val="28"/>
          <w:u w:val="single"/>
        </w:rPr>
        <w:t>电子信息</w:t>
      </w:r>
      <w:r>
        <w:rPr>
          <w:b/>
          <w:sz w:val="28"/>
          <w:u w:val="single"/>
        </w:rPr>
        <w:t xml:space="preserve">                                    </w:t>
      </w:r>
    </w:p>
    <w:p>
      <w:pPr>
        <w:rPr>
          <w:b/>
          <w:sz w:val="28"/>
        </w:rPr>
      </w:pPr>
      <w:r>
        <w:rPr>
          <w:b/>
          <w:sz w:val="28"/>
        </w:rPr>
        <w:t xml:space="preserve">     </w:t>
      </w:r>
      <w:r>
        <w:rPr>
          <w:b/>
          <w:sz w:val="28"/>
        </w:rPr>
        <w:t>申报单位（盖章）：</w:t>
      </w:r>
      <w:r>
        <w:rPr>
          <w:b/>
          <w:sz w:val="28"/>
          <w:u w:val="single"/>
        </w:rPr>
        <w:t xml:space="preserve">     </w:t>
      </w:r>
      <w:r>
        <w:rPr>
          <w:sz w:val="24"/>
        </w:rPr>
        <w:t>成都东方盛行电子有限责任公司</w:t>
      </w:r>
      <w:r>
        <w:rPr>
          <w:b/>
          <w:sz w:val="28"/>
          <w:u w:val="single"/>
        </w:rPr>
        <w:t xml:space="preserve">  </w:t>
      </w:r>
      <w:r>
        <w:rPr>
          <w:b/>
          <w:sz w:val="28"/>
        </w:rPr>
        <w:t xml:space="preserve">  </w:t>
      </w:r>
    </w:p>
    <w:p>
      <w:pPr>
        <w:rPr>
          <w:b/>
          <w:sz w:val="28"/>
        </w:rPr>
      </w:pPr>
      <w:r>
        <w:rPr>
          <w:b/>
          <w:sz w:val="28"/>
        </w:rPr>
        <w:t xml:space="preserve">     </w:t>
      </w:r>
      <w:r>
        <w:rPr>
          <w:b/>
          <w:sz w:val="28"/>
        </w:rPr>
        <w:t>项目负责人：</w:t>
      </w:r>
      <w:r>
        <w:rPr>
          <w:b/>
          <w:sz w:val="28"/>
          <w:u w:val="single"/>
        </w:rPr>
        <w:t xml:space="preserve">                                        </w:t>
      </w:r>
      <w:r>
        <w:rPr>
          <w:b/>
          <w:sz w:val="28"/>
        </w:rPr>
        <w:t xml:space="preserve">     </w:t>
      </w:r>
    </w:p>
    <w:p>
      <w:pPr>
        <w:rPr>
          <w:b/>
          <w:sz w:val="28"/>
        </w:rPr>
      </w:pPr>
      <w:r>
        <w:rPr>
          <w:b/>
          <w:sz w:val="28"/>
        </w:rPr>
        <w:t xml:space="preserve">     </w:t>
      </w:r>
      <w:r>
        <w:rPr>
          <w:b/>
          <w:sz w:val="28"/>
        </w:rPr>
        <w:t>联系电话：</w:t>
      </w:r>
      <w:r>
        <w:rPr>
          <w:b/>
          <w:sz w:val="28"/>
        </w:rPr>
        <w:t xml:space="preserve"> </w:t>
      </w:r>
      <w:r>
        <w:rPr>
          <w:b/>
          <w:sz w:val="28"/>
          <w:u w:val="single"/>
        </w:rPr>
        <w:t xml:space="preserve">                                         </w:t>
      </w:r>
      <w:r>
        <w:rPr>
          <w:b/>
          <w:sz w:val="28"/>
        </w:rPr>
        <w:t xml:space="preserve">     </w:t>
      </w:r>
    </w:p>
    <w:p>
      <w:pPr>
        <w:rPr>
          <w:b/>
          <w:sz w:val="28"/>
          <w:u w:val="single"/>
        </w:rPr>
      </w:pPr>
      <w:r>
        <w:rPr>
          <w:b/>
          <w:sz w:val="28"/>
        </w:rPr>
        <w:t xml:space="preserve">     </w:t>
      </w:r>
      <w:r>
        <w:rPr>
          <w:b/>
          <w:sz w:val="28"/>
        </w:rPr>
        <w:t>归口部门：</w:t>
      </w:r>
      <w:r>
        <w:rPr>
          <w:b/>
          <w:sz w:val="28"/>
        </w:rPr>
        <w:t xml:space="preserve"> </w:t>
      </w:r>
      <w:r>
        <w:rPr>
          <w:b/>
          <w:sz w:val="28"/>
          <w:u w:val="single"/>
        </w:rPr>
        <w:t xml:space="preserve">                                         </w:t>
      </w:r>
    </w:p>
    <w:p>
      <w:pPr>
        <w:rPr>
          <w:b/>
          <w:sz w:val="28"/>
        </w:rPr>
      </w:pPr>
      <w:r>
        <w:rPr>
          <w:b/>
          <w:sz w:val="28"/>
        </w:rPr>
        <w:t xml:space="preserve">     </w:t>
      </w:r>
      <w:r>
        <w:rPr>
          <w:b/>
          <w:sz w:val="28"/>
        </w:rPr>
        <w:t>起止年限：</w:t>
      </w:r>
      <w:r>
        <w:rPr>
          <w:b/>
          <w:sz w:val="28"/>
        </w:rPr>
        <w:t xml:space="preserve">  20</w:t>
      </w:r>
      <w:r>
        <w:rPr>
          <w:b/>
          <w:sz w:val="28"/>
          <w:u w:val="single"/>
        </w:rPr>
        <w:t xml:space="preserve">  10  </w:t>
      </w:r>
      <w:r>
        <w:rPr>
          <w:b/>
          <w:sz w:val="28"/>
        </w:rPr>
        <w:t>年</w:t>
      </w:r>
      <w:r>
        <w:rPr>
          <w:b/>
          <w:sz w:val="28"/>
          <w:u w:val="single"/>
        </w:rPr>
        <w:t xml:space="preserve">   1   </w:t>
      </w:r>
      <w:r>
        <w:rPr>
          <w:b/>
          <w:sz w:val="28"/>
        </w:rPr>
        <w:t>月至</w:t>
      </w:r>
      <w:r>
        <w:rPr>
          <w:b/>
          <w:sz w:val="28"/>
        </w:rPr>
        <w:t>20</w:t>
      </w:r>
      <w:r>
        <w:rPr>
          <w:b/>
          <w:sz w:val="28"/>
          <w:u w:val="single"/>
        </w:rPr>
        <w:t xml:space="preserve">   11  </w:t>
      </w:r>
      <w:r>
        <w:rPr>
          <w:b/>
          <w:sz w:val="28"/>
        </w:rPr>
        <w:t>年</w:t>
      </w:r>
      <w:r>
        <w:rPr>
          <w:b/>
          <w:sz w:val="28"/>
          <w:u w:val="single"/>
        </w:rPr>
        <w:t xml:space="preserve">  12  </w:t>
      </w:r>
      <w:r>
        <w:rPr>
          <w:b/>
          <w:sz w:val="28"/>
        </w:rPr>
        <w:t>月</w:t>
      </w:r>
    </w:p>
    <w:p>
      <w:pPr>
        <w:rPr>
          <w:b/>
          <w:sz w:val="28"/>
        </w:rPr>
      </w:pPr>
      <w:r>
        <w:rPr>
          <w:b/>
          <w:sz w:val="28"/>
        </w:rPr>
        <w:t xml:space="preserve">     </w:t>
      </w:r>
      <w:r>
        <w:rPr>
          <w:b/>
          <w:sz w:val="28"/>
        </w:rPr>
        <w:t>报送日期：</w:t>
      </w:r>
      <w:r>
        <w:rPr>
          <w:b/>
          <w:sz w:val="28"/>
        </w:rPr>
        <w:t xml:space="preserve">        20</w:t>
      </w:r>
      <w:r>
        <w:rPr>
          <w:b/>
          <w:sz w:val="28"/>
          <w:u w:val="single"/>
        </w:rPr>
        <w:t xml:space="preserve">     </w:t>
      </w:r>
      <w:r>
        <w:rPr>
          <w:b/>
          <w:sz w:val="28"/>
        </w:rPr>
        <w:t>年</w:t>
      </w:r>
      <w:r>
        <w:rPr>
          <w:b/>
          <w:sz w:val="28"/>
          <w:u w:val="single"/>
        </w:rPr>
        <w:t xml:space="preserve">      </w:t>
      </w:r>
      <w:r>
        <w:rPr>
          <w:b/>
          <w:sz w:val="28"/>
        </w:rPr>
        <w:t>月</w:t>
      </w:r>
      <w:r>
        <w:rPr>
          <w:b/>
          <w:sz w:val="28"/>
          <w:u w:val="single"/>
        </w:rPr>
        <w:t xml:space="preserve">      </w:t>
      </w:r>
      <w:r>
        <w:rPr>
          <w:b/>
          <w:sz w:val="28"/>
        </w:rPr>
        <w:t>日</w:t>
      </w:r>
    </w:p>
    <w:p>
      <w:pPr>
        <w:jc w:val="center"/>
        <w:rPr>
          <w:b/>
          <w:sz w:val="28"/>
        </w:rPr>
      </w:pPr>
      <w:r>
        <w:rPr>
          <w:b/>
          <w:sz w:val="28"/>
        </w:rPr>
        <w:t xml:space="preserve"> </w:t>
      </w:r>
    </w:p>
    <w:p>
      <w:pPr>
        <w:rPr>
          <w:b/>
          <w:sz w:val="28"/>
        </w:rPr>
      </w:pPr>
    </w:p>
    <w:p>
      <w:pPr>
        <w:jc w:val="center"/>
        <w:rPr>
          <w:b/>
          <w:sz w:val="28"/>
        </w:rPr>
      </w:pPr>
      <w:r>
        <w:rPr>
          <w:b/>
          <w:sz w:val="36"/>
        </w:rPr>
        <w:t>四川省科学技术厅制</w:t>
      </w:r>
    </w:p>
    <w:p>
      <w:pPr>
        <w:jc w:val="center"/>
        <w:rPr>
          <w:b/>
          <w:sz w:val="28"/>
        </w:rPr>
      </w:pPr>
      <w:r>
        <w:rPr>
          <w:b/>
          <w:sz w:val="28"/>
        </w:rPr>
        <w:t>二</w:t>
      </w:r>
      <w:r>
        <w:rPr>
          <w:b/>
          <w:sz w:val="28"/>
        </w:rPr>
        <w:t xml:space="preserve">0      </w:t>
      </w:r>
      <w:r>
        <w:rPr>
          <w:b/>
          <w:sz w:val="28"/>
        </w:rPr>
        <w:t>年</w:t>
      </w:r>
      <w:r>
        <w:rPr>
          <w:b/>
          <w:sz w:val="28"/>
        </w:rPr>
        <w:t xml:space="preserve">     </w:t>
      </w:r>
      <w:r>
        <w:rPr>
          <w:b/>
          <w:sz w:val="28"/>
        </w:rPr>
        <w:t>月</w:t>
      </w:r>
    </w:p>
    <w:p>
      <w:pPr>
        <w:ind w:firstLineChars="600" w:firstLine="1446"/>
        <w:rPr>
          <w:b/>
          <w:sz w:val="24"/>
        </w:rPr>
      </w:pPr>
    </w:p>
    <w:p>
      <w:pPr>
        <w:ind w:firstLineChars="1100" w:firstLine="2640"/>
        <w:rPr>
          <w:bCs/>
          <w:sz w:val="24"/>
        </w:rPr>
      </w:pPr>
    </w:p>
    <w:p>
      <w:pPr>
        <w:ind w:firstLineChars="1100" w:firstLine="2640"/>
        <w:rPr>
          <w:bCs/>
          <w:sz w:val="24"/>
        </w:rPr>
      </w:pPr>
    </w:p>
    <w:p>
      <w:pPr>
        <w:ind w:firstLineChars="1100" w:firstLine="2640"/>
        <w:rPr>
          <w:bCs/>
          <w:sz w:val="24"/>
        </w:rPr>
      </w:pPr>
    </w:p>
    <w:p>
      <w:pPr>
        <w:ind w:firstLineChars="1100" w:firstLine="2640"/>
        <w:rPr>
          <w:bCs/>
          <w:sz w:val="24"/>
        </w:rPr>
      </w:pPr>
    </w:p>
    <w:p>
      <w:pPr>
        <w:jc w:val="center"/>
        <w:rPr>
          <w:b/>
          <w:sz w:val="32"/>
        </w:rPr>
      </w:pPr>
      <w:r>
        <w:rPr>
          <w:b/>
          <w:sz w:val="32"/>
        </w:rPr>
        <w:t>填写说明</w:t>
      </w:r>
    </w:p>
    <w:p>
      <w:pPr>
        <w:spacing w:line="480" w:lineRule="exact"/>
        <w:ind w:left="420" w:hangingChars="150" w:hanging="420"/>
        <w:rPr>
          <w:sz w:val="28"/>
          <w:szCs w:val="28"/>
        </w:rPr>
      </w:pPr>
    </w:p>
    <w:p>
      <w:pPr>
        <w:spacing w:line="480" w:lineRule="exact"/>
        <w:ind w:left="420" w:hangingChars="150" w:hanging="420"/>
        <w:rPr>
          <w:sz w:val="28"/>
          <w:szCs w:val="28"/>
        </w:rPr>
      </w:pPr>
      <w:r>
        <w:rPr>
          <w:sz w:val="28"/>
          <w:szCs w:val="28"/>
        </w:rPr>
        <w:t xml:space="preserve">1. </w:t>
      </w:r>
      <w:r>
        <w:rPr>
          <w:sz w:val="28"/>
          <w:szCs w:val="28"/>
        </w:rPr>
        <w:t>项目申报人填写项目申报书，应实事求是，表述明确。外来语要同时用原文和中文表达，第一次出现的缩略词，须注明全称。</w:t>
      </w:r>
    </w:p>
    <w:p>
      <w:pPr>
        <w:spacing w:line="480" w:lineRule="exact"/>
        <w:ind w:left="420" w:hangingChars="150" w:hanging="420"/>
        <w:rPr>
          <w:sz w:val="28"/>
          <w:szCs w:val="28"/>
        </w:rPr>
      </w:pPr>
      <w:r>
        <w:rPr>
          <w:sz w:val="28"/>
          <w:szCs w:val="28"/>
        </w:rPr>
        <w:t xml:space="preserve">2. </w:t>
      </w:r>
      <w:r>
        <w:rPr>
          <w:sz w:val="28"/>
          <w:szCs w:val="28"/>
        </w:rPr>
        <w:t>申报人不用填写</w:t>
      </w:r>
      <w:r>
        <w:rPr>
          <w:sz w:val="28"/>
          <w:szCs w:val="28"/>
        </w:rPr>
        <w:t>“</w:t>
      </w:r>
      <w:r>
        <w:rPr>
          <w:sz w:val="28"/>
          <w:szCs w:val="28"/>
        </w:rPr>
        <w:t>申报编号</w:t>
      </w:r>
      <w:r>
        <w:rPr>
          <w:sz w:val="28"/>
          <w:szCs w:val="28"/>
        </w:rPr>
        <w:t>”</w:t>
      </w:r>
      <w:r>
        <w:rPr>
          <w:sz w:val="28"/>
          <w:szCs w:val="28"/>
        </w:rPr>
        <w:t>栏。</w:t>
      </w:r>
    </w:p>
    <w:p>
      <w:pPr>
        <w:spacing w:line="480" w:lineRule="exact"/>
        <w:ind w:left="420" w:hangingChars="150" w:hanging="420"/>
        <w:rPr>
          <w:sz w:val="28"/>
          <w:szCs w:val="28"/>
        </w:rPr>
      </w:pPr>
      <w:r>
        <w:rPr>
          <w:sz w:val="28"/>
          <w:szCs w:val="28"/>
        </w:rPr>
        <w:t xml:space="preserve">3. </w:t>
      </w:r>
      <w:r>
        <w:rPr>
          <w:sz w:val="28"/>
          <w:szCs w:val="28"/>
        </w:rPr>
        <w:t>归口部门是指项目申报单位所隶属的省级有关部门或所在市、州科技局。</w:t>
      </w:r>
    </w:p>
    <w:p>
      <w:pPr>
        <w:spacing w:line="480" w:lineRule="exact"/>
        <w:ind w:left="420" w:hangingChars="150" w:hanging="420"/>
        <w:rPr>
          <w:sz w:val="28"/>
          <w:szCs w:val="28"/>
        </w:rPr>
      </w:pPr>
      <w:r>
        <w:rPr>
          <w:sz w:val="28"/>
          <w:szCs w:val="28"/>
        </w:rPr>
        <w:t xml:space="preserve">4. </w:t>
      </w:r>
      <w:r>
        <w:rPr>
          <w:sz w:val="28"/>
          <w:szCs w:val="28"/>
        </w:rPr>
        <w:t>各级政府行政机构不得作为项目申报单位，也不可以作为合作单位参与研究。</w:t>
      </w:r>
    </w:p>
    <w:p>
      <w:pPr>
        <w:spacing w:line="480" w:lineRule="exact"/>
        <w:ind w:left="420" w:hangingChars="150" w:hanging="420"/>
        <w:rPr>
          <w:sz w:val="28"/>
          <w:szCs w:val="28"/>
        </w:rPr>
      </w:pPr>
      <w:r>
        <w:rPr>
          <w:sz w:val="28"/>
          <w:szCs w:val="28"/>
        </w:rPr>
        <w:t xml:space="preserve">5. </w:t>
      </w:r>
      <w:r>
        <w:rPr>
          <w:sz w:val="28"/>
          <w:szCs w:val="28"/>
        </w:rPr>
        <w:t>编写要求：</w:t>
      </w:r>
    </w:p>
    <w:p>
      <w:pPr>
        <w:spacing w:line="480" w:lineRule="exact"/>
        <w:ind w:left="420" w:hangingChars="150" w:hanging="420"/>
        <w:rPr>
          <w:sz w:val="28"/>
          <w:szCs w:val="28"/>
        </w:rPr>
      </w:pPr>
      <w:r>
        <w:rPr>
          <w:sz w:val="28"/>
          <w:szCs w:val="28"/>
        </w:rPr>
        <w:t>（</w:t>
      </w:r>
      <w:r>
        <w:rPr>
          <w:sz w:val="28"/>
          <w:szCs w:val="28"/>
        </w:rPr>
        <w:t>1</w:t>
      </w:r>
      <w:r>
        <w:rPr>
          <w:sz w:val="28"/>
          <w:szCs w:val="28"/>
        </w:rPr>
        <w:t>）项目符合申报指南的要求，目标定位准确，指标明确、可考核；</w:t>
      </w:r>
    </w:p>
    <w:p>
      <w:pPr>
        <w:spacing w:line="480" w:lineRule="exact"/>
        <w:ind w:left="420" w:hangingChars="150" w:hanging="420"/>
        <w:rPr>
          <w:sz w:val="28"/>
          <w:szCs w:val="28"/>
        </w:rPr>
      </w:pPr>
      <w:r>
        <w:rPr>
          <w:sz w:val="28"/>
          <w:szCs w:val="28"/>
        </w:rPr>
        <w:t>（</w:t>
      </w:r>
      <w:r>
        <w:rPr>
          <w:sz w:val="28"/>
          <w:szCs w:val="28"/>
        </w:rPr>
        <w:t>2</w:t>
      </w:r>
      <w:r>
        <w:rPr>
          <w:sz w:val="28"/>
          <w:szCs w:val="28"/>
        </w:rPr>
        <w:t>）项目任务明确，要充分考虑经济、技术等方面的可行性；</w:t>
      </w:r>
    </w:p>
    <w:p>
      <w:pPr>
        <w:spacing w:line="480" w:lineRule="exact"/>
        <w:ind w:left="420" w:hangingChars="150" w:hanging="420"/>
        <w:rPr>
          <w:sz w:val="28"/>
          <w:szCs w:val="28"/>
        </w:rPr>
      </w:pPr>
      <w:r>
        <w:rPr>
          <w:sz w:val="28"/>
          <w:szCs w:val="28"/>
        </w:rPr>
        <w:t>（</w:t>
      </w:r>
      <w:r>
        <w:rPr>
          <w:sz w:val="28"/>
          <w:szCs w:val="28"/>
        </w:rPr>
        <w:t>3</w:t>
      </w:r>
      <w:r>
        <w:rPr>
          <w:sz w:val="28"/>
          <w:szCs w:val="28"/>
        </w:rPr>
        <w:t>）项目管理与实施符合《四川省科技支撑计划管理暂行办法》；</w:t>
      </w:r>
    </w:p>
    <w:p>
      <w:pPr>
        <w:spacing w:line="480" w:lineRule="exact"/>
        <w:ind w:left="420" w:hangingChars="150" w:hanging="420"/>
        <w:rPr>
          <w:sz w:val="28"/>
          <w:szCs w:val="28"/>
        </w:rPr>
      </w:pPr>
      <w:r>
        <w:rPr>
          <w:sz w:val="28"/>
          <w:szCs w:val="28"/>
        </w:rPr>
        <w:t>（</w:t>
      </w:r>
      <w:r>
        <w:rPr>
          <w:sz w:val="28"/>
          <w:szCs w:val="28"/>
        </w:rPr>
        <w:t>4</w:t>
      </w:r>
      <w:r>
        <w:rPr>
          <w:sz w:val="28"/>
          <w:szCs w:val="28"/>
        </w:rPr>
        <w:t>）项目所需省拨经费按《四川省科技支撑计划专项经费管理暂行办法》管理和使用。</w:t>
      </w:r>
    </w:p>
    <w:p>
      <w:pPr>
        <w:spacing w:line="480" w:lineRule="exact"/>
        <w:ind w:left="420" w:hangingChars="150" w:hanging="420"/>
        <w:rPr>
          <w:sz w:val="28"/>
          <w:szCs w:val="28"/>
        </w:rPr>
      </w:pPr>
      <w:r>
        <w:rPr>
          <w:sz w:val="28"/>
          <w:szCs w:val="28"/>
        </w:rPr>
        <w:t xml:space="preserve">6. </w:t>
      </w:r>
      <w:r>
        <w:rPr>
          <w:sz w:val="28"/>
          <w:szCs w:val="28"/>
        </w:rPr>
        <w:t>项目申报人按申报通知规定的份数，用</w:t>
      </w:r>
      <w:r>
        <w:rPr>
          <w:sz w:val="28"/>
          <w:szCs w:val="28"/>
        </w:rPr>
        <w:t>A4</w:t>
      </w:r>
      <w:r>
        <w:rPr>
          <w:sz w:val="28"/>
          <w:szCs w:val="28"/>
        </w:rPr>
        <w:t>纸打印申报书，左侧装订，不得加用塑料等额外装订材料。经申报单位、归口部门审核签署意见并加盖公章后，报送四川省科技厅项目受理办公室（发展计划处）。</w:t>
      </w:r>
    </w:p>
    <w:p>
      <w:pPr>
        <w:spacing w:line="480" w:lineRule="exact"/>
        <w:ind w:left="420" w:hangingChars="150" w:hanging="420"/>
        <w:rPr>
          <w:sz w:val="28"/>
          <w:szCs w:val="28"/>
        </w:rPr>
      </w:pPr>
      <w:r>
        <w:rPr>
          <w:sz w:val="28"/>
          <w:szCs w:val="28"/>
        </w:rPr>
        <w:t xml:space="preserve">7. </w:t>
      </w:r>
      <w:r>
        <w:rPr>
          <w:sz w:val="28"/>
          <w:szCs w:val="28"/>
        </w:rPr>
        <w:t>网址：四川省科技厅</w:t>
      </w:r>
      <w:r>
        <w:rPr>
          <w:sz w:val="28"/>
          <w:szCs w:val="28"/>
        </w:rPr>
        <w:t xml:space="preserve"> xmgl.scst.gov.cn</w:t>
      </w:r>
    </w:p>
    <w:p>
      <w:pPr>
        <w:jc w:val="center"/>
        <w:rPr>
          <w:b/>
          <w:sz w:val="52"/>
          <w:szCs w:val="52"/>
        </w:rPr>
      </w:pPr>
    </w:p>
    <w:p>
      <w:pPr>
        <w:jc w:val="center"/>
        <w:rPr>
          <w:b/>
          <w:sz w:val="52"/>
          <w:szCs w:val="52"/>
        </w:rPr>
      </w:pPr>
    </w:p>
    <w:p>
      <w:pPr>
        <w:jc w:val="center"/>
        <w:rPr>
          <w:b/>
          <w:sz w:val="52"/>
          <w:szCs w:val="52"/>
        </w:rPr>
      </w:pPr>
    </w:p>
    <w:p>
      <w:pPr>
        <w:jc w:val="center"/>
        <w:rPr>
          <w:b/>
          <w:sz w:val="52"/>
          <w:szCs w:val="52"/>
        </w:rPr>
      </w:pPr>
    </w:p>
    <w:p>
      <w:pPr>
        <w:snapToGrid w:val="0"/>
        <w:ind w:right="28"/>
        <w:jc w:val="center"/>
        <w:rPr>
          <w:rFonts w:eastAsia="黑体"/>
          <w:sz w:val="32"/>
        </w:rPr>
      </w:pPr>
    </w:p>
    <w:p>
      <w:pPr>
        <w:snapToGrid w:val="0"/>
        <w:ind w:right="28"/>
        <w:jc w:val="center"/>
        <w:rPr>
          <w:rFonts w:eastAsia="黑体"/>
          <w:sz w:val="32"/>
        </w:rPr>
      </w:pPr>
    </w:p>
    <w:p>
      <w:pPr>
        <w:snapToGrid w:val="0"/>
        <w:ind w:right="28"/>
        <w:jc w:val="center"/>
        <w:rPr>
          <w:rFonts w:eastAsia="黑体"/>
          <w:sz w:val="32"/>
        </w:rPr>
      </w:pPr>
      <w:r>
        <w:rPr>
          <w:rFonts w:eastAsia="黑体"/>
          <w:sz w:val="32"/>
        </w:rPr>
        <w:t>项目信息表</w:t>
      </w:r>
    </w:p>
    <w:p>
      <w:pPr>
        <w:snapToGrid w:val="0"/>
        <w:ind w:right="28"/>
        <w:jc w:val="center"/>
        <w:rPr>
          <w:rFonts w:eastAsia="黑体"/>
          <w:sz w:val="32"/>
        </w:rPr>
      </w:pPr>
    </w:p>
    <w:tbl>
      <w:tblPr>
        <w:tblW w:w="87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3"/>
        <w:gridCol w:w="717"/>
        <w:gridCol w:w="600"/>
        <w:gridCol w:w="492"/>
        <w:gridCol w:w="396"/>
        <w:gridCol w:w="228"/>
        <w:gridCol w:w="780"/>
        <w:gridCol w:w="156"/>
        <w:gridCol w:w="624"/>
        <w:gridCol w:w="546"/>
        <w:gridCol w:w="549"/>
        <w:gridCol w:w="624"/>
        <w:gridCol w:w="153"/>
        <w:gridCol w:w="627"/>
        <w:gridCol w:w="465"/>
        <w:gridCol w:w="159"/>
        <w:gridCol w:w="780"/>
      </w:tblGrid>
      <w:tr>
        <w:trPr>
          <w:cantSplit/>
        </w:trPr>
        <w:tc>
          <w:tcPr>
            <w:tcW w:w="1560" w:type="dxa"/>
            <w:gridSpan w:val="2"/>
          </w:tcPr>
          <w:p>
            <w:pPr>
              <w:snapToGrid w:val="0"/>
              <w:spacing w:before="20"/>
              <w:ind w:right="26"/>
              <w:jc w:val="center"/>
              <w:rPr>
                <w:rFonts w:eastAsia="仿宋_GB2312"/>
                <w:sz w:val="24"/>
              </w:rPr>
            </w:pPr>
            <w:r>
              <w:rPr>
                <w:rFonts w:eastAsia="仿宋_GB2312"/>
                <w:sz w:val="24"/>
              </w:rPr>
              <w:t>项目名称</w:t>
            </w:r>
          </w:p>
        </w:tc>
        <w:tc>
          <w:tcPr>
            <w:tcW w:w="7179" w:type="dxa"/>
            <w:gridSpan w:val="15"/>
          </w:tcPr>
          <w:p>
            <w:pPr>
              <w:snapToGrid w:val="0"/>
              <w:spacing w:before="20"/>
              <w:ind w:right="26"/>
              <w:rPr>
                <w:rFonts w:eastAsia="仿宋_GB2312"/>
                <w:sz w:val="24"/>
              </w:rPr>
            </w:pPr>
            <w:r>
              <w:rPr>
                <w:rFonts w:hint="eastAsia"/>
                <w:kern w:val="0"/>
                <w:sz w:val="24"/>
              </w:rPr>
              <w:t>3G</w:t>
            </w:r>
            <w:r>
              <w:rPr>
                <w:rFonts w:hint="eastAsia"/>
                <w:kern w:val="0"/>
                <w:sz w:val="24"/>
              </w:rPr>
              <w:t>移动通信自动路测系统</w:t>
            </w:r>
          </w:p>
        </w:tc>
      </w:tr>
      <w:tr>
        <w:trPr>
          <w:cantSplit/>
        </w:trPr>
        <w:tc>
          <w:tcPr>
            <w:tcW w:w="843" w:type="dxa"/>
            <w:vMerge w:val="restart"/>
            <w:vAlign w:val="center"/>
          </w:tcPr>
          <w:p>
            <w:pPr>
              <w:snapToGrid w:val="0"/>
              <w:spacing w:before="20"/>
              <w:ind w:right="26"/>
              <w:jc w:val="center"/>
              <w:rPr>
                <w:rFonts w:eastAsia="仿宋_GB2312"/>
                <w:sz w:val="24"/>
              </w:rPr>
            </w:pPr>
            <w:r>
              <w:rPr>
                <w:rFonts w:eastAsia="仿宋_GB2312"/>
                <w:sz w:val="24"/>
              </w:rPr>
              <w:t>项目</w:t>
            </w:r>
          </w:p>
          <w:p>
            <w:pPr>
              <w:snapToGrid w:val="0"/>
              <w:spacing w:before="20"/>
              <w:ind w:right="26"/>
              <w:jc w:val="center"/>
              <w:rPr>
                <w:rFonts w:eastAsia="仿宋_GB2312"/>
                <w:sz w:val="24"/>
              </w:rPr>
            </w:pPr>
            <w:r>
              <w:rPr>
                <w:rFonts w:eastAsia="仿宋_GB2312"/>
                <w:sz w:val="24"/>
              </w:rPr>
              <w:t>申报</w:t>
            </w:r>
          </w:p>
          <w:p>
            <w:pPr>
              <w:snapToGrid w:val="0"/>
              <w:spacing w:before="20"/>
              <w:ind w:right="26"/>
              <w:jc w:val="center"/>
              <w:rPr>
                <w:rFonts w:eastAsia="仿宋_GB2312"/>
                <w:sz w:val="24"/>
              </w:rPr>
            </w:pPr>
            <w:r>
              <w:rPr>
                <w:rFonts w:eastAsia="仿宋_GB2312"/>
                <w:sz w:val="24"/>
              </w:rPr>
              <w:t>单位</w:t>
            </w:r>
          </w:p>
        </w:tc>
        <w:tc>
          <w:tcPr>
            <w:tcW w:w="1317" w:type="dxa"/>
            <w:gridSpan w:val="2"/>
          </w:tcPr>
          <w:p>
            <w:pPr>
              <w:snapToGrid w:val="0"/>
              <w:spacing w:before="20"/>
              <w:ind w:right="26"/>
              <w:rPr>
                <w:rFonts w:eastAsia="仿宋_GB2312"/>
                <w:sz w:val="24"/>
              </w:rPr>
            </w:pPr>
            <w:r>
              <w:rPr>
                <w:rFonts w:eastAsia="仿宋_GB2312"/>
                <w:sz w:val="24"/>
              </w:rPr>
              <w:t>单位名称</w:t>
            </w:r>
          </w:p>
        </w:tc>
        <w:tc>
          <w:tcPr>
            <w:tcW w:w="6579" w:type="dxa"/>
            <w:gridSpan w:val="14"/>
          </w:tcPr>
          <w:p>
            <w:pPr>
              <w:snapToGrid w:val="0"/>
              <w:spacing w:before="20"/>
              <w:ind w:right="26"/>
              <w:rPr>
                <w:rFonts w:eastAsia="仿宋_GB2312"/>
                <w:sz w:val="24"/>
              </w:rPr>
            </w:pPr>
            <w:r>
              <w:rPr>
                <w:rFonts w:eastAsia="仿宋_GB2312"/>
                <w:sz w:val="24"/>
              </w:rPr>
              <w:t>成都东方盛行电子有限责任公司</w:t>
            </w:r>
          </w:p>
        </w:tc>
      </w:tr>
      <w:tr>
        <w:trPr>
          <w:cantSplit/>
        </w:trPr>
        <w:tc>
          <w:tcPr>
            <w:tcW w:w="843" w:type="dxa"/>
            <w:vMerge/>
          </w:tcPr>
          <w:p>
            <w:pPr>
              <w:snapToGrid w:val="0"/>
              <w:spacing w:before="20"/>
              <w:ind w:right="26"/>
              <w:jc w:val="center"/>
              <w:rPr>
                <w:rFonts w:eastAsia="仿宋_GB2312"/>
                <w:sz w:val="24"/>
              </w:rPr>
            </w:pPr>
          </w:p>
        </w:tc>
        <w:tc>
          <w:tcPr>
            <w:tcW w:w="1317" w:type="dxa"/>
            <w:gridSpan w:val="2"/>
          </w:tcPr>
          <w:p>
            <w:pPr>
              <w:snapToGrid w:val="0"/>
              <w:spacing w:before="20"/>
              <w:ind w:right="26"/>
              <w:jc w:val="center"/>
              <w:rPr>
                <w:rFonts w:eastAsia="仿宋_GB2312"/>
                <w:sz w:val="24"/>
              </w:rPr>
            </w:pPr>
            <w:r>
              <w:rPr>
                <w:rFonts w:eastAsia="仿宋_GB2312"/>
                <w:sz w:val="24"/>
              </w:rPr>
              <w:t>通讯地址</w:t>
            </w:r>
          </w:p>
        </w:tc>
        <w:tc>
          <w:tcPr>
            <w:tcW w:w="4548" w:type="dxa"/>
            <w:gridSpan w:val="10"/>
          </w:tcPr>
          <w:p>
            <w:pPr>
              <w:snapToGrid w:val="0"/>
              <w:spacing w:before="20"/>
              <w:ind w:right="26"/>
              <w:rPr>
                <w:rFonts w:eastAsia="仿宋_GB2312"/>
                <w:sz w:val="24"/>
              </w:rPr>
            </w:pPr>
          </w:p>
        </w:tc>
        <w:tc>
          <w:tcPr>
            <w:tcW w:w="627" w:type="dxa"/>
          </w:tcPr>
          <w:p>
            <w:pPr>
              <w:snapToGrid w:val="0"/>
              <w:spacing w:before="20"/>
              <w:ind w:right="26"/>
              <w:jc w:val="center"/>
              <w:rPr>
                <w:rFonts w:eastAsia="仿宋_GB2312"/>
                <w:sz w:val="24"/>
              </w:rPr>
            </w:pPr>
            <w:r>
              <w:rPr>
                <w:rFonts w:eastAsia="仿宋_GB2312"/>
                <w:sz w:val="24"/>
              </w:rPr>
              <w:t>邮编</w:t>
            </w:r>
          </w:p>
        </w:tc>
        <w:tc>
          <w:tcPr>
            <w:tcW w:w="1404" w:type="dxa"/>
            <w:gridSpan w:val="3"/>
          </w:tcPr>
          <w:p>
            <w:pPr>
              <w:snapToGrid w:val="0"/>
              <w:spacing w:before="20"/>
              <w:ind w:right="26"/>
              <w:rPr>
                <w:rFonts w:eastAsia="仿宋_GB2312"/>
                <w:sz w:val="24"/>
              </w:rPr>
            </w:pPr>
            <w:r>
              <w:rPr>
                <w:rFonts w:eastAsia="仿宋_GB2312"/>
                <w:sz w:val="24"/>
              </w:rPr>
              <w:t>6100411</w:t>
            </w:r>
          </w:p>
        </w:tc>
      </w:tr>
      <w:tr>
        <w:trPr>
          <w:cantSplit/>
        </w:trPr>
        <w:tc>
          <w:tcPr>
            <w:tcW w:w="843" w:type="dxa"/>
            <w:vMerge/>
          </w:tcPr>
          <w:p>
            <w:pPr>
              <w:snapToGrid w:val="0"/>
              <w:spacing w:before="20"/>
              <w:ind w:right="26"/>
              <w:jc w:val="center"/>
              <w:rPr>
                <w:rFonts w:eastAsia="仿宋_GB2312"/>
                <w:sz w:val="24"/>
              </w:rPr>
            </w:pPr>
          </w:p>
        </w:tc>
        <w:tc>
          <w:tcPr>
            <w:tcW w:w="1317" w:type="dxa"/>
            <w:gridSpan w:val="2"/>
            <w:vAlign w:val="center"/>
          </w:tcPr>
          <w:p>
            <w:pPr>
              <w:snapToGrid w:val="0"/>
              <w:spacing w:before="20"/>
              <w:ind w:right="26"/>
              <w:jc w:val="center"/>
              <w:rPr>
                <w:rFonts w:eastAsia="仿宋_GB2312"/>
                <w:sz w:val="24"/>
              </w:rPr>
            </w:pPr>
            <w:r>
              <w:rPr>
                <w:rFonts w:eastAsia="仿宋_GB2312"/>
                <w:sz w:val="24"/>
              </w:rPr>
              <w:t>单位类别</w:t>
            </w:r>
          </w:p>
        </w:tc>
        <w:tc>
          <w:tcPr>
            <w:tcW w:w="6579" w:type="dxa"/>
            <w:gridSpan w:val="14"/>
          </w:tcPr>
          <w:p>
            <w:pPr>
              <w:snapToGrid w:val="0"/>
              <w:spacing w:before="20"/>
              <w:ind w:right="26"/>
              <w:rPr>
                <w:rFonts w:eastAsia="仿宋_GB2312"/>
              </w:rPr>
            </w:pPr>
            <w:r>
              <w:rPr>
                <w:rFonts w:eastAsia="仿宋_GB2312"/>
              </w:rPr>
              <w:t>□</w:t>
            </w:r>
            <w:r>
              <w:rPr>
                <w:rFonts w:eastAsia="仿宋_GB2312"/>
              </w:rPr>
              <w:t>事业型研究单位</w:t>
            </w:r>
            <w:r>
              <w:rPr>
                <w:rFonts w:eastAsia="仿宋_GB2312"/>
              </w:rPr>
              <w:t xml:space="preserve"> □</w:t>
            </w:r>
            <w:r>
              <w:rPr>
                <w:rFonts w:eastAsia="仿宋_GB2312"/>
              </w:rPr>
              <w:t>大专院校</w:t>
            </w:r>
            <w:r>
              <w:rPr>
                <w:rFonts w:eastAsia="仿宋_GB2312"/>
              </w:rPr>
              <w:t xml:space="preserve"> □</w:t>
            </w:r>
            <w:r>
              <w:rPr>
                <w:rFonts w:eastAsia="仿宋_GB2312"/>
              </w:rPr>
              <w:t>其他事业单位</w:t>
            </w:r>
            <w:r>
              <w:rPr>
                <w:rFonts w:eastAsia="仿宋_GB2312"/>
              </w:rPr>
              <w:t xml:space="preserve"> □</w:t>
            </w:r>
            <w:r>
              <w:rPr>
                <w:rFonts w:eastAsia="仿宋_GB2312"/>
              </w:rPr>
              <w:t>转制为企业的科研院所</w:t>
            </w:r>
            <w:r>
              <w:rPr>
                <w:rFonts w:eastAsia="仿宋_GB2312"/>
              </w:rPr>
              <w:t xml:space="preserve"> □</w:t>
            </w:r>
            <w:r>
              <w:rPr>
                <w:rFonts w:eastAsia="仿宋_GB2312"/>
              </w:rPr>
              <w:t>国有企业</w:t>
            </w:r>
          </w:p>
          <w:p>
            <w:pPr>
              <w:snapToGrid w:val="0"/>
              <w:spacing w:before="20"/>
              <w:ind w:right="26"/>
              <w:rPr>
                <w:rFonts w:eastAsia="仿宋_GB2312"/>
                <w:sz w:val="24"/>
              </w:rPr>
            </w:pPr>
            <w:r>
              <w:rPr>
                <w:rFonts w:eastAsia="仿宋_GB2312"/>
              </w:rPr>
              <w:t>□</w:t>
            </w:r>
            <w:r>
              <w:rPr>
                <w:rFonts w:eastAsia="仿宋_GB2312"/>
              </w:rPr>
              <w:t>集体所有制企业</w:t>
            </w:r>
            <w:r>
              <w:rPr>
                <w:rFonts w:eastAsia="仿宋_GB2312"/>
              </w:rPr>
              <w:t xml:space="preserve"> □</w:t>
            </w:r>
            <w:r>
              <w:rPr>
                <w:rFonts w:eastAsia="仿宋_GB2312"/>
              </w:rPr>
              <w:t>合资企业</w:t>
            </w:r>
            <w:r>
              <w:rPr>
                <w:rFonts w:eastAsia="仿宋_GB2312"/>
              </w:rPr>
              <w:t xml:space="preserve"> □</w:t>
            </w:r>
            <w:r>
              <w:rPr>
                <w:rFonts w:eastAsia="仿宋_GB2312"/>
              </w:rPr>
              <w:t>外商投资企业</w:t>
            </w:r>
            <w:r>
              <w:rPr>
                <w:rFonts w:eastAsia="仿宋_GB2312"/>
              </w:rPr>
              <w:t>□</w:t>
            </w:r>
            <w:r>
              <w:rPr>
                <w:rFonts w:eastAsia="仿宋_GB2312"/>
              </w:rPr>
              <w:t>港、澳、台投资企业</w:t>
            </w:r>
            <w:r>
              <w:rPr>
                <w:rFonts w:eastAsia="仿宋_GB2312"/>
              </w:rPr>
              <w:t xml:space="preserve"> □</w:t>
            </w:r>
            <w:r>
              <w:rPr>
                <w:rFonts w:eastAsia="仿宋_GB2312"/>
              </w:rPr>
              <w:t>其他企业</w:t>
            </w:r>
          </w:p>
        </w:tc>
      </w:tr>
      <w:tr>
        <w:trPr>
          <w:cantSplit/>
        </w:trPr>
        <w:tc>
          <w:tcPr>
            <w:tcW w:w="843" w:type="dxa"/>
            <w:vMerge/>
          </w:tcPr>
          <w:p>
            <w:pPr>
              <w:snapToGrid w:val="0"/>
              <w:spacing w:before="20"/>
              <w:ind w:right="26"/>
              <w:jc w:val="center"/>
              <w:rPr>
                <w:rFonts w:eastAsia="仿宋_GB2312"/>
                <w:sz w:val="24"/>
              </w:rPr>
            </w:pPr>
          </w:p>
        </w:tc>
        <w:tc>
          <w:tcPr>
            <w:tcW w:w="2205" w:type="dxa"/>
            <w:gridSpan w:val="4"/>
          </w:tcPr>
          <w:p>
            <w:pPr>
              <w:snapToGrid w:val="0"/>
              <w:spacing w:before="20"/>
              <w:ind w:right="26"/>
              <w:jc w:val="center"/>
              <w:rPr>
                <w:rFonts w:eastAsia="仿宋_GB2312"/>
                <w:sz w:val="24"/>
              </w:rPr>
            </w:pPr>
            <w:r>
              <w:rPr>
                <w:rFonts w:eastAsia="仿宋_GB2312"/>
                <w:sz w:val="24"/>
              </w:rPr>
              <w:t>单位主管部门</w:t>
            </w:r>
          </w:p>
        </w:tc>
        <w:tc>
          <w:tcPr>
            <w:tcW w:w="5691" w:type="dxa"/>
            <w:gridSpan w:val="12"/>
          </w:tcPr>
          <w:p>
            <w:pPr>
              <w:snapToGrid w:val="0"/>
              <w:spacing w:before="20"/>
              <w:ind w:right="26"/>
              <w:rPr>
                <w:rFonts w:eastAsia="仿宋_GB2312"/>
                <w:sz w:val="24"/>
              </w:rPr>
            </w:pPr>
            <w:r>
              <w:rPr>
                <w:rFonts w:eastAsia="仿宋_GB2312"/>
                <w:sz w:val="24"/>
              </w:rPr>
              <w:t>成都市科技局</w:t>
            </w:r>
          </w:p>
        </w:tc>
      </w:tr>
      <w:tr>
        <w:trPr>
          <w:cantSplit/>
        </w:trPr>
        <w:tc>
          <w:tcPr>
            <w:tcW w:w="843" w:type="dxa"/>
            <w:vMerge w:val="restart"/>
            <w:vAlign w:val="center"/>
          </w:tcPr>
          <w:p>
            <w:pPr>
              <w:snapToGrid w:val="0"/>
              <w:spacing w:before="20"/>
              <w:ind w:right="26"/>
              <w:jc w:val="center"/>
              <w:rPr>
                <w:rFonts w:eastAsia="仿宋_GB2312"/>
                <w:sz w:val="24"/>
              </w:rPr>
            </w:pPr>
            <w:r>
              <w:rPr>
                <w:rFonts w:eastAsia="仿宋_GB2312"/>
                <w:sz w:val="24"/>
              </w:rPr>
              <w:t>其他主要参加单</w:t>
            </w:r>
            <w:r>
              <w:rPr>
                <w:rFonts w:eastAsia="仿宋_GB2312"/>
                <w:sz w:val="24"/>
              </w:rPr>
              <w:t xml:space="preserve"> </w:t>
            </w:r>
            <w:r>
              <w:rPr>
                <w:rFonts w:eastAsia="仿宋_GB2312"/>
                <w:sz w:val="24"/>
              </w:rPr>
              <w:t>位</w:t>
            </w:r>
          </w:p>
        </w:tc>
        <w:tc>
          <w:tcPr>
            <w:tcW w:w="717" w:type="dxa"/>
          </w:tcPr>
          <w:p>
            <w:pPr>
              <w:snapToGrid w:val="0"/>
              <w:spacing w:before="20"/>
              <w:ind w:right="26"/>
              <w:jc w:val="center"/>
              <w:rPr>
                <w:rFonts w:eastAsia="仿宋_GB2312"/>
                <w:sz w:val="24"/>
              </w:rPr>
            </w:pPr>
            <w:r>
              <w:rPr>
                <w:rFonts w:eastAsia="仿宋_GB2312"/>
                <w:sz w:val="24"/>
              </w:rPr>
              <w:t>序号</w:t>
            </w:r>
          </w:p>
        </w:tc>
        <w:tc>
          <w:tcPr>
            <w:tcW w:w="7179" w:type="dxa"/>
            <w:gridSpan w:val="15"/>
          </w:tcPr>
          <w:p>
            <w:pPr>
              <w:snapToGrid w:val="0"/>
              <w:spacing w:before="20"/>
              <w:ind w:right="26"/>
              <w:jc w:val="center"/>
              <w:rPr>
                <w:rFonts w:eastAsia="仿宋_GB2312"/>
                <w:sz w:val="24"/>
              </w:rPr>
            </w:pPr>
            <w:r>
              <w:rPr>
                <w:rFonts w:eastAsia="仿宋_GB2312"/>
                <w:sz w:val="24"/>
              </w:rPr>
              <w:t>单</w:t>
            </w:r>
            <w:r>
              <w:rPr>
                <w:rFonts w:eastAsia="仿宋_GB2312"/>
                <w:sz w:val="24"/>
              </w:rPr>
              <w:t xml:space="preserve">  </w:t>
            </w:r>
            <w:r>
              <w:rPr>
                <w:rFonts w:eastAsia="仿宋_GB2312"/>
                <w:sz w:val="24"/>
              </w:rPr>
              <w:t>位</w:t>
            </w:r>
            <w:r>
              <w:rPr>
                <w:rFonts w:eastAsia="仿宋_GB2312"/>
                <w:sz w:val="24"/>
              </w:rPr>
              <w:t xml:space="preserve">  </w:t>
            </w:r>
            <w:r>
              <w:rPr>
                <w:rFonts w:eastAsia="仿宋_GB2312"/>
                <w:sz w:val="24"/>
              </w:rPr>
              <w:t>名</w:t>
            </w:r>
            <w:r>
              <w:rPr>
                <w:rFonts w:eastAsia="仿宋_GB2312"/>
                <w:sz w:val="24"/>
              </w:rPr>
              <w:t xml:space="preserve">  </w:t>
            </w:r>
            <w:r>
              <w:rPr>
                <w:rFonts w:eastAsia="仿宋_GB2312"/>
                <w:sz w:val="24"/>
              </w:rPr>
              <w:t>称</w:t>
            </w:r>
          </w:p>
        </w:tc>
      </w:tr>
      <w:tr>
        <w:trPr>
          <w:cantSplit/>
        </w:trPr>
        <w:tc>
          <w:tcPr>
            <w:tcW w:w="843" w:type="dxa"/>
            <w:vMerge/>
          </w:tcPr>
          <w:p>
            <w:pPr>
              <w:snapToGrid w:val="0"/>
              <w:spacing w:before="20"/>
              <w:ind w:right="26"/>
              <w:jc w:val="center"/>
              <w:rPr>
                <w:rFonts w:eastAsia="仿宋_GB2312"/>
                <w:sz w:val="24"/>
              </w:rPr>
            </w:pPr>
          </w:p>
        </w:tc>
        <w:tc>
          <w:tcPr>
            <w:tcW w:w="717" w:type="dxa"/>
          </w:tcPr>
          <w:p>
            <w:pPr>
              <w:snapToGrid w:val="0"/>
              <w:spacing w:before="20"/>
              <w:ind w:right="26"/>
              <w:jc w:val="center"/>
              <w:rPr>
                <w:rFonts w:eastAsia="仿宋_GB2312"/>
                <w:sz w:val="24"/>
              </w:rPr>
            </w:pPr>
            <w:r>
              <w:rPr>
                <w:rFonts w:eastAsia="仿宋_GB2312"/>
                <w:sz w:val="24"/>
              </w:rPr>
              <w:t>1</w:t>
            </w:r>
          </w:p>
        </w:tc>
        <w:tc>
          <w:tcPr>
            <w:tcW w:w="7179" w:type="dxa"/>
            <w:gridSpan w:val="15"/>
          </w:tcPr>
          <w:p>
            <w:pPr>
              <w:snapToGrid w:val="0"/>
              <w:spacing w:before="20"/>
              <w:ind w:right="26"/>
              <w:rPr>
                <w:rFonts w:eastAsia="仿宋_GB2312"/>
                <w:sz w:val="24"/>
              </w:rPr>
            </w:pPr>
            <w:r>
              <w:rPr>
                <w:rFonts w:eastAsia="仿宋_GB2312"/>
                <w:sz w:val="24"/>
              </w:rPr>
              <w:t>四川大学</w:t>
            </w:r>
          </w:p>
        </w:tc>
      </w:tr>
      <w:tr>
        <w:trPr>
          <w:cantSplit/>
        </w:trPr>
        <w:tc>
          <w:tcPr>
            <w:tcW w:w="843" w:type="dxa"/>
            <w:vMerge/>
          </w:tcPr>
          <w:p>
            <w:pPr>
              <w:snapToGrid w:val="0"/>
              <w:spacing w:before="20"/>
              <w:ind w:right="26"/>
              <w:jc w:val="center"/>
              <w:rPr>
                <w:rFonts w:eastAsia="仿宋_GB2312"/>
                <w:sz w:val="24"/>
              </w:rPr>
            </w:pPr>
          </w:p>
        </w:tc>
        <w:tc>
          <w:tcPr>
            <w:tcW w:w="717" w:type="dxa"/>
          </w:tcPr>
          <w:p>
            <w:pPr>
              <w:snapToGrid w:val="0"/>
              <w:spacing w:before="20"/>
              <w:ind w:right="26"/>
              <w:jc w:val="center"/>
              <w:rPr>
                <w:rFonts w:eastAsia="仿宋_GB2312"/>
                <w:sz w:val="24"/>
              </w:rPr>
            </w:pPr>
          </w:p>
        </w:tc>
        <w:tc>
          <w:tcPr>
            <w:tcW w:w="7179" w:type="dxa"/>
            <w:gridSpan w:val="15"/>
          </w:tcPr>
          <w:p>
            <w:pPr>
              <w:snapToGrid w:val="0"/>
              <w:spacing w:before="20"/>
              <w:ind w:right="26"/>
              <w:rPr>
                <w:rFonts w:eastAsia="仿宋_GB2312"/>
                <w:sz w:val="24"/>
              </w:rPr>
            </w:pPr>
          </w:p>
        </w:tc>
      </w:tr>
      <w:tr>
        <w:trPr>
          <w:cantSplit/>
        </w:trPr>
        <w:tc>
          <w:tcPr>
            <w:tcW w:w="843" w:type="dxa"/>
            <w:vMerge/>
          </w:tcPr>
          <w:p>
            <w:pPr>
              <w:snapToGrid w:val="0"/>
              <w:spacing w:before="20"/>
              <w:ind w:right="26"/>
              <w:jc w:val="center"/>
              <w:rPr>
                <w:rFonts w:eastAsia="仿宋_GB2312"/>
                <w:sz w:val="24"/>
              </w:rPr>
            </w:pPr>
          </w:p>
        </w:tc>
        <w:tc>
          <w:tcPr>
            <w:tcW w:w="717" w:type="dxa"/>
          </w:tcPr>
          <w:p>
            <w:pPr>
              <w:snapToGrid w:val="0"/>
              <w:spacing w:before="20"/>
              <w:ind w:right="26"/>
              <w:jc w:val="center"/>
              <w:rPr>
                <w:rFonts w:eastAsia="仿宋_GB2312"/>
                <w:sz w:val="24"/>
              </w:rPr>
            </w:pPr>
          </w:p>
        </w:tc>
        <w:tc>
          <w:tcPr>
            <w:tcW w:w="7179" w:type="dxa"/>
            <w:gridSpan w:val="15"/>
          </w:tcPr>
          <w:p>
            <w:pPr>
              <w:snapToGrid w:val="0"/>
              <w:spacing w:before="20"/>
              <w:ind w:right="26"/>
              <w:rPr>
                <w:rFonts w:eastAsia="仿宋_GB2312"/>
                <w:sz w:val="24"/>
              </w:rPr>
            </w:pPr>
          </w:p>
        </w:tc>
      </w:tr>
      <w:tr>
        <w:trPr>
          <w:cantSplit/>
        </w:trPr>
        <w:tc>
          <w:tcPr>
            <w:tcW w:w="843" w:type="dxa"/>
            <w:vMerge/>
          </w:tcPr>
          <w:p>
            <w:pPr>
              <w:snapToGrid w:val="0"/>
              <w:spacing w:before="20"/>
              <w:ind w:right="26"/>
              <w:jc w:val="center"/>
              <w:rPr>
                <w:rFonts w:eastAsia="仿宋_GB2312"/>
                <w:sz w:val="24"/>
              </w:rPr>
            </w:pPr>
          </w:p>
        </w:tc>
        <w:tc>
          <w:tcPr>
            <w:tcW w:w="717" w:type="dxa"/>
          </w:tcPr>
          <w:p>
            <w:pPr>
              <w:snapToGrid w:val="0"/>
              <w:spacing w:before="20"/>
              <w:ind w:right="26"/>
              <w:jc w:val="center"/>
              <w:rPr>
                <w:rFonts w:eastAsia="仿宋_GB2312"/>
                <w:sz w:val="24"/>
              </w:rPr>
            </w:pPr>
          </w:p>
        </w:tc>
        <w:tc>
          <w:tcPr>
            <w:tcW w:w="7179" w:type="dxa"/>
            <w:gridSpan w:val="15"/>
          </w:tcPr>
          <w:p>
            <w:pPr>
              <w:snapToGrid w:val="0"/>
              <w:spacing w:before="20"/>
              <w:ind w:right="26"/>
              <w:rPr>
                <w:rFonts w:eastAsia="仿宋_GB2312"/>
                <w:sz w:val="24"/>
              </w:rPr>
            </w:pPr>
          </w:p>
        </w:tc>
      </w:tr>
      <w:tr>
        <w:trPr>
          <w:cantSplit/>
        </w:trPr>
        <w:tc>
          <w:tcPr>
            <w:tcW w:w="1560" w:type="dxa"/>
            <w:gridSpan w:val="2"/>
            <w:vMerge w:val="restart"/>
            <w:vAlign w:val="center"/>
          </w:tcPr>
          <w:p>
            <w:pPr>
              <w:snapToGrid w:val="0"/>
              <w:spacing w:before="20"/>
              <w:ind w:right="26"/>
              <w:jc w:val="center"/>
              <w:rPr>
                <w:rFonts w:eastAsia="仿宋_GB2312"/>
                <w:sz w:val="24"/>
              </w:rPr>
            </w:pPr>
            <w:r>
              <w:rPr>
                <w:rFonts w:eastAsia="仿宋_GB2312"/>
                <w:sz w:val="24"/>
              </w:rPr>
              <w:t>项目负责人</w:t>
            </w:r>
          </w:p>
        </w:tc>
        <w:tc>
          <w:tcPr>
            <w:tcW w:w="1092" w:type="dxa"/>
            <w:gridSpan w:val="2"/>
            <w:vAlign w:val="center"/>
          </w:tcPr>
          <w:p>
            <w:pPr>
              <w:snapToGrid w:val="0"/>
              <w:spacing w:before="20"/>
              <w:ind w:right="26"/>
              <w:jc w:val="center"/>
              <w:rPr>
                <w:rFonts w:eastAsia="仿宋_GB2312"/>
                <w:sz w:val="24"/>
                <w:szCs w:val="28"/>
              </w:rPr>
            </w:pPr>
            <w:r>
              <w:rPr>
                <w:rFonts w:eastAsia="仿宋_GB2312"/>
                <w:sz w:val="24"/>
                <w:szCs w:val="28"/>
              </w:rPr>
              <w:t>姓</w:t>
            </w:r>
            <w:r>
              <w:rPr>
                <w:rFonts w:eastAsia="仿宋_GB2312"/>
                <w:sz w:val="24"/>
                <w:szCs w:val="28"/>
              </w:rPr>
              <w:t xml:space="preserve"> </w:t>
            </w:r>
            <w:r>
              <w:rPr>
                <w:rFonts w:eastAsia="仿宋_GB2312"/>
                <w:sz w:val="24"/>
                <w:szCs w:val="28"/>
              </w:rPr>
              <w:t>名</w:t>
            </w:r>
          </w:p>
        </w:tc>
        <w:tc>
          <w:tcPr>
            <w:tcW w:w="1404" w:type="dxa"/>
            <w:gridSpan w:val="3"/>
            <w:vAlign w:val="center"/>
          </w:tcPr>
          <w:p>
            <w:pPr>
              <w:snapToGrid w:val="0"/>
              <w:spacing w:before="20"/>
              <w:ind w:right="26"/>
              <w:jc w:val="center"/>
              <w:rPr>
                <w:rFonts w:eastAsia="仿宋_GB2312"/>
                <w:sz w:val="24"/>
                <w:szCs w:val="28"/>
              </w:rPr>
            </w:pPr>
            <w:r>
              <w:t>马萧萧</w:t>
            </w:r>
          </w:p>
        </w:tc>
        <w:tc>
          <w:tcPr>
            <w:tcW w:w="1326" w:type="dxa"/>
            <w:gridSpan w:val="3"/>
            <w:vAlign w:val="center"/>
          </w:tcPr>
          <w:p>
            <w:pPr>
              <w:snapToGrid w:val="0"/>
              <w:spacing w:before="20"/>
              <w:ind w:right="26"/>
              <w:jc w:val="center"/>
              <w:rPr>
                <w:rFonts w:eastAsia="仿宋_GB2312"/>
                <w:sz w:val="24"/>
                <w:szCs w:val="28"/>
              </w:rPr>
            </w:pPr>
            <w:r>
              <w:rPr>
                <w:rFonts w:eastAsia="仿宋_GB2312"/>
                <w:sz w:val="24"/>
                <w:szCs w:val="28"/>
              </w:rPr>
              <w:t>性别</w:t>
            </w:r>
          </w:p>
        </w:tc>
        <w:tc>
          <w:tcPr>
            <w:tcW w:w="1326" w:type="dxa"/>
            <w:gridSpan w:val="3"/>
            <w:vAlign w:val="center"/>
          </w:tcPr>
          <w:p>
            <w:pPr>
              <w:snapToGrid w:val="0"/>
              <w:spacing w:before="20"/>
              <w:ind w:right="26"/>
              <w:jc w:val="center"/>
              <w:rPr>
                <w:rFonts w:eastAsia="仿宋_GB2312"/>
                <w:sz w:val="24"/>
                <w:szCs w:val="28"/>
              </w:rPr>
            </w:pPr>
            <w:r>
              <w:rPr>
                <w:rFonts w:eastAsia="仿宋_GB2312"/>
                <w:sz w:val="24"/>
                <w:szCs w:val="28"/>
              </w:rPr>
              <w:t>□</w:t>
            </w:r>
            <w:r>
              <w:rPr>
                <w:rFonts w:eastAsia="仿宋_GB2312"/>
                <w:sz w:val="24"/>
                <w:szCs w:val="28"/>
              </w:rPr>
              <w:t>男</w:t>
            </w:r>
            <w:r>
              <w:rPr>
                <w:rFonts w:eastAsia="仿宋_GB2312"/>
                <w:sz w:val="24"/>
                <w:szCs w:val="28"/>
              </w:rPr>
              <w:t xml:space="preserve"> □</w:t>
            </w:r>
            <w:r>
              <w:rPr>
                <w:rFonts w:eastAsia="仿宋_GB2312"/>
                <w:sz w:val="24"/>
                <w:szCs w:val="28"/>
              </w:rPr>
              <w:t>女</w:t>
            </w:r>
          </w:p>
        </w:tc>
        <w:tc>
          <w:tcPr>
            <w:tcW w:w="1092" w:type="dxa"/>
            <w:gridSpan w:val="2"/>
            <w:vAlign w:val="center"/>
          </w:tcPr>
          <w:p>
            <w:pPr>
              <w:snapToGrid w:val="0"/>
              <w:spacing w:before="20"/>
              <w:ind w:right="26"/>
              <w:jc w:val="center"/>
              <w:rPr>
                <w:rFonts w:eastAsia="仿宋_GB2312"/>
                <w:sz w:val="24"/>
                <w:szCs w:val="28"/>
              </w:rPr>
            </w:pPr>
            <w:r>
              <w:rPr>
                <w:rFonts w:eastAsia="仿宋_GB2312"/>
                <w:sz w:val="24"/>
                <w:szCs w:val="28"/>
              </w:rPr>
              <w:t>出生年</w:t>
            </w:r>
          </w:p>
        </w:tc>
        <w:tc>
          <w:tcPr>
            <w:tcW w:w="939" w:type="dxa"/>
            <w:gridSpan w:val="2"/>
          </w:tcPr>
          <w:p>
            <w:pPr>
              <w:snapToGrid w:val="0"/>
              <w:spacing w:before="20"/>
              <w:ind w:right="26" w:firstLineChars="200" w:firstLine="480"/>
              <w:rPr>
                <w:rFonts w:eastAsia="仿宋_GB2312"/>
                <w:sz w:val="24"/>
                <w:szCs w:val="28"/>
              </w:rPr>
            </w:pPr>
            <w:r>
              <w:rPr>
                <w:rFonts w:eastAsia="仿宋_GB2312"/>
                <w:sz w:val="24"/>
                <w:szCs w:val="28"/>
              </w:rPr>
              <w:t>年</w:t>
            </w:r>
          </w:p>
        </w:tc>
      </w:tr>
      <w:tr>
        <w:trPr>
          <w:cantSplit/>
        </w:trPr>
        <w:tc>
          <w:tcPr>
            <w:tcW w:w="1560" w:type="dxa"/>
            <w:gridSpan w:val="2"/>
            <w:vMerge/>
          </w:tcPr>
          <w:p>
            <w:pPr>
              <w:snapToGrid w:val="0"/>
              <w:spacing w:before="20"/>
              <w:ind w:right="26"/>
              <w:jc w:val="center"/>
              <w:rPr>
                <w:rFonts w:eastAsia="仿宋_GB2312"/>
                <w:sz w:val="24"/>
              </w:rPr>
            </w:pPr>
          </w:p>
        </w:tc>
        <w:tc>
          <w:tcPr>
            <w:tcW w:w="1092" w:type="dxa"/>
            <w:gridSpan w:val="2"/>
            <w:vAlign w:val="center"/>
          </w:tcPr>
          <w:p>
            <w:pPr>
              <w:snapToGrid w:val="0"/>
              <w:spacing w:before="20"/>
              <w:ind w:right="26"/>
              <w:jc w:val="center"/>
              <w:rPr>
                <w:rFonts w:eastAsia="仿宋_GB2312"/>
                <w:sz w:val="24"/>
                <w:szCs w:val="28"/>
              </w:rPr>
            </w:pPr>
            <w:r>
              <w:rPr>
                <w:rFonts w:eastAsia="仿宋_GB2312"/>
                <w:sz w:val="24"/>
                <w:szCs w:val="28"/>
              </w:rPr>
              <w:t>学</w:t>
            </w:r>
            <w:r>
              <w:rPr>
                <w:rFonts w:eastAsia="仿宋_GB2312"/>
                <w:sz w:val="24"/>
                <w:szCs w:val="28"/>
              </w:rPr>
              <w:t xml:space="preserve"> </w:t>
            </w:r>
            <w:r>
              <w:rPr>
                <w:rFonts w:eastAsia="仿宋_GB2312"/>
                <w:sz w:val="24"/>
                <w:szCs w:val="28"/>
              </w:rPr>
              <w:t>历</w:t>
            </w:r>
          </w:p>
        </w:tc>
        <w:tc>
          <w:tcPr>
            <w:tcW w:w="6087" w:type="dxa"/>
            <w:gridSpan w:val="13"/>
          </w:tcPr>
          <w:p>
            <w:pPr>
              <w:snapToGrid w:val="0"/>
              <w:spacing w:before="20"/>
              <w:ind w:right="26"/>
              <w:rPr>
                <w:rFonts w:eastAsia="仿宋_GB2312"/>
                <w:sz w:val="24"/>
                <w:szCs w:val="28"/>
              </w:rPr>
            </w:pPr>
            <w:r>
              <w:rPr>
                <w:rFonts w:eastAsia="仿宋_GB2312"/>
                <w:sz w:val="24"/>
                <w:szCs w:val="28"/>
              </w:rPr>
              <w:t>□</w:t>
            </w:r>
            <w:r>
              <w:rPr>
                <w:rFonts w:eastAsia="仿宋_GB2312"/>
                <w:sz w:val="24"/>
                <w:szCs w:val="28"/>
              </w:rPr>
              <w:t>博士</w:t>
            </w:r>
            <w:r>
              <w:rPr>
                <w:rFonts w:eastAsia="仿宋_GB2312"/>
                <w:sz w:val="24"/>
                <w:szCs w:val="28"/>
              </w:rPr>
              <w:t xml:space="preserve">  □</w:t>
            </w:r>
            <w:r>
              <w:rPr>
                <w:rFonts w:eastAsia="仿宋_GB2312"/>
                <w:sz w:val="24"/>
                <w:szCs w:val="28"/>
              </w:rPr>
              <w:t>硕士</w:t>
            </w:r>
            <w:r>
              <w:rPr>
                <w:rFonts w:eastAsia="仿宋_GB2312"/>
                <w:sz w:val="24"/>
                <w:szCs w:val="28"/>
              </w:rPr>
              <w:t xml:space="preserve"> □</w:t>
            </w:r>
            <w:r>
              <w:rPr>
                <w:rFonts w:eastAsia="仿宋_GB2312"/>
                <w:sz w:val="24"/>
                <w:szCs w:val="28"/>
              </w:rPr>
              <w:t>学士</w:t>
            </w:r>
            <w:r>
              <w:rPr>
                <w:rFonts w:eastAsia="仿宋_GB2312"/>
                <w:sz w:val="24"/>
                <w:szCs w:val="28"/>
              </w:rPr>
              <w:t xml:space="preserve"> □</w:t>
            </w:r>
            <w:r>
              <w:rPr>
                <w:rFonts w:eastAsia="仿宋_GB2312"/>
                <w:sz w:val="24"/>
                <w:szCs w:val="28"/>
              </w:rPr>
              <w:t>其他</w:t>
            </w:r>
          </w:p>
        </w:tc>
      </w:tr>
      <w:tr>
        <w:trPr>
          <w:cantSplit/>
        </w:trPr>
        <w:tc>
          <w:tcPr>
            <w:tcW w:w="1560" w:type="dxa"/>
            <w:gridSpan w:val="2"/>
            <w:vMerge/>
          </w:tcPr>
          <w:p>
            <w:pPr>
              <w:snapToGrid w:val="0"/>
              <w:spacing w:before="20"/>
              <w:ind w:right="26"/>
              <w:jc w:val="center"/>
              <w:rPr>
                <w:rFonts w:eastAsia="仿宋_GB2312"/>
                <w:sz w:val="24"/>
              </w:rPr>
            </w:pPr>
          </w:p>
        </w:tc>
        <w:tc>
          <w:tcPr>
            <w:tcW w:w="1092" w:type="dxa"/>
            <w:gridSpan w:val="2"/>
            <w:vAlign w:val="center"/>
          </w:tcPr>
          <w:p>
            <w:pPr>
              <w:snapToGrid w:val="0"/>
              <w:spacing w:before="20"/>
              <w:ind w:right="26"/>
              <w:jc w:val="center"/>
              <w:rPr>
                <w:rFonts w:eastAsia="仿宋_GB2312"/>
                <w:sz w:val="24"/>
                <w:szCs w:val="28"/>
              </w:rPr>
            </w:pPr>
            <w:r>
              <w:rPr>
                <w:rFonts w:eastAsia="仿宋_GB2312"/>
                <w:sz w:val="24"/>
                <w:szCs w:val="28"/>
              </w:rPr>
              <w:t>职</w:t>
            </w:r>
            <w:r>
              <w:rPr>
                <w:rFonts w:eastAsia="仿宋_GB2312"/>
                <w:sz w:val="24"/>
                <w:szCs w:val="28"/>
              </w:rPr>
              <w:t xml:space="preserve"> </w:t>
            </w:r>
            <w:r>
              <w:rPr>
                <w:rFonts w:eastAsia="仿宋_GB2312"/>
                <w:sz w:val="24"/>
                <w:szCs w:val="28"/>
              </w:rPr>
              <w:t>称</w:t>
            </w:r>
          </w:p>
        </w:tc>
        <w:tc>
          <w:tcPr>
            <w:tcW w:w="6087" w:type="dxa"/>
            <w:gridSpan w:val="13"/>
          </w:tcPr>
          <w:p>
            <w:pPr>
              <w:snapToGrid w:val="0"/>
              <w:spacing w:before="20"/>
              <w:ind w:right="26"/>
              <w:rPr>
                <w:rFonts w:eastAsia="仿宋_GB2312"/>
                <w:sz w:val="24"/>
                <w:szCs w:val="28"/>
              </w:rPr>
            </w:pPr>
            <w:r>
              <w:rPr>
                <w:rFonts w:eastAsia="仿宋_GB2312"/>
                <w:sz w:val="24"/>
                <w:szCs w:val="28"/>
              </w:rPr>
              <w:t>□</w:t>
            </w:r>
            <w:r>
              <w:rPr>
                <w:rFonts w:eastAsia="仿宋_GB2312"/>
                <w:sz w:val="24"/>
                <w:szCs w:val="28"/>
              </w:rPr>
              <w:t>高级</w:t>
            </w:r>
            <w:r>
              <w:rPr>
                <w:rFonts w:eastAsia="仿宋_GB2312"/>
                <w:sz w:val="24"/>
                <w:szCs w:val="28"/>
              </w:rPr>
              <w:t xml:space="preserve">  □</w:t>
            </w:r>
            <w:r>
              <w:rPr>
                <w:rFonts w:eastAsia="仿宋_GB2312"/>
                <w:sz w:val="24"/>
                <w:szCs w:val="28"/>
              </w:rPr>
              <w:t>中级</w:t>
            </w:r>
            <w:r>
              <w:rPr>
                <w:rFonts w:eastAsia="仿宋_GB2312"/>
                <w:sz w:val="24"/>
                <w:szCs w:val="28"/>
              </w:rPr>
              <w:t xml:space="preserve"> □</w:t>
            </w:r>
            <w:r>
              <w:rPr>
                <w:rFonts w:eastAsia="仿宋_GB2312"/>
                <w:sz w:val="24"/>
                <w:szCs w:val="28"/>
              </w:rPr>
              <w:t>初级</w:t>
            </w:r>
            <w:r>
              <w:rPr>
                <w:rFonts w:eastAsia="仿宋_GB2312"/>
                <w:sz w:val="24"/>
                <w:szCs w:val="28"/>
              </w:rPr>
              <w:t xml:space="preserve"> □</w:t>
            </w:r>
            <w:r>
              <w:rPr>
                <w:rFonts w:eastAsia="仿宋_GB2312"/>
                <w:sz w:val="24"/>
                <w:szCs w:val="28"/>
              </w:rPr>
              <w:t>其他</w:t>
            </w:r>
          </w:p>
        </w:tc>
      </w:tr>
      <w:tr>
        <w:trPr>
          <w:cantSplit/>
        </w:trPr>
        <w:tc>
          <w:tcPr>
            <w:tcW w:w="1560" w:type="dxa"/>
            <w:gridSpan w:val="2"/>
            <w:vMerge/>
          </w:tcPr>
          <w:p>
            <w:pPr>
              <w:snapToGrid w:val="0"/>
              <w:spacing w:before="20"/>
              <w:ind w:right="26"/>
              <w:jc w:val="center"/>
              <w:rPr>
                <w:rFonts w:eastAsia="仿宋_GB2312"/>
                <w:sz w:val="24"/>
              </w:rPr>
            </w:pPr>
          </w:p>
        </w:tc>
        <w:tc>
          <w:tcPr>
            <w:tcW w:w="1092" w:type="dxa"/>
            <w:gridSpan w:val="2"/>
            <w:vAlign w:val="center"/>
          </w:tcPr>
          <w:p>
            <w:pPr>
              <w:snapToGrid w:val="0"/>
              <w:spacing w:before="20"/>
              <w:ind w:right="26"/>
              <w:jc w:val="center"/>
              <w:rPr>
                <w:rFonts w:eastAsia="仿宋_GB2312"/>
                <w:sz w:val="24"/>
                <w:szCs w:val="28"/>
              </w:rPr>
            </w:pPr>
            <w:r>
              <w:rPr>
                <w:rFonts w:eastAsia="仿宋_GB2312"/>
                <w:sz w:val="24"/>
                <w:szCs w:val="28"/>
              </w:rPr>
              <w:t>联系电话</w:t>
            </w:r>
          </w:p>
        </w:tc>
        <w:tc>
          <w:tcPr>
            <w:tcW w:w="2184" w:type="dxa"/>
            <w:gridSpan w:val="5"/>
          </w:tcPr>
          <w:p>
            <w:pPr>
              <w:snapToGrid w:val="0"/>
              <w:spacing w:before="20"/>
              <w:ind w:right="26"/>
              <w:rPr>
                <w:rFonts w:eastAsia="仿宋_GB2312"/>
                <w:sz w:val="24"/>
                <w:szCs w:val="28"/>
              </w:rPr>
            </w:pPr>
          </w:p>
        </w:tc>
        <w:tc>
          <w:tcPr>
            <w:tcW w:w="1095" w:type="dxa"/>
            <w:gridSpan w:val="2"/>
            <w:vAlign w:val="center"/>
          </w:tcPr>
          <w:p>
            <w:pPr>
              <w:snapToGrid w:val="0"/>
              <w:spacing w:before="20"/>
              <w:ind w:right="26"/>
              <w:jc w:val="center"/>
              <w:rPr>
                <w:rFonts w:eastAsia="仿宋_GB2312"/>
                <w:sz w:val="24"/>
                <w:szCs w:val="28"/>
              </w:rPr>
            </w:pPr>
            <w:r>
              <w:rPr>
                <w:rFonts w:eastAsia="仿宋_GB2312"/>
                <w:sz w:val="24"/>
                <w:szCs w:val="28"/>
              </w:rPr>
              <w:t>E-mail</w:t>
            </w:r>
          </w:p>
        </w:tc>
        <w:tc>
          <w:tcPr>
            <w:tcW w:w="2808" w:type="dxa"/>
            <w:gridSpan w:val="6"/>
            <w:vAlign w:val="center"/>
          </w:tcPr>
          <w:p>
            <w:pPr>
              <w:snapToGrid w:val="0"/>
              <w:spacing w:before="20"/>
              <w:ind w:right="26"/>
              <w:jc w:val="center"/>
              <w:rPr>
                <w:rFonts w:eastAsia="仿宋_GB2312"/>
                <w:sz w:val="24"/>
                <w:szCs w:val="28"/>
              </w:rPr>
            </w:pPr>
          </w:p>
        </w:tc>
      </w:tr>
      <w:tr>
        <w:trPr>
          <w:cantSplit/>
          <w:trHeight w:val="420"/>
        </w:trPr>
        <w:tc>
          <w:tcPr>
            <w:tcW w:w="1560" w:type="dxa"/>
            <w:gridSpan w:val="2"/>
            <w:vAlign w:val="center"/>
          </w:tcPr>
          <w:p>
            <w:pPr>
              <w:snapToGrid w:val="0"/>
              <w:spacing w:before="20"/>
              <w:ind w:right="26"/>
              <w:jc w:val="center"/>
              <w:rPr>
                <w:rFonts w:eastAsia="仿宋_GB2312"/>
                <w:sz w:val="24"/>
              </w:rPr>
            </w:pPr>
            <w:r>
              <w:rPr>
                <w:rFonts w:eastAsia="仿宋_GB2312"/>
                <w:sz w:val="24"/>
              </w:rPr>
              <w:t>项目组人数</w:t>
            </w:r>
          </w:p>
        </w:tc>
        <w:tc>
          <w:tcPr>
            <w:tcW w:w="1092" w:type="dxa"/>
            <w:gridSpan w:val="2"/>
            <w:vAlign w:val="center"/>
          </w:tcPr>
          <w:p>
            <w:pPr>
              <w:snapToGrid w:val="0"/>
              <w:spacing w:before="20"/>
              <w:ind w:right="26"/>
              <w:jc w:val="right"/>
              <w:rPr>
                <w:rFonts w:eastAsia="仿宋_GB2312"/>
                <w:sz w:val="24"/>
                <w:szCs w:val="28"/>
              </w:rPr>
            </w:pPr>
            <w:r>
              <w:rPr>
                <w:rFonts w:eastAsia="仿宋_GB2312"/>
                <w:sz w:val="24"/>
                <w:szCs w:val="28"/>
              </w:rPr>
              <w:t>人</w:t>
            </w:r>
          </w:p>
        </w:tc>
        <w:tc>
          <w:tcPr>
            <w:tcW w:w="624" w:type="dxa"/>
            <w:gridSpan w:val="2"/>
            <w:vAlign w:val="center"/>
          </w:tcPr>
          <w:p>
            <w:pPr>
              <w:snapToGrid w:val="0"/>
              <w:spacing w:before="20"/>
              <w:ind w:right="26"/>
              <w:jc w:val="center"/>
              <w:rPr>
                <w:rFonts w:eastAsia="仿宋_GB2312"/>
                <w:sz w:val="24"/>
                <w:szCs w:val="28"/>
              </w:rPr>
            </w:pPr>
            <w:r>
              <w:rPr>
                <w:rFonts w:eastAsia="仿宋_GB2312"/>
                <w:sz w:val="24"/>
                <w:szCs w:val="28"/>
              </w:rPr>
              <w:t>高级</w:t>
            </w:r>
          </w:p>
        </w:tc>
        <w:tc>
          <w:tcPr>
            <w:tcW w:w="936" w:type="dxa"/>
            <w:gridSpan w:val="2"/>
            <w:vAlign w:val="center"/>
          </w:tcPr>
          <w:p>
            <w:pPr>
              <w:snapToGrid w:val="0"/>
              <w:spacing w:before="20"/>
              <w:ind w:right="26"/>
              <w:jc w:val="right"/>
              <w:rPr>
                <w:rFonts w:eastAsia="仿宋_GB2312"/>
                <w:sz w:val="24"/>
                <w:szCs w:val="28"/>
              </w:rPr>
            </w:pPr>
            <w:r>
              <w:rPr>
                <w:rFonts w:eastAsia="仿宋_GB2312"/>
                <w:sz w:val="24"/>
                <w:szCs w:val="28"/>
              </w:rPr>
              <w:t>人</w:t>
            </w:r>
          </w:p>
        </w:tc>
        <w:tc>
          <w:tcPr>
            <w:tcW w:w="624" w:type="dxa"/>
            <w:vAlign w:val="center"/>
          </w:tcPr>
          <w:p>
            <w:pPr>
              <w:snapToGrid w:val="0"/>
              <w:spacing w:before="20"/>
              <w:ind w:right="26"/>
              <w:jc w:val="center"/>
              <w:rPr>
                <w:rFonts w:eastAsia="仿宋_GB2312"/>
                <w:sz w:val="24"/>
                <w:szCs w:val="28"/>
              </w:rPr>
            </w:pPr>
            <w:r>
              <w:rPr>
                <w:rFonts w:eastAsia="仿宋_GB2312"/>
                <w:sz w:val="24"/>
                <w:szCs w:val="28"/>
              </w:rPr>
              <w:t>中级</w:t>
            </w:r>
          </w:p>
        </w:tc>
        <w:tc>
          <w:tcPr>
            <w:tcW w:w="1095" w:type="dxa"/>
            <w:gridSpan w:val="2"/>
            <w:vAlign w:val="center"/>
          </w:tcPr>
          <w:p>
            <w:pPr>
              <w:snapToGrid w:val="0"/>
              <w:spacing w:before="20"/>
              <w:ind w:right="26"/>
              <w:jc w:val="right"/>
              <w:rPr>
                <w:rFonts w:eastAsia="仿宋_GB2312"/>
                <w:sz w:val="24"/>
                <w:szCs w:val="28"/>
              </w:rPr>
            </w:pPr>
            <w:r>
              <w:rPr>
                <w:rFonts w:eastAsia="仿宋_GB2312"/>
                <w:sz w:val="24"/>
                <w:szCs w:val="28"/>
              </w:rPr>
              <w:t>人</w:t>
            </w:r>
          </w:p>
        </w:tc>
        <w:tc>
          <w:tcPr>
            <w:tcW w:w="624" w:type="dxa"/>
            <w:vAlign w:val="center"/>
          </w:tcPr>
          <w:p>
            <w:pPr>
              <w:snapToGrid w:val="0"/>
              <w:spacing w:before="20"/>
              <w:ind w:right="26"/>
              <w:jc w:val="center"/>
              <w:rPr>
                <w:rFonts w:eastAsia="仿宋_GB2312"/>
                <w:sz w:val="24"/>
                <w:szCs w:val="28"/>
              </w:rPr>
            </w:pPr>
            <w:r>
              <w:rPr>
                <w:rFonts w:eastAsia="仿宋_GB2312"/>
                <w:sz w:val="24"/>
                <w:szCs w:val="28"/>
              </w:rPr>
              <w:t>初级</w:t>
            </w:r>
          </w:p>
        </w:tc>
        <w:tc>
          <w:tcPr>
            <w:tcW w:w="780" w:type="dxa"/>
            <w:gridSpan w:val="2"/>
            <w:vAlign w:val="center"/>
          </w:tcPr>
          <w:p>
            <w:pPr>
              <w:snapToGrid w:val="0"/>
              <w:spacing w:before="20"/>
              <w:ind w:right="26"/>
              <w:jc w:val="right"/>
              <w:rPr>
                <w:rFonts w:eastAsia="仿宋_GB2312"/>
                <w:sz w:val="24"/>
                <w:szCs w:val="28"/>
              </w:rPr>
            </w:pPr>
            <w:r>
              <w:rPr>
                <w:rFonts w:eastAsia="仿宋_GB2312"/>
                <w:sz w:val="24"/>
                <w:szCs w:val="28"/>
              </w:rPr>
              <w:t>人</w:t>
            </w:r>
          </w:p>
        </w:tc>
        <w:tc>
          <w:tcPr>
            <w:tcW w:w="624" w:type="dxa"/>
            <w:gridSpan w:val="2"/>
            <w:vAlign w:val="center"/>
          </w:tcPr>
          <w:p>
            <w:pPr>
              <w:snapToGrid w:val="0"/>
              <w:spacing w:before="20"/>
              <w:ind w:right="26"/>
              <w:jc w:val="center"/>
              <w:rPr>
                <w:rFonts w:eastAsia="仿宋_GB2312"/>
                <w:sz w:val="24"/>
                <w:szCs w:val="28"/>
              </w:rPr>
            </w:pPr>
            <w:r>
              <w:rPr>
                <w:rFonts w:eastAsia="仿宋_GB2312"/>
                <w:sz w:val="24"/>
                <w:szCs w:val="28"/>
              </w:rPr>
              <w:t>其他</w:t>
            </w:r>
          </w:p>
        </w:tc>
        <w:tc>
          <w:tcPr>
            <w:tcW w:w="780" w:type="dxa"/>
            <w:vAlign w:val="center"/>
          </w:tcPr>
          <w:p>
            <w:pPr>
              <w:snapToGrid w:val="0"/>
              <w:spacing w:before="20"/>
              <w:ind w:right="26"/>
              <w:jc w:val="right"/>
              <w:rPr>
                <w:rFonts w:eastAsia="仿宋_GB2312"/>
                <w:sz w:val="24"/>
                <w:szCs w:val="28"/>
              </w:rPr>
            </w:pPr>
            <w:r>
              <w:rPr>
                <w:rFonts w:eastAsia="仿宋_GB2312"/>
                <w:sz w:val="24"/>
                <w:szCs w:val="28"/>
              </w:rPr>
              <w:t>人</w:t>
            </w:r>
          </w:p>
        </w:tc>
      </w:tr>
      <w:tr>
        <w:trPr>
          <w:cantSplit/>
          <w:trHeight w:val="420"/>
        </w:trPr>
        <w:tc>
          <w:tcPr>
            <w:tcW w:w="1560" w:type="dxa"/>
            <w:gridSpan w:val="2"/>
            <w:vAlign w:val="center"/>
          </w:tcPr>
          <w:p>
            <w:pPr>
              <w:snapToGrid w:val="0"/>
              <w:ind w:right="28"/>
              <w:jc w:val="center"/>
              <w:rPr>
                <w:rFonts w:eastAsia="仿宋_GB2312"/>
                <w:sz w:val="24"/>
              </w:rPr>
            </w:pPr>
            <w:r>
              <w:rPr>
                <w:rFonts w:eastAsia="仿宋_GB2312"/>
                <w:sz w:val="24"/>
              </w:rPr>
              <w:t>起始时间</w:t>
            </w:r>
          </w:p>
        </w:tc>
        <w:tc>
          <w:tcPr>
            <w:tcW w:w="3276" w:type="dxa"/>
            <w:gridSpan w:val="7"/>
            <w:vAlign w:val="center"/>
          </w:tcPr>
          <w:p>
            <w:pPr>
              <w:snapToGrid w:val="0"/>
              <w:ind w:right="28"/>
              <w:jc w:val="center"/>
              <w:rPr>
                <w:rFonts w:eastAsia="仿宋_GB2312"/>
                <w:sz w:val="24"/>
                <w:szCs w:val="28"/>
              </w:rPr>
            </w:pPr>
            <w:r>
              <w:rPr>
                <w:rFonts w:eastAsia="仿宋_GB2312"/>
                <w:sz w:val="24"/>
                <w:szCs w:val="28"/>
              </w:rPr>
              <w:t>年</w:t>
            </w:r>
            <w:r>
              <w:rPr>
                <w:rFonts w:eastAsia="仿宋_GB2312"/>
                <w:sz w:val="24"/>
                <w:szCs w:val="28"/>
              </w:rPr>
              <w:t xml:space="preserve">     </w:t>
            </w:r>
            <w:r>
              <w:rPr>
                <w:rFonts w:eastAsia="仿宋_GB2312"/>
                <w:sz w:val="24"/>
                <w:szCs w:val="28"/>
              </w:rPr>
              <w:t>月</w:t>
            </w:r>
          </w:p>
        </w:tc>
        <w:tc>
          <w:tcPr>
            <w:tcW w:w="1095" w:type="dxa"/>
            <w:gridSpan w:val="2"/>
            <w:vAlign w:val="center"/>
          </w:tcPr>
          <w:p>
            <w:pPr>
              <w:snapToGrid w:val="0"/>
              <w:ind w:right="28"/>
              <w:jc w:val="center"/>
              <w:rPr>
                <w:rFonts w:eastAsia="仿宋_GB2312"/>
                <w:sz w:val="24"/>
                <w:szCs w:val="28"/>
              </w:rPr>
            </w:pPr>
            <w:r>
              <w:rPr>
                <w:rFonts w:eastAsia="仿宋_GB2312"/>
                <w:sz w:val="24"/>
                <w:szCs w:val="28"/>
              </w:rPr>
              <w:t>终止时间</w:t>
            </w:r>
          </w:p>
        </w:tc>
        <w:tc>
          <w:tcPr>
            <w:tcW w:w="2808" w:type="dxa"/>
            <w:gridSpan w:val="6"/>
            <w:vAlign w:val="center"/>
          </w:tcPr>
          <w:p>
            <w:pPr>
              <w:snapToGrid w:val="0"/>
              <w:ind w:right="28"/>
              <w:jc w:val="center"/>
              <w:rPr>
                <w:rFonts w:eastAsia="仿宋_GB2312"/>
                <w:sz w:val="24"/>
                <w:szCs w:val="28"/>
              </w:rPr>
            </w:pPr>
            <w:r>
              <w:rPr>
                <w:rFonts w:eastAsia="仿宋_GB2312"/>
                <w:sz w:val="24"/>
                <w:szCs w:val="28"/>
              </w:rPr>
              <w:t>年</w:t>
            </w:r>
            <w:r>
              <w:rPr>
                <w:rFonts w:eastAsia="仿宋_GB2312"/>
                <w:sz w:val="24"/>
                <w:szCs w:val="28"/>
              </w:rPr>
              <w:t xml:space="preserve">    </w:t>
            </w:r>
            <w:r>
              <w:rPr>
                <w:rFonts w:eastAsia="仿宋_GB2312"/>
                <w:sz w:val="24"/>
                <w:szCs w:val="28"/>
              </w:rPr>
              <w:t>月</w:t>
            </w:r>
          </w:p>
        </w:tc>
      </w:tr>
      <w:tr>
        <w:trPr>
          <w:cantSplit/>
        </w:trPr>
        <w:tc>
          <w:tcPr>
            <w:tcW w:w="1560" w:type="dxa"/>
            <w:gridSpan w:val="2"/>
            <w:vAlign w:val="center"/>
          </w:tcPr>
          <w:p>
            <w:pPr>
              <w:snapToGrid w:val="0"/>
              <w:spacing w:before="20"/>
              <w:ind w:right="26"/>
              <w:jc w:val="center"/>
              <w:rPr>
                <w:rFonts w:eastAsia="仿宋_GB2312"/>
                <w:sz w:val="24"/>
              </w:rPr>
            </w:pPr>
            <w:r>
              <w:rPr>
                <w:rFonts w:eastAsia="仿宋_GB2312"/>
                <w:sz w:val="24"/>
              </w:rPr>
              <w:t>所属技术领域</w:t>
            </w:r>
          </w:p>
        </w:tc>
        <w:tc>
          <w:tcPr>
            <w:tcW w:w="7179" w:type="dxa"/>
            <w:gridSpan w:val="15"/>
          </w:tcPr>
          <w:p>
            <w:pPr>
              <w:snapToGrid w:val="0"/>
              <w:spacing w:before="20"/>
              <w:ind w:right="26" w:firstLineChars="100" w:firstLine="240"/>
              <w:rPr>
                <w:rFonts w:eastAsia="仿宋_GB2312"/>
                <w:sz w:val="24"/>
                <w:szCs w:val="28"/>
              </w:rPr>
            </w:pPr>
            <w:r>
              <w:rPr>
                <w:rFonts w:eastAsia="仿宋_GB2312"/>
                <w:sz w:val="24"/>
                <w:szCs w:val="28"/>
              </w:rPr>
              <w:t>□</w:t>
            </w:r>
            <w:r>
              <w:rPr>
                <w:rFonts w:eastAsia="仿宋_GB2312"/>
                <w:sz w:val="24"/>
                <w:szCs w:val="28"/>
              </w:rPr>
              <w:t>能源</w:t>
            </w:r>
            <w:r>
              <w:rPr>
                <w:rFonts w:eastAsia="仿宋_GB2312"/>
                <w:sz w:val="24"/>
                <w:szCs w:val="28"/>
              </w:rPr>
              <w:t xml:space="preserve">  □</w:t>
            </w:r>
            <w:r>
              <w:rPr>
                <w:rFonts w:eastAsia="仿宋_GB2312"/>
                <w:sz w:val="24"/>
                <w:szCs w:val="28"/>
              </w:rPr>
              <w:t>资源</w:t>
            </w:r>
            <w:r>
              <w:rPr>
                <w:rFonts w:eastAsia="仿宋_GB2312"/>
                <w:sz w:val="24"/>
                <w:szCs w:val="28"/>
              </w:rPr>
              <w:t xml:space="preserve">  □</w:t>
            </w:r>
            <w:r>
              <w:rPr>
                <w:rFonts w:eastAsia="仿宋_GB2312"/>
                <w:sz w:val="24"/>
                <w:szCs w:val="28"/>
              </w:rPr>
              <w:t>环境</w:t>
            </w:r>
            <w:r>
              <w:rPr>
                <w:rFonts w:eastAsia="仿宋_GB2312"/>
                <w:sz w:val="24"/>
                <w:szCs w:val="28"/>
              </w:rPr>
              <w:t xml:space="preserve">  □</w:t>
            </w:r>
            <w:r>
              <w:rPr>
                <w:rFonts w:eastAsia="仿宋_GB2312"/>
                <w:sz w:val="24"/>
                <w:szCs w:val="28"/>
              </w:rPr>
              <w:t>农业</w:t>
            </w:r>
            <w:r>
              <w:rPr>
                <w:rFonts w:eastAsia="仿宋_GB2312"/>
                <w:sz w:val="24"/>
                <w:szCs w:val="28"/>
              </w:rPr>
              <w:t xml:space="preserve">  □</w:t>
            </w:r>
            <w:r>
              <w:rPr>
                <w:rFonts w:eastAsia="仿宋_GB2312"/>
                <w:sz w:val="24"/>
                <w:szCs w:val="28"/>
              </w:rPr>
              <w:t>材料</w:t>
            </w:r>
            <w:r>
              <w:rPr>
                <w:rFonts w:eastAsia="仿宋_GB2312"/>
                <w:sz w:val="24"/>
                <w:szCs w:val="28"/>
              </w:rPr>
              <w:t xml:space="preserve">  □</w:t>
            </w:r>
            <w:r>
              <w:rPr>
                <w:rFonts w:eastAsia="仿宋_GB2312"/>
                <w:sz w:val="24"/>
                <w:szCs w:val="28"/>
              </w:rPr>
              <w:t>制造业</w:t>
            </w:r>
          </w:p>
          <w:p>
            <w:pPr>
              <w:snapToGrid w:val="0"/>
              <w:spacing w:before="20"/>
              <w:ind w:right="26" w:firstLineChars="100" w:firstLine="240"/>
              <w:rPr>
                <w:rFonts w:eastAsia="仿宋_GB2312"/>
                <w:sz w:val="24"/>
                <w:szCs w:val="28"/>
              </w:rPr>
            </w:pPr>
            <w:r>
              <w:rPr>
                <w:rFonts w:eastAsia="仿宋_GB2312"/>
                <w:sz w:val="24"/>
                <w:szCs w:val="28"/>
              </w:rPr>
              <w:t>□</w:t>
            </w:r>
            <w:r>
              <w:rPr>
                <w:rFonts w:eastAsia="仿宋_GB2312"/>
                <w:sz w:val="24"/>
                <w:szCs w:val="28"/>
              </w:rPr>
              <w:t>交通运输</w:t>
            </w:r>
            <w:r>
              <w:rPr>
                <w:rFonts w:eastAsia="仿宋_GB2312"/>
                <w:sz w:val="24"/>
                <w:szCs w:val="28"/>
              </w:rPr>
              <w:t xml:space="preserve">  □</w:t>
            </w:r>
            <w:r>
              <w:rPr>
                <w:rFonts w:eastAsia="仿宋_GB2312"/>
                <w:sz w:val="24"/>
                <w:szCs w:val="28"/>
              </w:rPr>
              <w:t>信息产业与现代服务业</w:t>
            </w:r>
            <w:r>
              <w:rPr>
                <w:rFonts w:eastAsia="仿宋_GB2312"/>
                <w:sz w:val="24"/>
                <w:szCs w:val="28"/>
              </w:rPr>
              <w:t xml:space="preserve">  □</w:t>
            </w:r>
            <w:r>
              <w:rPr>
                <w:rFonts w:eastAsia="仿宋_GB2312"/>
                <w:sz w:val="24"/>
                <w:szCs w:val="28"/>
              </w:rPr>
              <w:t>人口与健康</w:t>
            </w:r>
          </w:p>
          <w:p>
            <w:pPr>
              <w:snapToGrid w:val="0"/>
              <w:spacing w:before="20"/>
              <w:ind w:right="26" w:firstLineChars="100" w:firstLine="240"/>
              <w:rPr>
                <w:rFonts w:eastAsia="仿宋_GB2312"/>
                <w:sz w:val="24"/>
              </w:rPr>
            </w:pPr>
            <w:r>
              <w:rPr>
                <w:rFonts w:eastAsia="仿宋_GB2312"/>
                <w:sz w:val="24"/>
                <w:szCs w:val="28"/>
              </w:rPr>
              <w:t>□</w:t>
            </w:r>
            <w:r>
              <w:rPr>
                <w:rFonts w:eastAsia="仿宋_GB2312"/>
                <w:sz w:val="24"/>
                <w:szCs w:val="28"/>
              </w:rPr>
              <w:t xml:space="preserve">城镇化与城市发展　　　</w:t>
            </w:r>
            <w:r>
              <w:rPr>
                <w:rFonts w:eastAsia="仿宋_GB2312"/>
                <w:sz w:val="24"/>
                <w:szCs w:val="28"/>
              </w:rPr>
              <w:t>□</w:t>
            </w:r>
            <w:r>
              <w:rPr>
                <w:rFonts w:eastAsia="仿宋_GB2312"/>
                <w:sz w:val="24"/>
                <w:szCs w:val="28"/>
              </w:rPr>
              <w:t>公共安全与其他社会事业</w:t>
            </w:r>
          </w:p>
        </w:tc>
      </w:tr>
      <w:tr>
        <w:trPr>
          <w:cantSplit/>
        </w:trPr>
        <w:tc>
          <w:tcPr>
            <w:tcW w:w="1560" w:type="dxa"/>
            <w:gridSpan w:val="2"/>
            <w:vAlign w:val="center"/>
          </w:tcPr>
          <w:p>
            <w:pPr>
              <w:tabs>
                <w:tab w:val="num" w:pos="1080"/>
              </w:tabs>
              <w:adjustRightInd w:val="0"/>
              <w:snapToGrid w:val="0"/>
              <w:jc w:val="center"/>
              <w:rPr>
                <w:rFonts w:eastAsia="仿宋_GB2312"/>
                <w:sz w:val="24"/>
                <w:szCs w:val="28"/>
              </w:rPr>
            </w:pPr>
            <w:r>
              <w:rPr>
                <w:rFonts w:eastAsia="仿宋_GB2312"/>
                <w:sz w:val="24"/>
                <w:szCs w:val="28"/>
              </w:rPr>
              <w:t>创新类型</w:t>
            </w:r>
          </w:p>
        </w:tc>
        <w:tc>
          <w:tcPr>
            <w:tcW w:w="7179" w:type="dxa"/>
            <w:gridSpan w:val="15"/>
            <w:vAlign w:val="center"/>
          </w:tcPr>
          <w:p>
            <w:pPr>
              <w:adjustRightInd w:val="0"/>
              <w:snapToGrid w:val="0"/>
              <w:ind w:firstLineChars="100" w:firstLine="240"/>
              <w:rPr>
                <w:rFonts w:eastAsia="仿宋_GB2312"/>
                <w:sz w:val="24"/>
                <w:szCs w:val="28"/>
              </w:rPr>
            </w:pPr>
            <w:r>
              <w:rPr>
                <w:rFonts w:eastAsia="仿宋_GB2312"/>
                <w:sz w:val="24"/>
                <w:szCs w:val="28"/>
              </w:rPr>
              <w:t>□</w:t>
            </w:r>
            <w:r>
              <w:rPr>
                <w:rFonts w:eastAsia="仿宋_GB2312"/>
                <w:sz w:val="24"/>
                <w:szCs w:val="28"/>
              </w:rPr>
              <w:t>原始创新</w:t>
            </w:r>
            <w:r>
              <w:rPr>
                <w:rFonts w:eastAsia="仿宋_GB2312"/>
                <w:sz w:val="24"/>
                <w:szCs w:val="28"/>
              </w:rPr>
              <w:t xml:space="preserve">  □</w:t>
            </w:r>
            <w:r>
              <w:rPr>
                <w:rFonts w:eastAsia="仿宋_GB2312"/>
                <w:sz w:val="24"/>
                <w:szCs w:val="28"/>
              </w:rPr>
              <w:t>集成创新</w:t>
            </w:r>
            <w:r>
              <w:rPr>
                <w:rFonts w:eastAsia="仿宋_GB2312"/>
                <w:sz w:val="24"/>
                <w:szCs w:val="28"/>
              </w:rPr>
              <w:t xml:space="preserve">  □</w:t>
            </w:r>
            <w:r>
              <w:rPr>
                <w:rFonts w:eastAsia="仿宋_GB2312"/>
                <w:sz w:val="24"/>
                <w:szCs w:val="28"/>
              </w:rPr>
              <w:t>引进消化吸收再创新</w:t>
            </w:r>
          </w:p>
        </w:tc>
      </w:tr>
      <w:tr>
        <w:trPr>
          <w:cantSplit/>
          <w:trHeight w:val="3140"/>
        </w:trPr>
        <w:tc>
          <w:tcPr>
            <w:tcW w:w="1560" w:type="dxa"/>
            <w:gridSpan w:val="2"/>
            <w:vAlign w:val="center"/>
          </w:tcPr>
          <w:p>
            <w:pPr>
              <w:snapToGrid w:val="0"/>
              <w:spacing w:before="20"/>
              <w:ind w:right="26"/>
              <w:jc w:val="center"/>
              <w:rPr>
                <w:rFonts w:eastAsia="仿宋_GB2312"/>
                <w:sz w:val="24"/>
              </w:rPr>
            </w:pPr>
            <w:r>
              <w:rPr>
                <w:rFonts w:eastAsia="仿宋_GB2312"/>
                <w:sz w:val="24"/>
              </w:rPr>
              <w:t>项目概述</w:t>
            </w:r>
          </w:p>
          <w:p>
            <w:pPr>
              <w:snapToGrid w:val="0"/>
              <w:spacing w:before="20"/>
              <w:ind w:right="26"/>
              <w:jc w:val="center"/>
              <w:rPr>
                <w:rFonts w:eastAsia="仿宋_GB2312"/>
                <w:sz w:val="24"/>
              </w:rPr>
            </w:pPr>
            <w:r>
              <w:rPr>
                <w:rFonts w:eastAsia="仿宋_GB2312"/>
                <w:sz w:val="24"/>
              </w:rPr>
              <w:t>(200</w:t>
            </w:r>
            <w:r>
              <w:rPr>
                <w:rFonts w:eastAsia="仿宋_GB2312"/>
                <w:sz w:val="24"/>
              </w:rPr>
              <w:t>字以内</w:t>
            </w:r>
            <w:r>
              <w:rPr>
                <w:rFonts w:eastAsia="仿宋_GB2312"/>
                <w:sz w:val="24"/>
              </w:rPr>
              <w:t>)</w:t>
            </w:r>
          </w:p>
        </w:tc>
        <w:tc>
          <w:tcPr>
            <w:tcW w:w="7179" w:type="dxa"/>
            <w:gridSpan w:val="15"/>
            <w:vAlign w:val="center"/>
          </w:tcPr>
          <w:p>
            <w:r>
              <w:rPr>
                <w:rFonts w:hint="eastAsia"/>
              </w:rPr>
              <w:t>《</w:t>
            </w:r>
            <w:r>
              <w:rPr>
                <w:rFonts w:hint="eastAsia"/>
              </w:rPr>
              <w:t>3G</w:t>
            </w:r>
            <w:r>
              <w:rPr>
                <w:rFonts w:hint="eastAsia"/>
              </w:rPr>
              <w:t>移动通信自动路测系统》项目拟突破</w:t>
            </w:r>
            <w:r>
              <w:rPr>
                <w:rFonts w:hint="eastAsia"/>
              </w:rPr>
              <w:t>3G</w:t>
            </w:r>
            <w:r>
              <w:rPr>
                <w:rFonts w:hint="eastAsia"/>
              </w:rPr>
              <w:t>移动通信自动路测关键技术，研制具有完全自主知识产权的、技术先进的、支持国产</w:t>
            </w:r>
            <w:r>
              <w:rPr>
                <w:rFonts w:hint="eastAsia"/>
              </w:rPr>
              <w:t>3G</w:t>
            </w:r>
            <w:r>
              <w:rPr>
                <w:rFonts w:hint="eastAsia"/>
              </w:rPr>
              <w:t>技术</w:t>
            </w:r>
            <w:r>
              <w:rPr>
                <w:rFonts w:hint="eastAsia"/>
              </w:rPr>
              <w:t>TD-SCDMA</w:t>
            </w:r>
            <w:r>
              <w:rPr>
                <w:rFonts w:hint="eastAsia"/>
              </w:rPr>
              <w:t>的</w:t>
            </w:r>
            <w:r>
              <w:rPr>
                <w:rFonts w:hint="eastAsia"/>
              </w:rPr>
              <w:t>3G</w:t>
            </w:r>
            <w:r>
              <w:rPr>
                <w:rFonts w:hint="eastAsia"/>
              </w:rPr>
              <w:t>移动通信网络自动路测系统，为移动运营商提供自动路测及数据分析服务，实现产业化及规模化推广应用，有效提升移动通信网络的服务质量，满足</w:t>
            </w:r>
            <w:r>
              <w:rPr>
                <w:rFonts w:hint="eastAsia"/>
              </w:rPr>
              <w:t>3G</w:t>
            </w:r>
            <w:r>
              <w:rPr>
                <w:rFonts w:hint="eastAsia"/>
              </w:rPr>
              <w:t>移动用户需求，促进</w:t>
            </w:r>
            <w:r>
              <w:rPr>
                <w:rFonts w:hint="eastAsia"/>
              </w:rPr>
              <w:t>3G</w:t>
            </w:r>
            <w:r>
              <w:rPr>
                <w:rFonts w:hint="eastAsia"/>
              </w:rPr>
              <w:t>移动通信的发展。项目关键技术包括：①海量测试数据的分析处理技术；②高性能移动测试单元（</w:t>
            </w:r>
            <w:r>
              <w:rPr>
                <w:rFonts w:hint="eastAsia"/>
              </w:rPr>
              <w:t>MTU</w:t>
            </w:r>
            <w:r>
              <w:rPr>
                <w:rFonts w:hint="eastAsia"/>
              </w:rPr>
              <w:t>）的智能设计技术；③路测数据（下行信道检测）和上行信道检测数据的对比分析技术；④多移动通信网络同测和对比分析技术。</w:t>
            </w:r>
          </w:p>
          <w:p>
            <w:pPr>
              <w:snapToGrid w:val="0"/>
              <w:spacing w:before="20"/>
              <w:ind w:right="26"/>
              <w:rPr>
                <w:rFonts w:eastAsia="仿宋_GB2312"/>
                <w:sz w:val="24"/>
              </w:rPr>
            </w:pPr>
          </w:p>
        </w:tc>
      </w:tr>
      <w:tr>
        <w:trPr>
          <w:cantSplit/>
        </w:trPr>
        <w:tc>
          <w:tcPr>
            <w:tcW w:w="1560" w:type="dxa"/>
            <w:gridSpan w:val="2"/>
            <w:vAlign w:val="center"/>
          </w:tcPr>
          <w:p>
            <w:pPr>
              <w:snapToGrid w:val="0"/>
              <w:spacing w:before="20"/>
              <w:ind w:right="26"/>
              <w:jc w:val="center"/>
              <w:rPr>
                <w:rFonts w:eastAsia="仿宋_GB2312"/>
                <w:sz w:val="24"/>
              </w:rPr>
            </w:pPr>
            <w:r>
              <w:rPr>
                <w:rFonts w:eastAsia="仿宋_GB2312"/>
                <w:sz w:val="24"/>
              </w:rPr>
              <w:t>预期成果</w:t>
            </w:r>
          </w:p>
        </w:tc>
        <w:tc>
          <w:tcPr>
            <w:tcW w:w="7179" w:type="dxa"/>
            <w:gridSpan w:val="15"/>
          </w:tcPr>
          <w:p>
            <w:pPr>
              <w:snapToGrid w:val="0"/>
              <w:spacing w:before="20"/>
              <w:ind w:right="26" w:firstLineChars="100" w:firstLine="240"/>
              <w:rPr>
                <w:rFonts w:eastAsia="仿宋_GB2312"/>
                <w:sz w:val="24"/>
                <w:szCs w:val="28"/>
              </w:rPr>
            </w:pPr>
            <w:r>
              <w:rPr>
                <w:rFonts w:eastAsia="仿宋_GB2312"/>
                <w:sz w:val="24"/>
                <w:szCs w:val="28"/>
              </w:rPr>
              <w:t>□</w:t>
            </w:r>
            <w:r>
              <w:rPr>
                <w:rFonts w:eastAsia="仿宋_GB2312"/>
                <w:sz w:val="24"/>
                <w:szCs w:val="28"/>
              </w:rPr>
              <w:t>专利</w:t>
            </w:r>
            <w:r>
              <w:rPr>
                <w:rFonts w:eastAsia="仿宋_GB2312"/>
                <w:sz w:val="24"/>
                <w:szCs w:val="28"/>
              </w:rPr>
              <w:t xml:space="preserve">  □</w:t>
            </w:r>
            <w:r>
              <w:rPr>
                <w:rFonts w:eastAsia="仿宋_GB2312"/>
                <w:sz w:val="24"/>
                <w:szCs w:val="28"/>
              </w:rPr>
              <w:t>技术标准</w:t>
            </w:r>
            <w:r>
              <w:rPr>
                <w:rFonts w:eastAsia="仿宋_GB2312"/>
                <w:sz w:val="24"/>
                <w:szCs w:val="28"/>
              </w:rPr>
              <w:t xml:space="preserve">  □</w:t>
            </w:r>
            <w:r>
              <w:rPr>
                <w:rFonts w:eastAsia="仿宋_GB2312"/>
                <w:sz w:val="24"/>
                <w:szCs w:val="28"/>
              </w:rPr>
              <w:t>新产品（或农业新品种）</w:t>
            </w:r>
            <w:r>
              <w:rPr>
                <w:rFonts w:eastAsia="仿宋_GB2312"/>
                <w:sz w:val="24"/>
                <w:szCs w:val="28"/>
              </w:rPr>
              <w:t xml:space="preserve">  □</w:t>
            </w:r>
            <w:r>
              <w:rPr>
                <w:rFonts w:eastAsia="仿宋_GB2312"/>
                <w:sz w:val="24"/>
                <w:szCs w:val="28"/>
              </w:rPr>
              <w:t>新工艺</w:t>
            </w:r>
          </w:p>
          <w:p>
            <w:pPr>
              <w:snapToGrid w:val="0"/>
              <w:spacing w:before="20"/>
              <w:ind w:right="26" w:firstLineChars="100" w:firstLine="240"/>
              <w:rPr>
                <w:rFonts w:eastAsia="仿宋_GB2312"/>
                <w:sz w:val="24"/>
                <w:szCs w:val="28"/>
              </w:rPr>
            </w:pPr>
            <w:r>
              <w:rPr>
                <w:rFonts w:eastAsia="仿宋_GB2312"/>
                <w:sz w:val="24"/>
                <w:szCs w:val="28"/>
              </w:rPr>
              <w:t>□</w:t>
            </w:r>
            <w:r>
              <w:rPr>
                <w:rFonts w:eastAsia="仿宋_GB2312"/>
                <w:sz w:val="24"/>
                <w:szCs w:val="28"/>
              </w:rPr>
              <w:t>新装置</w:t>
            </w:r>
            <w:r>
              <w:rPr>
                <w:rFonts w:eastAsia="仿宋_GB2312"/>
                <w:sz w:val="24"/>
                <w:szCs w:val="28"/>
              </w:rPr>
              <w:t xml:space="preserve">  □</w:t>
            </w:r>
            <w:r>
              <w:rPr>
                <w:rFonts w:eastAsia="仿宋_GB2312"/>
                <w:sz w:val="24"/>
                <w:szCs w:val="28"/>
              </w:rPr>
              <w:t>新材料</w:t>
            </w:r>
            <w:r>
              <w:rPr>
                <w:rFonts w:eastAsia="仿宋_GB2312"/>
                <w:sz w:val="24"/>
                <w:szCs w:val="28"/>
              </w:rPr>
              <w:t xml:space="preserve"> □</w:t>
            </w:r>
            <w:r>
              <w:rPr>
                <w:rFonts w:eastAsia="仿宋_GB2312"/>
                <w:sz w:val="24"/>
                <w:szCs w:val="28"/>
              </w:rPr>
              <w:t>计算机软件</w:t>
            </w:r>
            <w:r>
              <w:rPr>
                <w:rFonts w:eastAsia="仿宋_GB2312"/>
                <w:sz w:val="24"/>
                <w:szCs w:val="28"/>
              </w:rPr>
              <w:t xml:space="preserve"> □</w:t>
            </w:r>
            <w:r>
              <w:rPr>
                <w:rFonts w:eastAsia="仿宋_GB2312"/>
                <w:sz w:val="24"/>
                <w:szCs w:val="28"/>
              </w:rPr>
              <w:t>论文论著</w:t>
            </w:r>
            <w:r>
              <w:rPr>
                <w:rFonts w:eastAsia="仿宋_GB2312"/>
                <w:sz w:val="24"/>
                <w:szCs w:val="28"/>
              </w:rPr>
              <w:t xml:space="preserve"> □</w:t>
            </w:r>
            <w:r>
              <w:rPr>
                <w:rFonts w:eastAsia="仿宋_GB2312"/>
                <w:sz w:val="24"/>
                <w:szCs w:val="28"/>
              </w:rPr>
              <w:t>研究报告</w:t>
            </w:r>
          </w:p>
          <w:p>
            <w:pPr>
              <w:snapToGrid w:val="0"/>
              <w:spacing w:before="20"/>
              <w:ind w:right="26" w:firstLineChars="100" w:firstLine="240"/>
              <w:rPr>
                <w:rFonts w:eastAsia="仿宋_GB2312"/>
                <w:sz w:val="24"/>
                <w:szCs w:val="28"/>
              </w:rPr>
            </w:pPr>
            <w:r>
              <w:rPr>
                <w:rFonts w:eastAsia="仿宋_GB2312"/>
                <w:sz w:val="24"/>
                <w:szCs w:val="28"/>
              </w:rPr>
              <w:t>□</w:t>
            </w:r>
            <w:r>
              <w:rPr>
                <w:rFonts w:eastAsia="仿宋_GB2312"/>
                <w:sz w:val="24"/>
                <w:szCs w:val="28"/>
              </w:rPr>
              <w:t>其他</w:t>
            </w:r>
          </w:p>
        </w:tc>
      </w:tr>
      <w:tr>
        <w:trPr>
          <w:cantSplit/>
          <w:trHeight w:val="435"/>
        </w:trPr>
        <w:tc>
          <w:tcPr>
            <w:tcW w:w="1560" w:type="dxa"/>
            <w:gridSpan w:val="2"/>
            <w:vAlign w:val="center"/>
          </w:tcPr>
          <w:p>
            <w:pPr>
              <w:snapToGrid w:val="0"/>
              <w:spacing w:before="20"/>
              <w:ind w:right="26"/>
              <w:jc w:val="center"/>
              <w:rPr>
                <w:rFonts w:eastAsia="仿宋_GB2312"/>
                <w:sz w:val="24"/>
              </w:rPr>
            </w:pPr>
            <w:r>
              <w:rPr>
                <w:rFonts w:eastAsia="仿宋_GB2312"/>
                <w:sz w:val="24"/>
              </w:rPr>
              <w:t>预期知识产权</w:t>
            </w:r>
          </w:p>
        </w:tc>
        <w:tc>
          <w:tcPr>
            <w:tcW w:w="7179" w:type="dxa"/>
            <w:gridSpan w:val="15"/>
            <w:vAlign w:val="center"/>
          </w:tcPr>
          <w:p>
            <w:pPr>
              <w:snapToGrid w:val="0"/>
              <w:spacing w:before="20"/>
              <w:ind w:right="26" w:firstLineChars="100" w:firstLine="240"/>
              <w:rPr>
                <w:rFonts w:eastAsia="仿宋_GB2312"/>
                <w:sz w:val="24"/>
                <w:szCs w:val="28"/>
              </w:rPr>
            </w:pPr>
            <w:r>
              <w:rPr>
                <w:rFonts w:eastAsia="仿宋_GB2312"/>
                <w:sz w:val="24"/>
                <w:szCs w:val="28"/>
              </w:rPr>
              <w:t>获得国家发明专利</w:t>
            </w:r>
            <w:r>
              <w:rPr>
                <w:rFonts w:eastAsia="仿宋_GB2312"/>
                <w:sz w:val="24"/>
                <w:szCs w:val="28"/>
                <w:u w:val="single"/>
              </w:rPr>
              <w:t xml:space="preserve">    </w:t>
            </w:r>
            <w:r>
              <w:rPr>
                <w:rFonts w:eastAsia="仿宋_GB2312"/>
                <w:sz w:val="24"/>
                <w:szCs w:val="28"/>
              </w:rPr>
              <w:t>项，省内发明专利</w:t>
            </w:r>
            <w:r>
              <w:rPr>
                <w:rFonts w:eastAsia="仿宋_GB2312"/>
                <w:sz w:val="24"/>
                <w:szCs w:val="28"/>
                <w:u w:val="single"/>
              </w:rPr>
              <w:t xml:space="preserve">    </w:t>
            </w:r>
            <w:r>
              <w:rPr>
                <w:rFonts w:eastAsia="仿宋_GB2312"/>
                <w:sz w:val="24"/>
                <w:szCs w:val="28"/>
              </w:rPr>
              <w:t>项，其他</w:t>
            </w:r>
            <w:r>
              <w:rPr>
                <w:rFonts w:eastAsia="仿宋_GB2312"/>
                <w:sz w:val="24"/>
                <w:szCs w:val="28"/>
                <w:u w:val="single"/>
              </w:rPr>
              <w:t xml:space="preserve">    </w:t>
            </w:r>
            <w:r>
              <w:rPr>
                <w:rFonts w:eastAsia="仿宋_GB2312"/>
                <w:sz w:val="24"/>
                <w:szCs w:val="28"/>
              </w:rPr>
              <w:t>项。</w:t>
            </w:r>
          </w:p>
        </w:tc>
      </w:tr>
      <w:tr>
        <w:trPr>
          <w:cantSplit/>
          <w:trHeight w:val="390"/>
        </w:trPr>
        <w:tc>
          <w:tcPr>
            <w:tcW w:w="1560" w:type="dxa"/>
            <w:gridSpan w:val="2"/>
            <w:vAlign w:val="center"/>
          </w:tcPr>
          <w:p>
            <w:pPr>
              <w:snapToGrid w:val="0"/>
              <w:spacing w:before="20"/>
              <w:ind w:right="26"/>
              <w:jc w:val="center"/>
              <w:rPr>
                <w:rFonts w:eastAsia="仿宋_GB2312"/>
                <w:sz w:val="18"/>
                <w:szCs w:val="18"/>
              </w:rPr>
            </w:pPr>
            <w:r>
              <w:rPr>
                <w:rFonts w:eastAsia="仿宋_GB2312"/>
                <w:sz w:val="24"/>
              </w:rPr>
              <w:lastRenderedPageBreak/>
              <w:t>预期技术标准制定</w:t>
            </w:r>
          </w:p>
        </w:tc>
        <w:tc>
          <w:tcPr>
            <w:tcW w:w="7179" w:type="dxa"/>
            <w:gridSpan w:val="15"/>
            <w:vAlign w:val="center"/>
          </w:tcPr>
          <w:p>
            <w:pPr>
              <w:snapToGrid w:val="0"/>
              <w:spacing w:before="20"/>
              <w:ind w:right="26" w:firstLineChars="100" w:firstLine="240"/>
              <w:rPr>
                <w:rFonts w:eastAsia="仿宋_GB2312"/>
                <w:sz w:val="24"/>
              </w:rPr>
            </w:pPr>
            <w:r>
              <w:rPr>
                <w:rFonts w:eastAsia="仿宋_GB2312"/>
                <w:sz w:val="24"/>
                <w:szCs w:val="28"/>
              </w:rPr>
              <w:t>□</w:t>
            </w:r>
            <w:r>
              <w:rPr>
                <w:rFonts w:eastAsia="仿宋_GB2312"/>
                <w:sz w:val="24"/>
                <w:szCs w:val="28"/>
              </w:rPr>
              <w:t>国际标准</w:t>
            </w:r>
            <w:r>
              <w:rPr>
                <w:rFonts w:eastAsia="仿宋_GB2312"/>
                <w:sz w:val="24"/>
                <w:szCs w:val="28"/>
              </w:rPr>
              <w:t xml:space="preserve">  □</w:t>
            </w:r>
            <w:r>
              <w:rPr>
                <w:rFonts w:eastAsia="仿宋_GB2312"/>
                <w:sz w:val="24"/>
                <w:szCs w:val="28"/>
              </w:rPr>
              <w:t>国家标准</w:t>
            </w:r>
            <w:r>
              <w:rPr>
                <w:rFonts w:eastAsia="仿宋_GB2312"/>
                <w:sz w:val="24"/>
                <w:szCs w:val="28"/>
              </w:rPr>
              <w:t xml:space="preserve">  □</w:t>
            </w:r>
            <w:r>
              <w:rPr>
                <w:rFonts w:eastAsia="仿宋_GB2312"/>
                <w:sz w:val="24"/>
                <w:szCs w:val="28"/>
              </w:rPr>
              <w:t>行业标准</w:t>
            </w:r>
            <w:r>
              <w:rPr>
                <w:rFonts w:eastAsia="仿宋_GB2312"/>
                <w:sz w:val="24"/>
                <w:szCs w:val="28"/>
              </w:rPr>
              <w:t xml:space="preserve">  □</w:t>
            </w:r>
            <w:r>
              <w:rPr>
                <w:rFonts w:eastAsia="仿宋_GB2312"/>
                <w:sz w:val="24"/>
                <w:szCs w:val="28"/>
              </w:rPr>
              <w:t>企业标准</w:t>
            </w:r>
            <w:r>
              <w:rPr>
                <w:rFonts w:eastAsia="仿宋_GB2312"/>
                <w:sz w:val="24"/>
                <w:szCs w:val="28"/>
              </w:rPr>
              <w:t xml:space="preserve">  □</w:t>
            </w:r>
            <w:r>
              <w:rPr>
                <w:rFonts w:eastAsia="仿宋_GB2312"/>
                <w:sz w:val="24"/>
                <w:szCs w:val="28"/>
              </w:rPr>
              <w:t>无</w:t>
            </w:r>
          </w:p>
        </w:tc>
      </w:tr>
      <w:tr>
        <w:trPr>
          <w:cantSplit/>
          <w:trHeight w:val="390"/>
        </w:trPr>
        <w:tc>
          <w:tcPr>
            <w:tcW w:w="1560" w:type="dxa"/>
            <w:gridSpan w:val="2"/>
            <w:vAlign w:val="center"/>
          </w:tcPr>
          <w:p>
            <w:pPr>
              <w:snapToGrid w:val="0"/>
              <w:spacing w:before="20"/>
              <w:ind w:right="26"/>
              <w:jc w:val="center"/>
              <w:rPr>
                <w:rFonts w:eastAsia="仿宋_GB2312"/>
                <w:sz w:val="24"/>
              </w:rPr>
            </w:pPr>
            <w:r>
              <w:rPr>
                <w:rFonts w:eastAsia="仿宋_GB2312"/>
                <w:sz w:val="24"/>
              </w:rPr>
              <w:t>产学研联合</w:t>
            </w:r>
          </w:p>
        </w:tc>
        <w:tc>
          <w:tcPr>
            <w:tcW w:w="7179" w:type="dxa"/>
            <w:gridSpan w:val="15"/>
            <w:vAlign w:val="center"/>
          </w:tcPr>
          <w:p>
            <w:pPr>
              <w:snapToGrid w:val="0"/>
              <w:spacing w:before="20"/>
              <w:ind w:right="26" w:firstLineChars="100" w:firstLine="240"/>
              <w:rPr>
                <w:rFonts w:eastAsia="仿宋_GB2312"/>
                <w:sz w:val="24"/>
              </w:rPr>
            </w:pPr>
            <w:r>
              <w:rPr>
                <w:rFonts w:eastAsia="仿宋_GB2312"/>
                <w:sz w:val="24"/>
                <w:szCs w:val="28"/>
              </w:rPr>
              <w:t>□</w:t>
            </w:r>
            <w:r>
              <w:rPr>
                <w:rFonts w:eastAsia="仿宋_GB2312"/>
                <w:sz w:val="24"/>
              </w:rPr>
              <w:t>是</w:t>
            </w:r>
            <w:r>
              <w:rPr>
                <w:rFonts w:eastAsia="仿宋_GB2312"/>
                <w:sz w:val="24"/>
              </w:rPr>
              <w:t xml:space="preserve">     </w:t>
            </w:r>
            <w:r>
              <w:rPr>
                <w:rFonts w:eastAsia="仿宋_GB2312"/>
                <w:sz w:val="24"/>
                <w:szCs w:val="28"/>
              </w:rPr>
              <w:t>□</w:t>
            </w:r>
            <w:r>
              <w:rPr>
                <w:rFonts w:eastAsia="仿宋_GB2312"/>
                <w:sz w:val="24"/>
              </w:rPr>
              <w:t>否</w:t>
            </w:r>
          </w:p>
        </w:tc>
      </w:tr>
      <w:tr>
        <w:trPr>
          <w:cantSplit/>
          <w:trHeight w:val="390"/>
        </w:trPr>
        <w:tc>
          <w:tcPr>
            <w:tcW w:w="1560" w:type="dxa"/>
            <w:gridSpan w:val="2"/>
            <w:vAlign w:val="center"/>
          </w:tcPr>
          <w:p>
            <w:pPr>
              <w:tabs>
                <w:tab w:val="num" w:pos="1080"/>
              </w:tabs>
              <w:adjustRightInd w:val="0"/>
              <w:snapToGrid w:val="0"/>
              <w:jc w:val="center"/>
              <w:rPr>
                <w:rFonts w:eastAsia="仿宋_GB2312"/>
                <w:sz w:val="24"/>
                <w:szCs w:val="28"/>
              </w:rPr>
            </w:pPr>
            <w:r>
              <w:rPr>
                <w:rFonts w:eastAsia="仿宋_GB2312"/>
                <w:sz w:val="24"/>
                <w:szCs w:val="28"/>
              </w:rPr>
              <w:t>经费预算</w:t>
            </w:r>
          </w:p>
        </w:tc>
        <w:tc>
          <w:tcPr>
            <w:tcW w:w="7179" w:type="dxa"/>
            <w:gridSpan w:val="15"/>
            <w:vAlign w:val="center"/>
          </w:tcPr>
          <w:p>
            <w:pPr>
              <w:tabs>
                <w:tab w:val="num" w:pos="1080"/>
              </w:tabs>
              <w:adjustRightInd w:val="0"/>
              <w:snapToGrid w:val="0"/>
              <w:jc w:val="center"/>
              <w:rPr>
                <w:rFonts w:eastAsia="仿宋_GB2312"/>
                <w:sz w:val="24"/>
                <w:szCs w:val="28"/>
              </w:rPr>
            </w:pPr>
            <w:r>
              <w:rPr>
                <w:rFonts w:eastAsia="仿宋_GB2312"/>
                <w:sz w:val="24"/>
                <w:szCs w:val="28"/>
              </w:rPr>
              <w:t>490</w:t>
            </w:r>
            <w:r>
              <w:rPr>
                <w:rFonts w:eastAsia="仿宋_GB2312"/>
                <w:sz w:val="24"/>
                <w:szCs w:val="28"/>
              </w:rPr>
              <w:t xml:space="preserve">万元，其中省科技厅拨款　</w:t>
            </w:r>
            <w:r>
              <w:rPr>
                <w:rFonts w:eastAsia="仿宋_GB2312"/>
                <w:sz w:val="24"/>
                <w:szCs w:val="28"/>
              </w:rPr>
              <w:t>60</w:t>
            </w:r>
            <w:r>
              <w:rPr>
                <w:rFonts w:eastAsia="仿宋_GB2312"/>
                <w:sz w:val="24"/>
                <w:szCs w:val="28"/>
              </w:rPr>
              <w:t xml:space="preserve">　万元。</w:t>
            </w:r>
          </w:p>
        </w:tc>
      </w:tr>
      <w:tr>
        <w:trPr>
          <w:trHeight w:val="770"/>
        </w:trPr>
        <w:tc>
          <w:tcPr>
            <w:tcW w:w="8739" w:type="dxa"/>
            <w:gridSpan w:val="17"/>
            <w:vAlign w:val="center"/>
          </w:tcPr>
          <w:p>
            <w:pPr>
              <w:rPr>
                <w:rFonts w:eastAsia="黑体"/>
                <w:sz w:val="28"/>
              </w:rPr>
            </w:pPr>
            <w:r>
              <w:rPr>
                <w:rFonts w:eastAsia="仿宋_GB2312"/>
                <w:b/>
              </w:rPr>
              <w:br w:type="page"/>
            </w:r>
            <w:r>
              <w:rPr>
                <w:rFonts w:eastAsia="黑体"/>
                <w:b/>
                <w:bCs/>
                <w:sz w:val="28"/>
              </w:rPr>
              <w:t>一、项目研究主要目标、主要内容、技术关键、技术路线和应用方案。</w:t>
            </w:r>
            <w:r>
              <w:t>（不超过</w:t>
            </w:r>
            <w:r>
              <w:t>4500</w:t>
            </w:r>
            <w:r>
              <w:t>字，各栏中不得出现申报单位名称和项目成员姓名。）</w:t>
            </w:r>
          </w:p>
        </w:tc>
      </w:tr>
      <w:tr>
        <w:trPr>
          <w:trHeight w:val="10891"/>
        </w:trPr>
        <w:tc>
          <w:tcPr>
            <w:tcW w:w="8739" w:type="dxa"/>
            <w:gridSpan w:val="17"/>
            <w:vAlign w:val="center"/>
          </w:tcPr>
          <w:p>
            <w:r>
              <w:t>1.1</w:t>
            </w:r>
            <w:r>
              <w:t>项目研究主要目标</w:t>
            </w:r>
          </w:p>
          <w:p>
            <w:r>
              <w:t xml:space="preserve">　　</w:t>
            </w:r>
            <w:r>
              <w:rPr>
                <w:rFonts w:hint="eastAsia"/>
              </w:rPr>
              <w:t>路测（</w:t>
            </w:r>
            <w:r>
              <w:rPr>
                <w:rFonts w:hint="eastAsia"/>
              </w:rPr>
              <w:t>Drive Test</w:t>
            </w:r>
            <w:r>
              <w:rPr>
                <w:rFonts w:hint="eastAsia"/>
              </w:rPr>
              <w:t>，</w:t>
            </w:r>
            <w:r>
              <w:rPr>
                <w:rFonts w:hint="eastAsia"/>
              </w:rPr>
              <w:t>DT</w:t>
            </w:r>
            <w:r>
              <w:rPr>
                <w:rFonts w:hint="eastAsia"/>
              </w:rPr>
              <w:t>）是借助仪表、测试终端及测试车辆等工具，沿特定路线进行网络参数和通话质量测定的测试形式。路测的主要目的是发现问题和解决问题。发现问题是通过定期的例行测试，从用户的角度感受网络的质量，发现网络运行的问题。解决问题是指确认问题发生的原因并寻找解决办法。路测可以从实际用户的角度去感受和了解网络质量，是监视和分析移动通信网络运行状况的一种基本而且重要的手段，是移动通信网络建设和优化中必不可少的工具。</w:t>
            </w:r>
          </w:p>
          <w:p>
            <w:r>
              <w:t xml:space="preserve">　　</w:t>
            </w:r>
            <w:r>
              <w:rPr>
                <w:rFonts w:hint="eastAsia"/>
              </w:rPr>
              <w:t>在无线环境中，由于存在路径损耗和多径衰落，处于不同位置和时间的用户所得到的服务质量存在着很大差别。这就需要通过路测的方法对不同时间和地点的网络覆盖区域进行性能测试。路测具有以下的作用：</w:t>
            </w:r>
          </w:p>
          <w:p>
            <w:r>
              <w:t xml:space="preserve">　　</w:t>
            </w:r>
            <w:r>
              <w:rPr>
                <w:rFonts w:hint="eastAsia"/>
              </w:rPr>
              <w:t>（</w:t>
            </w:r>
            <w:r>
              <w:rPr>
                <w:rFonts w:hint="eastAsia"/>
              </w:rPr>
              <w:t>1</w:t>
            </w:r>
            <w:r>
              <w:rPr>
                <w:rFonts w:hint="eastAsia"/>
              </w:rPr>
              <w:t>）作为实际客观地评估网络质量的重要依据；</w:t>
            </w:r>
          </w:p>
          <w:p>
            <w:r>
              <w:t xml:space="preserve">　　</w:t>
            </w:r>
            <w:r>
              <w:rPr>
                <w:rFonts w:hint="eastAsia"/>
              </w:rPr>
              <w:t>（</w:t>
            </w:r>
            <w:r>
              <w:rPr>
                <w:rFonts w:hint="eastAsia"/>
              </w:rPr>
              <w:t>2</w:t>
            </w:r>
            <w:r>
              <w:rPr>
                <w:rFonts w:hint="eastAsia"/>
              </w:rPr>
              <w:t>）为网络参数调整提供测试验证；</w:t>
            </w:r>
          </w:p>
          <w:p>
            <w:r>
              <w:t xml:space="preserve">　　</w:t>
            </w:r>
            <w:r>
              <w:rPr>
                <w:rFonts w:hint="eastAsia"/>
              </w:rPr>
              <w:t>（</w:t>
            </w:r>
            <w:r>
              <w:rPr>
                <w:rFonts w:hint="eastAsia"/>
              </w:rPr>
              <w:t>3</w:t>
            </w:r>
            <w:r>
              <w:rPr>
                <w:rFonts w:hint="eastAsia"/>
              </w:rPr>
              <w:t>）为网优验收提供场强图和质量图；</w:t>
            </w:r>
          </w:p>
          <w:p>
            <w:r>
              <w:t xml:space="preserve">　　</w:t>
            </w:r>
            <w:r>
              <w:rPr>
                <w:rFonts w:hint="eastAsia"/>
              </w:rPr>
              <w:t>（</w:t>
            </w:r>
            <w:r>
              <w:rPr>
                <w:rFonts w:hint="eastAsia"/>
              </w:rPr>
              <w:t>4</w:t>
            </w:r>
            <w:r>
              <w:rPr>
                <w:rFonts w:hint="eastAsia"/>
              </w:rPr>
              <w:t>）解决基站中的隐含的软故障等问题。</w:t>
            </w:r>
          </w:p>
          <w:p>
            <w:r>
              <w:t xml:space="preserve">　　</w:t>
            </w:r>
            <w:r>
              <w:rPr>
                <w:rFonts w:hint="eastAsia"/>
              </w:rPr>
              <w:t>本项目拟突破</w:t>
            </w:r>
            <w:r>
              <w:rPr>
                <w:rFonts w:hint="eastAsia"/>
              </w:rPr>
              <w:t>3G</w:t>
            </w:r>
            <w:r>
              <w:rPr>
                <w:rFonts w:hint="eastAsia"/>
              </w:rPr>
              <w:t>移动通信自动路测关键技术，研制具有完全自主知识产权的、技术先进的、支持国产</w:t>
            </w:r>
            <w:r>
              <w:rPr>
                <w:rFonts w:hint="eastAsia"/>
              </w:rPr>
              <w:t>3G</w:t>
            </w:r>
            <w:r>
              <w:rPr>
                <w:rFonts w:hint="eastAsia"/>
              </w:rPr>
              <w:t>技术</w:t>
            </w:r>
            <w:r>
              <w:rPr>
                <w:rFonts w:hint="eastAsia"/>
              </w:rPr>
              <w:t>TD-SCDMA</w:t>
            </w:r>
            <w:r>
              <w:rPr>
                <w:rFonts w:hint="eastAsia"/>
              </w:rPr>
              <w:t>的</w:t>
            </w:r>
            <w:r>
              <w:rPr>
                <w:rFonts w:hint="eastAsia"/>
              </w:rPr>
              <w:t>3G</w:t>
            </w:r>
            <w:r>
              <w:rPr>
                <w:rFonts w:hint="eastAsia"/>
              </w:rPr>
              <w:t>移动通信网络自动路测系统，为移动运营商提供自动路测及数据分析服务，实现产业化及规模化推广应用，有效提升移动通信网络的服务质量，满足</w:t>
            </w:r>
            <w:r>
              <w:rPr>
                <w:rFonts w:hint="eastAsia"/>
              </w:rPr>
              <w:t>3G</w:t>
            </w:r>
            <w:r>
              <w:rPr>
                <w:rFonts w:hint="eastAsia"/>
              </w:rPr>
              <w:t>移动用户需求，促进</w:t>
            </w:r>
            <w:r>
              <w:rPr>
                <w:rFonts w:hint="eastAsia"/>
              </w:rPr>
              <w:t>3G</w:t>
            </w:r>
            <w:r>
              <w:rPr>
                <w:rFonts w:hint="eastAsia"/>
              </w:rPr>
              <w:t>移动通信的发展。</w:t>
            </w:r>
          </w:p>
          <w:p/>
          <w:p>
            <w:r>
              <w:t>1.2</w:t>
            </w:r>
            <w:r>
              <w:t>主要内容</w:t>
            </w:r>
          </w:p>
          <w:p>
            <w:r>
              <w:t xml:space="preserve">　　</w:t>
            </w:r>
            <w:r>
              <w:rPr>
                <w:rFonts w:hint="eastAsia"/>
              </w:rPr>
              <w:t>本项目拟研制</w:t>
            </w:r>
            <w:r>
              <w:rPr>
                <w:rFonts w:hint="eastAsia"/>
              </w:rPr>
              <w:t>3G</w:t>
            </w:r>
            <w:r>
              <w:rPr>
                <w:rFonts w:hint="eastAsia"/>
              </w:rPr>
              <w:t>移动通信自动路测系统，具体研究开发方案及内容如下。</w:t>
            </w:r>
          </w:p>
          <w:p/>
          <w:p>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总体技术方案设计</w:t>
            </w:r>
          </w:p>
          <w:p>
            <w:r>
              <w:t xml:space="preserve">　　</w:t>
            </w:r>
            <w:r>
              <w:rPr>
                <w:rFonts w:hint="eastAsia"/>
              </w:rPr>
              <w:t>传统的路测解决方案是将测试设备仪器放置到车辆上，车辆移动的同时不断采集网络在不同位置的数据，并可以利用软件对数据进行分析处理。传统的路测方案存在以下的缺点和不足：</w:t>
            </w:r>
          </w:p>
          <w:p>
            <w:r>
              <w:t xml:space="preserve">　　</w:t>
            </w:r>
            <w:r>
              <w:rPr>
                <w:rFonts w:hint="eastAsia"/>
              </w:rPr>
              <w:t>（</w:t>
            </w:r>
            <w:r>
              <w:rPr>
                <w:rFonts w:hint="eastAsia"/>
              </w:rPr>
              <w:t>1</w:t>
            </w:r>
            <w:r>
              <w:rPr>
                <w:rFonts w:hint="eastAsia"/>
              </w:rPr>
              <w:t>）传统路测一般只能采集特定时间、特定区域的网络运行数据，无法进行大范围、全天候的检测，采集数据量较少，只能了解部分区域的网络状况，不能反映移动通信网络的整体性能，也不能及时发现网络问题。这就是目前大部分网络问题都是由用户投诉而不能主动发现的原因。</w:t>
            </w:r>
          </w:p>
          <w:p>
            <w:r>
              <w:t xml:space="preserve">　　</w:t>
            </w:r>
            <w:r>
              <w:rPr>
                <w:rFonts w:hint="eastAsia"/>
              </w:rPr>
              <w:t>（</w:t>
            </w:r>
            <w:r>
              <w:rPr>
                <w:rFonts w:hint="eastAsia"/>
              </w:rPr>
              <w:t>2</w:t>
            </w:r>
            <w:r>
              <w:rPr>
                <w:rFonts w:hint="eastAsia"/>
              </w:rPr>
              <w:t>）传统路测需要由网优测试人员携带专用测试仪器乘坐车辆采集数据，这种方法成本高，人力物力资源耗费极大，并且，发现和解决问题的周期较长。所以，目前的路测大都只能在已经发生网络通信问题、确定需要进行网络优化的区域进行。达不到通过日常检测和海量数据采集，发现已存在或潜在问题的作用。</w:t>
            </w:r>
          </w:p>
          <w:p>
            <w:r>
              <w:t xml:space="preserve">　　</w:t>
            </w:r>
            <w:r>
              <w:rPr>
                <w:rFonts w:hint="eastAsia"/>
              </w:rPr>
              <w:t>针对传统的路测方案的不足，本项目拟采用自动路测（</w:t>
            </w:r>
            <w:r>
              <w:rPr>
                <w:rFonts w:hint="eastAsia"/>
              </w:rPr>
              <w:t>Auto Drive Test</w:t>
            </w:r>
            <w:r>
              <w:rPr>
                <w:rFonts w:hint="eastAsia"/>
              </w:rPr>
              <w:t>，</w:t>
            </w:r>
            <w:r>
              <w:rPr>
                <w:rFonts w:hint="eastAsia"/>
              </w:rPr>
              <w:t>ADT</w:t>
            </w:r>
            <w:r>
              <w:rPr>
                <w:rFonts w:hint="eastAsia"/>
              </w:rPr>
              <w:t>）系统方案，其设计思路是将测试单元安装在社会车辆（出租车、公交车）上，通过对测试行为的定义，自动完成测试，并且利用无线网络将测试数据回传到控制中心，再做后台统计分析。</w:t>
            </w:r>
          </w:p>
          <w:p>
            <w:r>
              <w:t xml:space="preserve">　　</w:t>
            </w:r>
            <w:r>
              <w:rPr>
                <w:rFonts w:hint="eastAsia"/>
              </w:rPr>
              <w:t>本项目拟研制的</w:t>
            </w:r>
            <w:r>
              <w:rPr>
                <w:rFonts w:hint="eastAsia"/>
              </w:rPr>
              <w:t>3G</w:t>
            </w:r>
            <w:r>
              <w:rPr>
                <w:rFonts w:hint="eastAsia"/>
              </w:rPr>
              <w:t>移动通信网络自动路测系统结构如下图所示。</w:t>
            </w:r>
          </w:p>
          <w:p>
            <w:r>
              <w:object w:dxaOrig="9290" w:dyaOrig="5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pt;height:237.6pt" o:ole="">
                  <v:imagedata r:id="rId9" o:title=""/>
                </v:shape>
                <o:OLEObject Type="Embed" ProgID="Visio.Drawing.11" ShapeID="_x0000_i1025" DrawAspect="Content" ObjectID="_1345915359" r:id="rId10"/>
              </w:object>
            </w:r>
          </w:p>
          <w:p/>
          <w:p>
            <w:r>
              <w:rPr>
                <w:rFonts w:hint="eastAsia"/>
              </w:rPr>
              <w:t>1.2.2</w:t>
            </w:r>
            <w:r>
              <w:rPr>
                <w:rFonts w:hint="eastAsia"/>
              </w:rPr>
              <w:t>技术方案优势</w:t>
            </w:r>
          </w:p>
          <w:p>
            <w:r>
              <w:t xml:space="preserve">　　</w:t>
            </w:r>
            <w:r>
              <w:rPr>
                <w:rFonts w:hint="eastAsia"/>
              </w:rPr>
              <w:t>本项目采用的自动路测技术方案具有以下优势：</w:t>
            </w:r>
          </w:p>
          <w:p>
            <w:r>
              <w:t xml:space="preserve">　　</w:t>
            </w:r>
            <w:r>
              <w:rPr>
                <w:rFonts w:hint="eastAsia"/>
              </w:rPr>
              <w:t>（</w:t>
            </w:r>
            <w:r>
              <w:rPr>
                <w:rFonts w:hint="eastAsia"/>
              </w:rPr>
              <w:t>1</w:t>
            </w:r>
            <w:r>
              <w:rPr>
                <w:rFonts w:hint="eastAsia"/>
              </w:rPr>
              <w:t>）通过对社会车辆的选取，来满足对测试广度和深度的要求。公交车辆可以保证重点路段的测试量，出租车或邮政车辆可以达到网络覆盖的角角落落。同时可以保证测试时间，可以全天候的监测路网。</w:t>
            </w:r>
          </w:p>
          <w:p>
            <w:r>
              <w:t xml:space="preserve">　　</w:t>
            </w:r>
            <w:r>
              <w:rPr>
                <w:rFonts w:hint="eastAsia"/>
              </w:rPr>
              <w:t>（</w:t>
            </w:r>
            <w:r>
              <w:rPr>
                <w:rFonts w:hint="eastAsia"/>
              </w:rPr>
              <w:t>2</w:t>
            </w:r>
            <w:r>
              <w:rPr>
                <w:rFonts w:hint="eastAsia"/>
              </w:rPr>
              <w:t>）从统计学的角度来看，巨大的样本数量是非常接近真实情况，而且可以降低偶然事件对于测试结果的影响。</w:t>
            </w:r>
          </w:p>
          <w:p>
            <w:r>
              <w:t xml:space="preserve">　　</w:t>
            </w:r>
            <w:r>
              <w:rPr>
                <w:rFonts w:hint="eastAsia"/>
              </w:rPr>
              <w:t>（</w:t>
            </w:r>
            <w:r>
              <w:rPr>
                <w:rFonts w:hint="eastAsia"/>
              </w:rPr>
              <w:t>3</w:t>
            </w:r>
            <w:r>
              <w:rPr>
                <w:rFonts w:hint="eastAsia"/>
              </w:rPr>
              <w:t>）测试结果可以自动、及时的反馈到控制中心，对于运维来说减轻了测试人员工作负担，节约了工作时间和成本，可以先于用户发现网络存在的问题。</w:t>
            </w:r>
          </w:p>
          <w:p>
            <w:r>
              <w:t xml:space="preserve">　　</w:t>
            </w:r>
            <w:r>
              <w:rPr>
                <w:rFonts w:hint="eastAsia"/>
              </w:rPr>
              <w:t>（</w:t>
            </w:r>
            <w:r>
              <w:rPr>
                <w:rFonts w:hint="eastAsia"/>
              </w:rPr>
              <w:t>4</w:t>
            </w:r>
            <w:r>
              <w:rPr>
                <w:rFonts w:hint="eastAsia"/>
              </w:rPr>
              <w:t>）网优工程对于网络参数设备的调整可以在第一时间了解到实施效果，加快工作进程。</w:t>
            </w:r>
          </w:p>
          <w:p>
            <w:r>
              <w:t xml:space="preserve">　　</w:t>
            </w:r>
            <w:r>
              <w:rPr>
                <w:rFonts w:hint="eastAsia"/>
              </w:rPr>
              <w:t>总之，自动路测系统弥补了传统路测的缺点和不足，可以广泛应用于网络质量监测、优化效果评定、割接情况检查以及日常维护工作。通过对网络的持续监测，及时发现问题，分析问题，以改善网络服务质量，提高企业的市场竞争力。</w:t>
            </w:r>
          </w:p>
          <w:p/>
          <w:p>
            <w:r>
              <w:rPr>
                <w:rFonts w:hint="eastAsia"/>
              </w:rPr>
              <w:t>1.</w:t>
            </w:r>
            <w:r>
              <w:t>2.</w:t>
            </w:r>
            <w:r>
              <w:rPr>
                <w:rFonts w:hint="eastAsia"/>
              </w:rPr>
              <w:t>3</w:t>
            </w:r>
            <w:r>
              <w:rPr>
                <w:rFonts w:hint="eastAsia"/>
              </w:rPr>
              <w:t>产品功能特点及技术性能指标</w:t>
            </w:r>
          </w:p>
          <w:p>
            <w:r>
              <w:t xml:space="preserve">　　</w:t>
            </w:r>
            <w:r>
              <w:rPr>
                <w:rFonts w:hint="eastAsia"/>
              </w:rPr>
              <w:t>（</w:t>
            </w:r>
            <w:r>
              <w:rPr>
                <w:rFonts w:hint="eastAsia"/>
              </w:rPr>
              <w:t>1</w:t>
            </w:r>
            <w:r>
              <w:rPr>
                <w:rFonts w:hint="eastAsia"/>
              </w:rPr>
              <w:t>）支持</w:t>
            </w:r>
            <w:r>
              <w:t>GSM900/GSM1800/GPRS/EDGE/WCDMA/CDMA2000 1X</w:t>
            </w:r>
            <w:r>
              <w:rPr>
                <w:rFonts w:hint="eastAsia"/>
              </w:rPr>
              <w:t>等网络制式；</w:t>
            </w:r>
          </w:p>
          <w:p>
            <w:r>
              <w:t xml:space="preserve">　　</w:t>
            </w:r>
            <w:r>
              <w:rPr>
                <w:rFonts w:hint="eastAsia"/>
              </w:rPr>
              <w:t>（</w:t>
            </w:r>
            <w:r>
              <w:rPr>
                <w:rFonts w:hint="eastAsia"/>
              </w:rPr>
              <w:t>2</w:t>
            </w:r>
            <w:r>
              <w:rPr>
                <w:rFonts w:hint="eastAsia"/>
              </w:rPr>
              <w:t>）支持</w:t>
            </w:r>
            <w:r>
              <w:t>3G</w:t>
            </w:r>
            <w:r>
              <w:rPr>
                <w:rFonts w:hint="eastAsia"/>
              </w:rPr>
              <w:t>网络：</w:t>
            </w:r>
            <w:r>
              <w:t>WCDMA/HSDPA/TD-SCDMA/CDMA2000 EVDO</w:t>
            </w:r>
            <w:r>
              <w:rPr>
                <w:rFonts w:hint="eastAsia"/>
              </w:rPr>
              <w:t>；</w:t>
            </w:r>
          </w:p>
          <w:p>
            <w:r>
              <w:t xml:space="preserve">　　</w:t>
            </w:r>
            <w:r>
              <w:rPr>
                <w:rFonts w:hint="eastAsia"/>
              </w:rPr>
              <w:t>（</w:t>
            </w:r>
            <w:r>
              <w:rPr>
                <w:rFonts w:hint="eastAsia"/>
              </w:rPr>
              <w:t>3</w:t>
            </w:r>
            <w:r>
              <w:rPr>
                <w:rFonts w:hint="eastAsia"/>
              </w:rPr>
              <w:t>）支持四网同测和对比分析；</w:t>
            </w:r>
          </w:p>
          <w:p>
            <w:r>
              <w:t xml:space="preserve">　　</w:t>
            </w:r>
            <w:r>
              <w:rPr>
                <w:rFonts w:hint="eastAsia"/>
              </w:rPr>
              <w:t>（</w:t>
            </w:r>
            <w:r>
              <w:rPr>
                <w:rFonts w:hint="eastAsia"/>
              </w:rPr>
              <w:t>4</w:t>
            </w:r>
            <w:r>
              <w:rPr>
                <w:rFonts w:hint="eastAsia"/>
              </w:rPr>
              <w:t>）支持异地上下行语音评估（</w:t>
            </w:r>
            <w:r>
              <w:t>MOS</w:t>
            </w:r>
            <w:r>
              <w:rPr>
                <w:rFonts w:hint="eastAsia"/>
              </w:rPr>
              <w:t>）；</w:t>
            </w:r>
          </w:p>
          <w:p>
            <w:r>
              <w:t xml:space="preserve">　　</w:t>
            </w:r>
            <w:r>
              <w:rPr>
                <w:rFonts w:hint="eastAsia"/>
              </w:rPr>
              <w:t>（</w:t>
            </w:r>
            <w:r>
              <w:rPr>
                <w:rFonts w:hint="eastAsia"/>
              </w:rPr>
              <w:t>5</w:t>
            </w:r>
            <w:r>
              <w:rPr>
                <w:rFonts w:hint="eastAsia"/>
              </w:rPr>
              <w:t>）支持实时数据回传和实时移动测试单元（</w:t>
            </w:r>
            <w:r>
              <w:t>MTU</w:t>
            </w:r>
            <w:r>
              <w:rPr>
                <w:rFonts w:hint="eastAsia"/>
              </w:rPr>
              <w:t>）监控及数据展现分析；</w:t>
            </w:r>
          </w:p>
          <w:p>
            <w:r>
              <w:t xml:space="preserve">　　</w:t>
            </w:r>
            <w:r>
              <w:rPr>
                <w:rFonts w:hint="eastAsia"/>
              </w:rPr>
              <w:t>（</w:t>
            </w:r>
            <w:r>
              <w:rPr>
                <w:rFonts w:hint="eastAsia"/>
              </w:rPr>
              <w:t>6</w:t>
            </w:r>
            <w:r>
              <w:rPr>
                <w:rFonts w:hint="eastAsia"/>
              </w:rPr>
              <w:t>）支持远程的</w:t>
            </w:r>
            <w:r>
              <w:t>MTU</w:t>
            </w:r>
            <w:r>
              <w:rPr>
                <w:rFonts w:hint="eastAsia"/>
              </w:rPr>
              <w:t>测试操控，支持在线软件升级；</w:t>
            </w:r>
          </w:p>
          <w:p>
            <w:r>
              <w:t xml:space="preserve">　　</w:t>
            </w:r>
            <w:r>
              <w:rPr>
                <w:rFonts w:hint="eastAsia"/>
              </w:rPr>
              <w:t>（</w:t>
            </w:r>
            <w:r>
              <w:rPr>
                <w:rFonts w:hint="eastAsia"/>
              </w:rPr>
              <w:t>7</w:t>
            </w:r>
            <w:r>
              <w:rPr>
                <w:rFonts w:hint="eastAsia"/>
              </w:rPr>
              <w:t>）多种手段确保网络测试数据的完整性；</w:t>
            </w:r>
          </w:p>
          <w:p>
            <w:r>
              <w:t xml:space="preserve">　　</w:t>
            </w:r>
            <w:r>
              <w:rPr>
                <w:rFonts w:hint="eastAsia"/>
              </w:rPr>
              <w:t>（</w:t>
            </w:r>
            <w:r>
              <w:rPr>
                <w:rFonts w:hint="eastAsia"/>
              </w:rPr>
              <w:t>8</w:t>
            </w:r>
            <w:r>
              <w:rPr>
                <w:rFonts w:hint="eastAsia"/>
              </w:rPr>
              <w:t>）灵活的扩展性，</w:t>
            </w:r>
            <w:r>
              <w:t>MTU</w:t>
            </w:r>
            <w:r>
              <w:rPr>
                <w:rFonts w:hint="eastAsia"/>
              </w:rPr>
              <w:t>可进行灵活的配置用以测试不同制式的无线网络性能；</w:t>
            </w:r>
          </w:p>
          <w:p>
            <w:r>
              <w:t xml:space="preserve">　　</w:t>
            </w:r>
            <w:r>
              <w:rPr>
                <w:rFonts w:hint="eastAsia"/>
              </w:rPr>
              <w:t>（</w:t>
            </w:r>
            <w:r>
              <w:rPr>
                <w:rFonts w:hint="eastAsia"/>
              </w:rPr>
              <w:t>9</w:t>
            </w:r>
            <w:r>
              <w:rPr>
                <w:rFonts w:hint="eastAsia"/>
              </w:rPr>
              <w:t>）支持海量数据的存储，统计和分析；</w:t>
            </w:r>
          </w:p>
          <w:p>
            <w:r>
              <w:t xml:space="preserve">　　</w:t>
            </w:r>
            <w:r>
              <w:rPr>
                <w:rFonts w:hint="eastAsia"/>
              </w:rPr>
              <w:t>（</w:t>
            </w:r>
            <w:r>
              <w:rPr>
                <w:rFonts w:hint="eastAsia"/>
              </w:rPr>
              <w:t>10</w:t>
            </w:r>
            <w:r>
              <w:rPr>
                <w:rFonts w:hint="eastAsia"/>
              </w:rPr>
              <w:t>）自动生成数据报表，可自动生成</w:t>
            </w:r>
            <w:r>
              <w:t>WORD</w:t>
            </w:r>
            <w:r>
              <w:rPr>
                <w:rFonts w:hint="eastAsia"/>
              </w:rPr>
              <w:t>报告，并可通过邮件定期发送给相关人员，支持用户自定义报告。</w:t>
            </w:r>
          </w:p>
          <w:p/>
          <w:p>
            <w:r>
              <w:rPr>
                <w:rFonts w:hint="eastAsia"/>
              </w:rPr>
              <w:lastRenderedPageBreak/>
              <w:t>1.</w:t>
            </w:r>
            <w:r>
              <w:t>2.</w:t>
            </w:r>
            <w:r>
              <w:rPr>
                <w:rFonts w:hint="eastAsia"/>
              </w:rPr>
              <w:t>4</w:t>
            </w:r>
            <w:r>
              <w:rPr>
                <w:rFonts w:hint="eastAsia"/>
              </w:rPr>
              <w:t>本项目具体的研制内容</w:t>
            </w:r>
          </w:p>
          <w:p>
            <w:r>
              <w:t xml:space="preserve">　　</w:t>
            </w:r>
            <w:r>
              <w:rPr>
                <w:rFonts w:hint="eastAsia"/>
              </w:rPr>
              <w:t>本项目具体研制内容包括：</w:t>
            </w:r>
          </w:p>
          <w:p>
            <w:r>
              <w:t xml:space="preserve">　　</w:t>
            </w:r>
            <w:r>
              <w:rPr>
                <w:rFonts w:hint="eastAsia"/>
              </w:rPr>
              <w:t>（</w:t>
            </w:r>
            <w:r>
              <w:rPr>
                <w:rFonts w:hint="eastAsia"/>
              </w:rPr>
              <w:t>1</w:t>
            </w:r>
            <w:r>
              <w:rPr>
                <w:rFonts w:hint="eastAsia"/>
              </w:rPr>
              <w:t>）移动测试单元（</w:t>
            </w:r>
            <w:r>
              <w:rPr>
                <w:rFonts w:hint="eastAsia"/>
              </w:rPr>
              <w:t>MTU</w:t>
            </w:r>
            <w:r>
              <w:rPr>
                <w:rFonts w:hint="eastAsia"/>
              </w:rPr>
              <w:t>）产品研制。</w:t>
            </w:r>
          </w:p>
          <w:p>
            <w:r>
              <w:t xml:space="preserve">　　</w:t>
            </w:r>
            <w:r>
              <w:rPr>
                <w:rFonts w:hint="eastAsia"/>
              </w:rPr>
              <w:t>（</w:t>
            </w:r>
            <w:r>
              <w:rPr>
                <w:rFonts w:hint="eastAsia"/>
              </w:rPr>
              <w:t>2</w:t>
            </w:r>
            <w:r>
              <w:rPr>
                <w:rFonts w:hint="eastAsia"/>
              </w:rPr>
              <w:t>）</w:t>
            </w:r>
            <w:r>
              <w:rPr>
                <w:rFonts w:hint="eastAsia"/>
              </w:rPr>
              <w:t>3G</w:t>
            </w:r>
            <w:r>
              <w:rPr>
                <w:rFonts w:hint="eastAsia"/>
              </w:rPr>
              <w:t>移动通信网络自动路测系统软件研发。</w:t>
            </w:r>
          </w:p>
          <w:p>
            <w:r>
              <w:t xml:space="preserve">　　</w:t>
            </w:r>
            <w:r>
              <w:rPr>
                <w:rFonts w:hint="eastAsia"/>
              </w:rPr>
              <w:t>（</w:t>
            </w:r>
            <w:r>
              <w:rPr>
                <w:rFonts w:hint="eastAsia"/>
              </w:rPr>
              <w:t>3</w:t>
            </w:r>
            <w:r>
              <w:rPr>
                <w:rFonts w:hint="eastAsia"/>
              </w:rPr>
              <w:t>）建立面向移动运营商的自动路测服务体系。</w:t>
            </w:r>
          </w:p>
          <w:p>
            <w:r>
              <w:t xml:space="preserve">　　</w:t>
            </w:r>
            <w:r>
              <w:rPr>
                <w:rFonts w:hint="eastAsia"/>
              </w:rPr>
              <w:t>系统总体上达到国际先进技术水平，在关键性能和功能上有所突破，全面支持</w:t>
            </w:r>
            <w:r>
              <w:rPr>
                <w:rFonts w:hint="eastAsia"/>
              </w:rPr>
              <w:t>TD-SCDMA</w:t>
            </w:r>
            <w:r>
              <w:rPr>
                <w:rFonts w:hint="eastAsia"/>
              </w:rPr>
              <w:t>标准。</w:t>
            </w:r>
          </w:p>
          <w:p/>
          <w:p>
            <w:r>
              <w:t>1.3</w:t>
            </w:r>
            <w:r>
              <w:t>技术关键</w:t>
            </w:r>
          </w:p>
          <w:p>
            <w:r>
              <w:t xml:space="preserve">　　</w:t>
            </w:r>
            <w:r>
              <w:rPr>
                <w:rFonts w:hint="eastAsia"/>
              </w:rPr>
              <w:t>本项目的</w:t>
            </w:r>
            <w:r>
              <w:t>关键技术</w:t>
            </w:r>
            <w:r>
              <w:rPr>
                <w:rFonts w:hint="eastAsia"/>
              </w:rPr>
              <w:t>包括：</w:t>
            </w:r>
          </w:p>
          <w:p>
            <w:r>
              <w:t xml:space="preserve">　　</w:t>
            </w:r>
            <w:r>
              <w:rPr>
                <w:rFonts w:hint="eastAsia"/>
              </w:rPr>
              <w:t>（</w:t>
            </w:r>
            <w:r>
              <w:rPr>
                <w:rFonts w:hint="eastAsia"/>
              </w:rPr>
              <w:t>1</w:t>
            </w:r>
            <w:r>
              <w:rPr>
                <w:rFonts w:hint="eastAsia"/>
              </w:rPr>
              <w:t>）海量测试数据的分析处理技术。由于放置在出租车、公交车上的高性能移动测试单元（</w:t>
            </w:r>
            <w:r>
              <w:rPr>
                <w:rFonts w:hint="eastAsia"/>
              </w:rPr>
              <w:t>MTU</w:t>
            </w:r>
            <w:r>
              <w:rPr>
                <w:rFonts w:hint="eastAsia"/>
              </w:rPr>
              <w:t>）全天</w:t>
            </w:r>
            <w:r>
              <w:rPr>
                <w:rFonts w:hint="eastAsia"/>
              </w:rPr>
              <w:t>24</w:t>
            </w:r>
            <w:r>
              <w:rPr>
                <w:rFonts w:hint="eastAsia"/>
              </w:rPr>
              <w:t>小时不断进行测量，产生的测量数据规模庞大。对这些海量测试数据的分析处理需要进行精细的算法设计，并采用最新的数据分析技术。</w:t>
            </w:r>
          </w:p>
          <w:p>
            <w:r>
              <w:t xml:space="preserve">　　</w:t>
            </w:r>
            <w:r>
              <w:rPr>
                <w:rFonts w:hint="eastAsia"/>
              </w:rPr>
              <w:t>（</w:t>
            </w:r>
            <w:r>
              <w:rPr>
                <w:rFonts w:hint="eastAsia"/>
              </w:rPr>
              <w:t>2</w:t>
            </w:r>
            <w:r>
              <w:rPr>
                <w:rFonts w:hint="eastAsia"/>
              </w:rPr>
              <w:t>）高性能移动测试单元（</w:t>
            </w:r>
            <w:r>
              <w:rPr>
                <w:rFonts w:hint="eastAsia"/>
              </w:rPr>
              <w:t>MTU</w:t>
            </w:r>
            <w:r>
              <w:rPr>
                <w:rFonts w:hint="eastAsia"/>
              </w:rPr>
              <w:t>）的智能设计技术。本项目中，高性能移动测试单元（</w:t>
            </w:r>
            <w:r>
              <w:rPr>
                <w:rFonts w:hint="eastAsia"/>
              </w:rPr>
              <w:t>MTU</w:t>
            </w:r>
            <w:r>
              <w:rPr>
                <w:rFonts w:hint="eastAsia"/>
              </w:rPr>
              <w:t>）将担负较大的处理任务，包括：测试数据采集、数据存储到本机、上传数据等。因此，</w:t>
            </w:r>
            <w:r>
              <w:rPr>
                <w:rFonts w:hint="eastAsia"/>
              </w:rPr>
              <w:t>MTU</w:t>
            </w:r>
            <w:r>
              <w:rPr>
                <w:rFonts w:hint="eastAsia"/>
              </w:rPr>
              <w:t>的设计是本项目关键技术之一。还有，对</w:t>
            </w:r>
            <w:r>
              <w:rPr>
                <w:rFonts w:hint="eastAsia"/>
              </w:rPr>
              <w:t>MTU</w:t>
            </w:r>
            <w:r>
              <w:rPr>
                <w:rFonts w:hint="eastAsia"/>
              </w:rPr>
              <w:t>供电也必须采用合适的方案。</w:t>
            </w:r>
          </w:p>
          <w:p>
            <w:r>
              <w:t xml:space="preserve">　　</w:t>
            </w:r>
            <w:r>
              <w:rPr>
                <w:rFonts w:hint="eastAsia"/>
              </w:rPr>
              <w:t>（</w:t>
            </w:r>
            <w:r>
              <w:rPr>
                <w:rFonts w:hint="eastAsia"/>
              </w:rPr>
              <w:t>3</w:t>
            </w:r>
            <w:r>
              <w:rPr>
                <w:rFonts w:hint="eastAsia"/>
              </w:rPr>
              <w:t>）路测数据（下行信道检测）和上行信道检测数据的对比分析技术。在网络中心，本项目开发的路测数据将支持与基站采集的上行信道检测数据进行对比分析。由于数据量大，对比分析的难度很大，这也是本项目技术关键之一。</w:t>
            </w:r>
          </w:p>
          <w:p>
            <w:r>
              <w:t xml:space="preserve">　　</w:t>
            </w:r>
            <w:r>
              <w:rPr>
                <w:rFonts w:hint="eastAsia"/>
              </w:rPr>
              <w:t>（</w:t>
            </w:r>
            <w:r>
              <w:rPr>
                <w:rFonts w:hint="eastAsia"/>
              </w:rPr>
              <w:t>4</w:t>
            </w:r>
            <w:r>
              <w:rPr>
                <w:rFonts w:hint="eastAsia"/>
              </w:rPr>
              <w:t>）多移动通信网络同测和对比分析技术。本项目产品支持</w:t>
            </w:r>
            <w:r>
              <w:t>WCDMA/HSDPA/TD-SCDMA/CDMA2000 EVDO</w:t>
            </w:r>
            <w:r>
              <w:rPr>
                <w:rFonts w:hint="eastAsia"/>
              </w:rPr>
              <w:t>等不同种类</w:t>
            </w:r>
            <w:r>
              <w:rPr>
                <w:rFonts w:hint="eastAsia"/>
              </w:rPr>
              <w:t>3G</w:t>
            </w:r>
            <w:r>
              <w:rPr>
                <w:rFonts w:hint="eastAsia"/>
              </w:rPr>
              <w:t>网络进行同步测量和对比分析。可以更好的帮助运营商对网络运行质量进行判断。该功能是通过多个支持不同网络标准的</w:t>
            </w:r>
            <w:r>
              <w:rPr>
                <w:rFonts w:hint="eastAsia"/>
              </w:rPr>
              <w:t>MTU</w:t>
            </w:r>
            <w:r>
              <w:rPr>
                <w:rFonts w:hint="eastAsia"/>
              </w:rPr>
              <w:t>同时放在一辆车上，同时测量，采集数据。对比分析由管理中心软件进行。</w:t>
            </w:r>
          </w:p>
          <w:p/>
          <w:p>
            <w:r>
              <w:t>1.4</w:t>
            </w:r>
            <w:r>
              <w:t>技术路线</w:t>
            </w:r>
          </w:p>
          <w:p>
            <w:r>
              <w:t xml:space="preserve">　　本项目</w:t>
            </w:r>
            <w:r>
              <w:rPr>
                <w:rFonts w:hint="eastAsia"/>
              </w:rPr>
              <w:t>的</w:t>
            </w:r>
            <w:r>
              <w:t>技术路线如下。</w:t>
            </w:r>
          </w:p>
          <w:p>
            <w:r>
              <w:t xml:space="preserve">　　</w:t>
            </w:r>
            <w:r>
              <w:rPr>
                <w:rFonts w:hint="eastAsia"/>
              </w:rPr>
              <w:t>（</w:t>
            </w:r>
            <w:r>
              <w:rPr>
                <w:rFonts w:hint="eastAsia"/>
              </w:rPr>
              <w:t>1</w:t>
            </w:r>
            <w:r>
              <w:rPr>
                <w:rFonts w:hint="eastAsia"/>
              </w:rPr>
              <w:t>）移动测试单元（</w:t>
            </w:r>
            <w:r>
              <w:rPr>
                <w:rFonts w:hint="eastAsia"/>
              </w:rPr>
              <w:t>MTU</w:t>
            </w:r>
            <w:r>
              <w:rPr>
                <w:rFonts w:hint="eastAsia"/>
              </w:rPr>
              <w:t>）采用成熟产品方案，配置</w:t>
            </w:r>
            <w:r>
              <w:rPr>
                <w:rFonts w:hint="eastAsia"/>
              </w:rPr>
              <w:t>16G</w:t>
            </w:r>
            <w:r>
              <w:rPr>
                <w:rFonts w:hint="eastAsia"/>
              </w:rPr>
              <w:t>以上的存储空间。</w:t>
            </w:r>
          </w:p>
          <w:p>
            <w:r>
              <w:t xml:space="preserve">　　</w:t>
            </w:r>
            <w:r>
              <w:rPr>
                <w:rFonts w:hint="eastAsia"/>
              </w:rPr>
              <w:t>（</w:t>
            </w:r>
            <w:r>
              <w:rPr>
                <w:rFonts w:hint="eastAsia"/>
              </w:rPr>
              <w:t>2</w:t>
            </w:r>
            <w:r>
              <w:rPr>
                <w:rFonts w:hint="eastAsia"/>
              </w:rPr>
              <w:t>）支持</w:t>
            </w:r>
            <w:r>
              <w:t>GSM CSD</w:t>
            </w:r>
            <w:r>
              <w:rPr>
                <w:rFonts w:hint="eastAsia"/>
              </w:rPr>
              <w:t>、</w:t>
            </w:r>
            <w:r>
              <w:t>GPRS/EDGE</w:t>
            </w:r>
            <w:r>
              <w:rPr>
                <w:rFonts w:hint="eastAsia"/>
              </w:rPr>
              <w:t>、</w:t>
            </w:r>
            <w:r>
              <w:t>CDMA1X</w:t>
            </w:r>
            <w:r>
              <w:rPr>
                <w:rFonts w:hint="eastAsia"/>
              </w:rPr>
              <w:t>、</w:t>
            </w:r>
            <w:r>
              <w:t>WCDMA</w:t>
            </w:r>
            <w:r>
              <w:rPr>
                <w:rFonts w:hint="eastAsia"/>
              </w:rPr>
              <w:t>、</w:t>
            </w:r>
            <w:r>
              <w:t>HSDPA</w:t>
            </w:r>
            <w:r>
              <w:rPr>
                <w:rFonts w:hint="eastAsia"/>
              </w:rPr>
              <w:t>等多种数据回传方式。</w:t>
            </w:r>
          </w:p>
          <w:p>
            <w:r>
              <w:t xml:space="preserve">　　</w:t>
            </w:r>
            <w:r>
              <w:rPr>
                <w:rFonts w:hint="eastAsia"/>
              </w:rPr>
              <w:t>（</w:t>
            </w:r>
            <w:r>
              <w:rPr>
                <w:rFonts w:hint="eastAsia"/>
              </w:rPr>
              <w:t>3</w:t>
            </w:r>
            <w:r>
              <w:rPr>
                <w:rFonts w:hint="eastAsia"/>
              </w:rPr>
              <w:t>）支持外接多种终端类型，包括：</w:t>
            </w:r>
            <w:r>
              <w:t>Sagem</w:t>
            </w:r>
            <w:r>
              <w:rPr>
                <w:rFonts w:hint="eastAsia"/>
              </w:rPr>
              <w:t>全系列、</w:t>
            </w:r>
            <w:r>
              <w:t>Moto V360</w:t>
            </w:r>
            <w:r>
              <w:rPr>
                <w:rFonts w:hint="eastAsia"/>
              </w:rPr>
              <w:t>、</w:t>
            </w:r>
            <w:r>
              <w:t>Samsung Z</w:t>
            </w:r>
            <w:r>
              <w:rPr>
                <w:rFonts w:hint="eastAsia"/>
              </w:rPr>
              <w:t>系列、</w:t>
            </w:r>
            <w:r>
              <w:t>Qualcomm TM</w:t>
            </w:r>
            <w:r>
              <w:rPr>
                <w:rFonts w:hint="eastAsia"/>
              </w:rPr>
              <w:t>系列、大唐</w:t>
            </w:r>
            <w:r>
              <w:t>Pecker</w:t>
            </w:r>
            <w:r>
              <w:rPr>
                <w:rFonts w:hint="eastAsia"/>
              </w:rPr>
              <w:t>等。</w:t>
            </w:r>
          </w:p>
          <w:p>
            <w:r>
              <w:t xml:space="preserve">　　</w:t>
            </w:r>
            <w:r>
              <w:rPr>
                <w:rFonts w:hint="eastAsia"/>
              </w:rPr>
              <w:t>（</w:t>
            </w:r>
            <w:r>
              <w:rPr>
                <w:rFonts w:hint="eastAsia"/>
              </w:rPr>
              <w:t>4</w:t>
            </w:r>
            <w:r>
              <w:rPr>
                <w:rFonts w:hint="eastAsia"/>
              </w:rPr>
              <w:t>）不强调数据实时回传，数据可先保存在移动测试单元的自身存储空间内，待网络条件较好时上传。</w:t>
            </w:r>
          </w:p>
          <w:p/>
          <w:p>
            <w:r>
              <w:t>1.5</w:t>
            </w:r>
            <w:r>
              <w:t>应用方案</w:t>
            </w:r>
          </w:p>
          <w:p>
            <w:r>
              <w:t xml:space="preserve">　　</w:t>
            </w:r>
            <w:r>
              <w:rPr>
                <w:rFonts w:hint="eastAsia"/>
              </w:rPr>
              <w:t>本项目关键技术攻关完成以后，由项目申报单位设计开发出样机系统。利用样机系统针对一个县级移动用户进行小规模试用，根据试用情况对系统进行改进完善，实现产品化。待产品成熟后，送交工信部相关部门进行测试，取得入网证书及相关许可，再将产品在全国范围内规模化推广，实现预期的经济效益和社会效益。</w:t>
            </w:r>
          </w:p>
          <w:p>
            <w:r>
              <w:t xml:space="preserve">　　</w:t>
            </w:r>
            <w:r>
              <w:rPr>
                <w:rFonts w:hint="eastAsia"/>
              </w:rPr>
              <w:t>推广应用的方式有几种：一是直接将产品销售给运营商和独立路测服务商；而是利用本项目产品为核心，为运营商提供第三方路测服务。</w:t>
            </w:r>
          </w:p>
          <w:p>
            <w:pPr>
              <w:pStyle w:val="a7"/>
            </w:pPr>
          </w:p>
          <w:p>
            <w:pPr>
              <w:pStyle w:val="a7"/>
            </w:pPr>
          </w:p>
          <w:p>
            <w:pPr>
              <w:pStyle w:val="a7"/>
            </w:pPr>
          </w:p>
          <w:p>
            <w:pPr>
              <w:pStyle w:val="a7"/>
            </w:pPr>
          </w:p>
          <w:p>
            <w:pPr>
              <w:pStyle w:val="a7"/>
            </w:pPr>
          </w:p>
        </w:tc>
      </w:tr>
    </w:tbl>
    <w:p>
      <w:r>
        <w:lastRenderedPageBreak/>
        <w:br w:type="page"/>
      </w:r>
    </w:p>
    <w:tbl>
      <w:tblPr>
        <w:tblW w:w="87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39"/>
      </w:tblGrid>
      <w:tr>
        <w:trPr>
          <w:trHeight w:val="770"/>
        </w:trPr>
        <w:tc>
          <w:tcPr>
            <w:tcW w:w="8739" w:type="dxa"/>
            <w:vAlign w:val="center"/>
          </w:tcPr>
          <w:p>
            <w:pPr>
              <w:rPr>
                <w:rFonts w:eastAsia="黑体"/>
                <w:sz w:val="28"/>
              </w:rPr>
            </w:pPr>
            <w:r>
              <w:rPr>
                <w:rFonts w:eastAsia="黑体"/>
                <w:b/>
                <w:bCs/>
                <w:sz w:val="28"/>
              </w:rPr>
              <w:lastRenderedPageBreak/>
              <w:t>二、立项的必要性及国内外研究现状、发展趋势和知识产权状况分析。</w:t>
            </w:r>
            <w:r>
              <w:t>（不超过</w:t>
            </w:r>
            <w:r>
              <w:t>3500</w:t>
            </w:r>
            <w:r>
              <w:t>字，各栏中不得出现申报单位名称和项目成员姓名。）</w:t>
            </w:r>
          </w:p>
        </w:tc>
      </w:tr>
      <w:tr>
        <w:trPr>
          <w:trHeight w:val="10891"/>
        </w:trPr>
        <w:tc>
          <w:tcPr>
            <w:tcW w:w="8739" w:type="dxa"/>
          </w:tcPr>
          <w:p/>
          <w:p>
            <w:r>
              <w:t>2.1</w:t>
            </w:r>
            <w:r>
              <w:t>立项的必要性</w:t>
            </w:r>
          </w:p>
          <w:p>
            <w:r>
              <w:t>2.1</w:t>
            </w:r>
            <w:r>
              <w:rPr>
                <w:rFonts w:hint="eastAsia"/>
              </w:rPr>
              <w:t xml:space="preserve">.1 </w:t>
            </w:r>
            <w:r>
              <w:rPr>
                <w:rFonts w:hint="eastAsia"/>
              </w:rPr>
              <w:t>移动通信快速发展，带动通信产业成为我国经济支柱产业</w:t>
            </w:r>
          </w:p>
          <w:p>
            <w:r>
              <w:t xml:space="preserve">　　</w:t>
            </w:r>
            <w:r>
              <w:rPr>
                <w:rFonts w:hint="eastAsia"/>
              </w:rPr>
              <w:t>根据工业和信息化部运行监测协调局发布的《</w:t>
            </w:r>
            <w:r>
              <w:rPr>
                <w:rFonts w:hint="eastAsia"/>
              </w:rPr>
              <w:t>2008</w:t>
            </w:r>
            <w:r>
              <w:rPr>
                <w:rFonts w:hint="eastAsia"/>
              </w:rPr>
              <w:t>年全国电信业统计公报》，截至</w:t>
            </w:r>
            <w:r>
              <w:rPr>
                <w:rFonts w:hint="eastAsia"/>
              </w:rPr>
              <w:t>2008</w:t>
            </w:r>
            <w:r>
              <w:rPr>
                <w:rFonts w:hint="eastAsia"/>
              </w:rPr>
              <w:t>年底，全国电话用户总数达到</w:t>
            </w:r>
            <w:r>
              <w:rPr>
                <w:rFonts w:hint="eastAsia"/>
              </w:rPr>
              <w:t>98203.4</w:t>
            </w:r>
            <w:r>
              <w:rPr>
                <w:rFonts w:hint="eastAsia"/>
              </w:rPr>
              <w:t>万户。移动电话用户在电话用户总数中所占的比重达到</w:t>
            </w:r>
            <w:r>
              <w:rPr>
                <w:rFonts w:hint="eastAsia"/>
              </w:rPr>
              <w:t>65.3%</w:t>
            </w:r>
            <w:r>
              <w:rPr>
                <w:rFonts w:hint="eastAsia"/>
              </w:rPr>
              <w:t>，移动电话用户与固定电话用户的差距超过</w:t>
            </w:r>
            <w:r>
              <w:rPr>
                <w:rFonts w:hint="eastAsia"/>
              </w:rPr>
              <w:t>3</w:t>
            </w:r>
            <w:r>
              <w:rPr>
                <w:rFonts w:hint="eastAsia"/>
              </w:rPr>
              <w:t>亿户。</w:t>
            </w:r>
          </w:p>
          <w:p>
            <w:r>
              <w:t xml:space="preserve">　　</w:t>
            </w:r>
            <w:r>
              <w:rPr>
                <w:rFonts w:hint="eastAsia"/>
              </w:rPr>
              <w:t>表</w:t>
            </w:r>
            <w:r>
              <w:rPr>
                <w:rFonts w:hint="eastAsia"/>
              </w:rPr>
              <w:t>1.2004</w:t>
            </w:r>
            <w:r>
              <w:rPr>
                <w:rFonts w:hint="eastAsia"/>
              </w:rPr>
              <w:t>～</w:t>
            </w:r>
            <w:r>
              <w:rPr>
                <w:rFonts w:hint="eastAsia"/>
              </w:rPr>
              <w:t>2008</w:t>
            </w:r>
            <w:r>
              <w:rPr>
                <w:rFonts w:hint="eastAsia"/>
              </w:rPr>
              <w:t>年电话用户到达数和净增数</w:t>
            </w:r>
          </w:p>
          <w:tbl>
            <w:tblPr>
              <w:tblW w:w="45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top w:w="15" w:type="dxa"/>
                <w:left w:w="15" w:type="dxa"/>
                <w:bottom w:w="15" w:type="dxa"/>
                <w:right w:w="15" w:type="dxa"/>
              </w:tblCellMar>
              <w:tblLook w:val="0000" w:firstRow="0" w:lastRow="0" w:firstColumn="0" w:lastColumn="0" w:noHBand="0" w:noVBand="0"/>
            </w:tblPr>
            <w:tblGrid>
              <w:gridCol w:w="1052"/>
              <w:gridCol w:w="715"/>
              <w:gridCol w:w="1215"/>
              <w:gridCol w:w="1215"/>
              <w:gridCol w:w="1215"/>
              <w:gridCol w:w="1215"/>
              <w:gridCol w:w="1215"/>
            </w:tblGrid>
            <w:tr>
              <w:trPr>
                <w:jc w:val="center"/>
              </w:trPr>
              <w:tc>
                <w:tcPr>
                  <w:tcW w:w="1007" w:type="dxa"/>
                  <w:vAlign w:val="center"/>
                </w:tcPr>
                <w:p>
                  <w:pPr>
                    <w:widowControl/>
                    <w:adjustRightInd w:val="0"/>
                    <w:snapToGrid w:val="0"/>
                    <w:spacing w:beforeLines="30" w:before="93" w:afterLines="30" w:after="93"/>
                    <w:jc w:val="left"/>
                    <w:rPr>
                      <w:rFonts w:ascii="宋体" w:hAnsi="宋体" w:cs="宋体"/>
                      <w:kern w:val="0"/>
                      <w:sz w:val="32"/>
                    </w:rPr>
                  </w:pPr>
                </w:p>
              </w:tc>
              <w:tc>
                <w:tcPr>
                  <w:tcW w:w="685"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b/>
                      <w:bCs/>
                      <w:kern w:val="0"/>
                      <w:sz w:val="32"/>
                    </w:rPr>
                    <w:t>单位</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b/>
                      <w:bCs/>
                      <w:kern w:val="0"/>
                      <w:sz w:val="32"/>
                    </w:rPr>
                    <w:t>2004年</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b/>
                      <w:bCs/>
                      <w:kern w:val="0"/>
                      <w:sz w:val="32"/>
                    </w:rPr>
                    <w:t>2005年</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b/>
                      <w:bCs/>
                      <w:kern w:val="0"/>
                      <w:sz w:val="32"/>
                    </w:rPr>
                    <w:t>2006年</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b/>
                      <w:bCs/>
                      <w:kern w:val="0"/>
                      <w:sz w:val="32"/>
                    </w:rPr>
                    <w:t>2007年</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b/>
                      <w:bCs/>
                      <w:kern w:val="0"/>
                      <w:sz w:val="32"/>
                    </w:rPr>
                    <w:t>2008年</w:t>
                  </w:r>
                </w:p>
              </w:tc>
            </w:tr>
            <w:tr>
              <w:trPr>
                <w:jc w:val="center"/>
              </w:trPr>
              <w:tc>
                <w:tcPr>
                  <w:tcW w:w="1007" w:type="dxa"/>
                  <w:vAlign w:val="center"/>
                </w:tcPr>
                <w:p>
                  <w:pPr>
                    <w:widowControl/>
                    <w:adjustRightInd w:val="0"/>
                    <w:snapToGrid w:val="0"/>
                    <w:spacing w:beforeLines="30" w:before="93" w:afterLines="30" w:after="93"/>
                    <w:jc w:val="center"/>
                    <w:rPr>
                      <w:rFonts w:ascii="宋体" w:hAnsi="宋体" w:cs="宋体"/>
                      <w:b/>
                      <w:kern w:val="0"/>
                      <w:sz w:val="32"/>
                    </w:rPr>
                  </w:pPr>
                  <w:r>
                    <w:rPr>
                      <w:rFonts w:ascii="宋体" w:hAnsi="宋体" w:cs="宋体" w:hint="eastAsia"/>
                      <w:b/>
                      <w:kern w:val="0"/>
                      <w:sz w:val="32"/>
                    </w:rPr>
                    <w:t>到达数</w:t>
                  </w:r>
                </w:p>
              </w:tc>
              <w:tc>
                <w:tcPr>
                  <w:tcW w:w="685"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kern w:val="0"/>
                      <w:sz w:val="32"/>
                    </w:rPr>
                    <w:t>万户</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kern w:val="0"/>
                      <w:sz w:val="32"/>
                    </w:rPr>
                    <w:t>64658.1</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kern w:val="0"/>
                      <w:sz w:val="32"/>
                    </w:rPr>
                    <w:t>74385.1</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kern w:val="0"/>
                      <w:sz w:val="32"/>
                    </w:rPr>
                    <w:t>82884.4</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kern w:val="0"/>
                      <w:sz w:val="32"/>
                    </w:rPr>
                    <w:t>91273.4</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kern w:val="0"/>
                      <w:sz w:val="32"/>
                    </w:rPr>
                    <w:t>98203.4</w:t>
                  </w:r>
                </w:p>
              </w:tc>
            </w:tr>
            <w:tr>
              <w:trPr>
                <w:jc w:val="center"/>
              </w:trPr>
              <w:tc>
                <w:tcPr>
                  <w:tcW w:w="1007" w:type="dxa"/>
                  <w:vAlign w:val="center"/>
                </w:tcPr>
                <w:p>
                  <w:pPr>
                    <w:widowControl/>
                    <w:adjustRightInd w:val="0"/>
                    <w:snapToGrid w:val="0"/>
                    <w:spacing w:beforeLines="30" w:before="93" w:afterLines="30" w:after="93"/>
                    <w:jc w:val="center"/>
                    <w:rPr>
                      <w:rFonts w:ascii="宋体" w:hAnsi="宋体" w:cs="宋体"/>
                      <w:b/>
                      <w:kern w:val="0"/>
                      <w:sz w:val="32"/>
                    </w:rPr>
                  </w:pPr>
                  <w:r>
                    <w:rPr>
                      <w:rFonts w:ascii="宋体" w:hAnsi="宋体" w:cs="宋体" w:hint="eastAsia"/>
                      <w:b/>
                      <w:kern w:val="0"/>
                      <w:sz w:val="32"/>
                    </w:rPr>
                    <w:t>净增数</w:t>
                  </w:r>
                </w:p>
              </w:tc>
              <w:tc>
                <w:tcPr>
                  <w:tcW w:w="685"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kern w:val="0"/>
                      <w:sz w:val="32"/>
                    </w:rPr>
                    <w:t>万户</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kern w:val="0"/>
                      <w:sz w:val="32"/>
                    </w:rPr>
                    <w:t>11388.1</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kern w:val="0"/>
                      <w:sz w:val="32"/>
                    </w:rPr>
                    <w:t>9727.0</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kern w:val="0"/>
                      <w:sz w:val="32"/>
                    </w:rPr>
                    <w:t>8499.3</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kern w:val="0"/>
                      <w:sz w:val="32"/>
                    </w:rPr>
                    <w:t>8389.1</w:t>
                  </w:r>
                </w:p>
              </w:tc>
              <w:tc>
                <w:tcPr>
                  <w:tcW w:w="1162" w:type="dxa"/>
                  <w:vAlign w:val="center"/>
                </w:tcPr>
                <w:p>
                  <w:pPr>
                    <w:widowControl/>
                    <w:adjustRightInd w:val="0"/>
                    <w:snapToGrid w:val="0"/>
                    <w:spacing w:beforeLines="30" w:before="93" w:afterLines="30" w:after="93"/>
                    <w:jc w:val="center"/>
                    <w:rPr>
                      <w:rFonts w:ascii="宋体" w:hAnsi="宋体" w:cs="宋体"/>
                      <w:kern w:val="0"/>
                      <w:sz w:val="32"/>
                    </w:rPr>
                  </w:pPr>
                  <w:r>
                    <w:rPr>
                      <w:rFonts w:ascii="宋体" w:hAnsi="宋体" w:cs="宋体" w:hint="eastAsia"/>
                      <w:kern w:val="0"/>
                      <w:sz w:val="32"/>
                    </w:rPr>
                    <w:t>6909.2</w:t>
                  </w:r>
                </w:p>
              </w:tc>
            </w:tr>
          </w:tbl>
          <w:p/>
          <w:p>
            <w:r>
              <w:t xml:space="preserve">　　</w:t>
            </w:r>
            <w:r>
              <w:rPr>
                <w:rFonts w:hint="eastAsia"/>
              </w:rPr>
              <w:t>从</w:t>
            </w:r>
            <w:r>
              <w:rPr>
                <w:rFonts w:hint="eastAsia"/>
              </w:rPr>
              <w:t>2004</w:t>
            </w:r>
            <w:r>
              <w:rPr>
                <w:rFonts w:hint="eastAsia"/>
              </w:rPr>
              <w:t>年到</w:t>
            </w:r>
            <w:r>
              <w:rPr>
                <w:rFonts w:hint="eastAsia"/>
              </w:rPr>
              <w:t>2008</w:t>
            </w:r>
            <w:r>
              <w:rPr>
                <w:rFonts w:hint="eastAsia"/>
              </w:rPr>
              <w:t>年，电话用户中移动电话用户所占比重从</w:t>
            </w:r>
            <w:r>
              <w:rPr>
                <w:rFonts w:hint="eastAsia"/>
              </w:rPr>
              <w:t>2004</w:t>
            </w:r>
            <w:r>
              <w:rPr>
                <w:rFonts w:hint="eastAsia"/>
              </w:rPr>
              <w:t>年末的</w:t>
            </w:r>
            <w:r>
              <w:rPr>
                <w:rFonts w:hint="eastAsia"/>
              </w:rPr>
              <w:t>51.6</w:t>
            </w:r>
            <w:r>
              <w:rPr>
                <w:rFonts w:hint="eastAsia"/>
              </w:rPr>
              <w:t>％逐年增加到</w:t>
            </w:r>
            <w:r>
              <w:rPr>
                <w:rFonts w:hint="eastAsia"/>
              </w:rPr>
              <w:t>2008</w:t>
            </w:r>
            <w:r>
              <w:rPr>
                <w:rFonts w:hint="eastAsia"/>
              </w:rPr>
              <w:t>年末的</w:t>
            </w:r>
            <w:r>
              <w:rPr>
                <w:rFonts w:hint="eastAsia"/>
              </w:rPr>
              <w:t>65.3</w:t>
            </w:r>
            <w:r>
              <w:rPr>
                <w:rFonts w:hint="eastAsia"/>
              </w:rPr>
              <w:t>％。</w:t>
            </w:r>
          </w:p>
          <w:p>
            <w:r>
              <w:t xml:space="preserve">　　</w:t>
            </w:r>
            <w:r>
              <w:rPr>
                <w:rFonts w:hint="eastAsia"/>
              </w:rPr>
              <w:t>从经济收入来看，</w:t>
            </w:r>
            <w:r>
              <w:rPr>
                <w:rFonts w:hint="eastAsia"/>
              </w:rPr>
              <w:t>2008</w:t>
            </w:r>
            <w:r>
              <w:rPr>
                <w:rFonts w:hint="eastAsia"/>
              </w:rPr>
              <w:t>年，全国电信业务收入累计完成</w:t>
            </w:r>
            <w:r>
              <w:rPr>
                <w:rFonts w:hint="eastAsia"/>
              </w:rPr>
              <w:t>8139.9</w:t>
            </w:r>
            <w:r>
              <w:rPr>
                <w:rFonts w:hint="eastAsia"/>
              </w:rPr>
              <w:t>亿元，同比增长</w:t>
            </w:r>
            <w:r>
              <w:rPr>
                <w:rFonts w:hint="eastAsia"/>
              </w:rPr>
              <w:t>7.0%</w:t>
            </w:r>
            <w:r>
              <w:rPr>
                <w:rFonts w:hint="eastAsia"/>
              </w:rPr>
              <w:t>。其中，移动通信网业务收入</w:t>
            </w:r>
            <w:r>
              <w:rPr>
                <w:rFonts w:hint="eastAsia"/>
              </w:rPr>
              <w:t>4485.9</w:t>
            </w:r>
            <w:r>
              <w:rPr>
                <w:rFonts w:hint="eastAsia"/>
              </w:rPr>
              <w:t>亿元，同比增长</w:t>
            </w:r>
            <w:r>
              <w:rPr>
                <w:rFonts w:hint="eastAsia"/>
              </w:rPr>
              <w:t>15.1%</w:t>
            </w:r>
            <w:r>
              <w:rPr>
                <w:rFonts w:hint="eastAsia"/>
              </w:rPr>
              <w:t>，占电信业务收入的比重为</w:t>
            </w:r>
            <w:r>
              <w:rPr>
                <w:rFonts w:hint="eastAsia"/>
              </w:rPr>
              <w:t>55.1%</w:t>
            </w:r>
            <w:r>
              <w:rPr>
                <w:rFonts w:hint="eastAsia"/>
              </w:rPr>
              <w:t>；固定本地电话网业务收入</w:t>
            </w:r>
            <w:r>
              <w:rPr>
                <w:rFonts w:hint="eastAsia"/>
              </w:rPr>
              <w:t>1685.7</w:t>
            </w:r>
            <w:r>
              <w:rPr>
                <w:rFonts w:hint="eastAsia"/>
              </w:rPr>
              <w:t>亿元，同比下降</w:t>
            </w:r>
            <w:r>
              <w:rPr>
                <w:rFonts w:hint="eastAsia"/>
              </w:rPr>
              <w:t>9.4%</w:t>
            </w:r>
            <w:r>
              <w:rPr>
                <w:rFonts w:hint="eastAsia"/>
              </w:rPr>
              <w:t>，占电信业务收入的比重为</w:t>
            </w:r>
            <w:r>
              <w:rPr>
                <w:rFonts w:hint="eastAsia"/>
              </w:rPr>
              <w:t>20.7%</w:t>
            </w:r>
            <w:r>
              <w:rPr>
                <w:rFonts w:hint="eastAsia"/>
              </w:rPr>
              <w:t>；长途电话网业务收入</w:t>
            </w:r>
            <w:r>
              <w:rPr>
                <w:rFonts w:hint="eastAsia"/>
              </w:rPr>
              <w:t>1159.0</w:t>
            </w:r>
            <w:r>
              <w:rPr>
                <w:rFonts w:hint="eastAsia"/>
              </w:rPr>
              <w:t>亿元，同比下降</w:t>
            </w:r>
            <w:r>
              <w:rPr>
                <w:rFonts w:hint="eastAsia"/>
              </w:rPr>
              <w:t>7.0%</w:t>
            </w:r>
            <w:r>
              <w:rPr>
                <w:rFonts w:hint="eastAsia"/>
              </w:rPr>
              <w:t>，占电信业务收入的比重为</w:t>
            </w:r>
            <w:r>
              <w:rPr>
                <w:rFonts w:hint="eastAsia"/>
              </w:rPr>
              <w:t>14.2%</w:t>
            </w:r>
            <w:r>
              <w:rPr>
                <w:rFonts w:hint="eastAsia"/>
              </w:rPr>
              <w:t>；数据通信网业务收入</w:t>
            </w:r>
            <w:r>
              <w:rPr>
                <w:rFonts w:hint="eastAsia"/>
              </w:rPr>
              <w:t>798.4</w:t>
            </w:r>
            <w:r>
              <w:rPr>
                <w:rFonts w:hint="eastAsia"/>
              </w:rPr>
              <w:t>亿元，同比增长</w:t>
            </w:r>
            <w:r>
              <w:rPr>
                <w:rFonts w:hint="eastAsia"/>
              </w:rPr>
              <w:t>35.1%</w:t>
            </w:r>
            <w:r>
              <w:rPr>
                <w:rFonts w:hint="eastAsia"/>
              </w:rPr>
              <w:t>，占电信业务收入的比重为</w:t>
            </w:r>
            <w:r>
              <w:rPr>
                <w:rFonts w:hint="eastAsia"/>
              </w:rPr>
              <w:t>9.8%</w:t>
            </w:r>
            <w:r>
              <w:rPr>
                <w:rFonts w:hint="eastAsia"/>
              </w:rPr>
              <w:t>。</w:t>
            </w:r>
          </w:p>
          <w:p>
            <w:r>
              <w:t xml:space="preserve">　　</w:t>
            </w:r>
            <w:r>
              <w:rPr>
                <w:rFonts w:hint="eastAsia"/>
              </w:rPr>
              <w:t>因此，不管从用户数量还是销售收入来看，移动通信的发展速度都是最快的，在电信业所占比重都超过</w:t>
            </w:r>
            <w:r>
              <w:rPr>
                <w:rFonts w:hint="eastAsia"/>
              </w:rPr>
              <w:t>55</w:t>
            </w:r>
            <w:r>
              <w:rPr>
                <w:rFonts w:hint="eastAsia"/>
              </w:rPr>
              <w:t>％以上。而且，从发展趋势看，移动通信的比重还会继续提高。</w:t>
            </w:r>
          </w:p>
          <w:p/>
          <w:p>
            <w:r>
              <w:t>2.1</w:t>
            </w:r>
            <w:r>
              <w:rPr>
                <w:rFonts w:hint="eastAsia"/>
              </w:rPr>
              <w:t xml:space="preserve">.2 </w:t>
            </w:r>
            <w:r>
              <w:rPr>
                <w:rFonts w:hint="eastAsia"/>
              </w:rPr>
              <w:t>移动运营商竞争空前激烈，服务质量逐渐成为最重要竞争要素</w:t>
            </w:r>
          </w:p>
          <w:p>
            <w:r>
              <w:t xml:space="preserve">　　</w:t>
            </w:r>
            <w:r>
              <w:rPr>
                <w:rFonts w:hint="eastAsia"/>
              </w:rPr>
              <w:t>2008</w:t>
            </w:r>
            <w:r>
              <w:rPr>
                <w:rFonts w:hint="eastAsia"/>
              </w:rPr>
              <w:t>年，我国电信业通过重组，形成了中国电信、中国移动、中国联通三家全业务经营的基础电信企业。同时，国家分别向</w:t>
            </w:r>
            <w:r>
              <w:rPr>
                <w:rFonts w:hint="eastAsia"/>
              </w:rPr>
              <w:t>3</w:t>
            </w:r>
            <w:r>
              <w:rPr>
                <w:rFonts w:hint="eastAsia"/>
              </w:rPr>
              <w:t>家电信企业发布了</w:t>
            </w:r>
            <w:r>
              <w:rPr>
                <w:rFonts w:hint="eastAsia"/>
              </w:rPr>
              <w:t>3G</w:t>
            </w:r>
            <w:r>
              <w:rPr>
                <w:rFonts w:hint="eastAsia"/>
              </w:rPr>
              <w:t>移动通信运营牌照。中国电信运营</w:t>
            </w:r>
            <w:r>
              <w:rPr>
                <w:rFonts w:hint="eastAsia"/>
              </w:rPr>
              <w:t>CDMA2000</w:t>
            </w:r>
            <w:r>
              <w:rPr>
                <w:rFonts w:hint="eastAsia"/>
              </w:rPr>
              <w:t>，中国移动运营</w:t>
            </w:r>
            <w:r>
              <w:rPr>
                <w:rFonts w:hint="eastAsia"/>
              </w:rPr>
              <w:t xml:space="preserve">TD-SCDMA </w:t>
            </w:r>
            <w:r>
              <w:rPr>
                <w:rFonts w:hint="eastAsia"/>
              </w:rPr>
              <w:t>，中国联通运营</w:t>
            </w:r>
            <w:r>
              <w:rPr>
                <w:rFonts w:hint="eastAsia"/>
              </w:rPr>
              <w:t>WCDMA</w:t>
            </w:r>
            <w:r>
              <w:rPr>
                <w:rFonts w:hint="eastAsia"/>
              </w:rPr>
              <w:t>。这样，在移动</w:t>
            </w:r>
            <w:r>
              <w:rPr>
                <w:rFonts w:hint="eastAsia"/>
              </w:rPr>
              <w:t>3G</w:t>
            </w:r>
            <w:r>
              <w:rPr>
                <w:rFonts w:hint="eastAsia"/>
              </w:rPr>
              <w:t>时代，将有</w:t>
            </w:r>
            <w:r>
              <w:rPr>
                <w:rFonts w:hint="eastAsia"/>
              </w:rPr>
              <w:t>3</w:t>
            </w:r>
            <w:r>
              <w:rPr>
                <w:rFonts w:hint="eastAsia"/>
              </w:rPr>
              <w:t>家移动运营商参与竞争（以前只有中国移动、中国联通两家），可以预见，竞争将会空前激烈。当前，移动运营商表现的竞争状况也印证了早期的预测。</w:t>
            </w:r>
          </w:p>
          <w:p>
            <w:r>
              <w:t xml:space="preserve">　　</w:t>
            </w:r>
            <w:r>
              <w:rPr>
                <w:rFonts w:hint="eastAsia"/>
              </w:rPr>
              <w:t>目前，中国移动用户逐渐成熟，对大多数用户特别是高端用户来说，价格已经不是考虑的首要因素，用户关心的更多是服务质量。因此，移动运营的竞争焦点逐渐从价格转移到服务质量，网络服务质量成为最重要的竞争要素。</w:t>
            </w:r>
          </w:p>
          <w:p/>
          <w:p>
            <w:r>
              <w:t>2.1</w:t>
            </w:r>
            <w:r>
              <w:rPr>
                <w:rFonts w:hint="eastAsia"/>
              </w:rPr>
              <w:t xml:space="preserve">.3 </w:t>
            </w:r>
            <w:r>
              <w:rPr>
                <w:rFonts w:hint="eastAsia"/>
              </w:rPr>
              <w:t>国家大力支持我国主导的</w:t>
            </w:r>
            <w:r>
              <w:rPr>
                <w:rFonts w:hint="eastAsia"/>
              </w:rPr>
              <w:t>3G</w:t>
            </w:r>
            <w:r>
              <w:rPr>
                <w:rFonts w:hint="eastAsia"/>
              </w:rPr>
              <w:t>标准</w:t>
            </w:r>
            <w:r>
              <w:rPr>
                <w:rFonts w:hint="eastAsia"/>
              </w:rPr>
              <w:t>TD-SCDMA</w:t>
            </w:r>
            <w:r>
              <w:rPr>
                <w:rFonts w:hint="eastAsia"/>
              </w:rPr>
              <w:t>，服务质量成为其大规模商用的必要条件</w:t>
            </w:r>
          </w:p>
          <w:p>
            <w:r>
              <w:t xml:space="preserve">　　</w:t>
            </w:r>
            <w:r>
              <w:rPr>
                <w:rFonts w:hint="eastAsia"/>
              </w:rPr>
              <w:t>在目前</w:t>
            </w:r>
            <w:r>
              <w:rPr>
                <w:rFonts w:hint="eastAsia"/>
              </w:rPr>
              <w:t>3G</w:t>
            </w:r>
            <w:r>
              <w:rPr>
                <w:rFonts w:hint="eastAsia"/>
              </w:rPr>
              <w:t>移动通信网络的国际标准中，只有</w:t>
            </w:r>
            <w:r>
              <w:rPr>
                <w:rFonts w:hint="eastAsia"/>
              </w:rPr>
              <w:t>TD-SCDMA</w:t>
            </w:r>
            <w:r>
              <w:rPr>
                <w:rFonts w:hint="eastAsia"/>
              </w:rPr>
              <w:t>是有我国主导并占有技术和市场优势。国家要大力支持</w:t>
            </w:r>
            <w:r>
              <w:rPr>
                <w:rFonts w:hint="eastAsia"/>
              </w:rPr>
              <w:t>TD-SCDMA</w:t>
            </w:r>
            <w:r>
              <w:rPr>
                <w:rFonts w:hint="eastAsia"/>
              </w:rPr>
              <w:t>的发展，因此，将</w:t>
            </w:r>
            <w:r>
              <w:rPr>
                <w:rFonts w:hint="eastAsia"/>
              </w:rPr>
              <w:t>TD-SCDMA</w:t>
            </w:r>
            <w:r>
              <w:rPr>
                <w:rFonts w:hint="eastAsia"/>
              </w:rPr>
              <w:t>的运营牌照发给了实力最强、运营经验最丰富的中国移动。而中国移动建设的网络将是世界上第一个</w:t>
            </w:r>
            <w:r>
              <w:rPr>
                <w:rFonts w:hint="eastAsia"/>
              </w:rPr>
              <w:t>TD-SCDMA</w:t>
            </w:r>
            <w:r>
              <w:rPr>
                <w:rFonts w:hint="eastAsia"/>
              </w:rPr>
              <w:t>大规模商用网络。这对</w:t>
            </w:r>
            <w:r>
              <w:rPr>
                <w:rFonts w:hint="eastAsia"/>
              </w:rPr>
              <w:t>TD-SCDMA</w:t>
            </w:r>
            <w:r>
              <w:rPr>
                <w:rFonts w:hint="eastAsia"/>
              </w:rPr>
              <w:t>来说，既是机遇，更是挑战。业界普遍认为，</w:t>
            </w:r>
            <w:r>
              <w:rPr>
                <w:rFonts w:hint="eastAsia"/>
              </w:rPr>
              <w:t>TD-SCDMA</w:t>
            </w:r>
            <w:r>
              <w:rPr>
                <w:rFonts w:hint="eastAsia"/>
              </w:rPr>
              <w:t>网络的优化和服务质量将是决定</w:t>
            </w:r>
            <w:r>
              <w:rPr>
                <w:rFonts w:hint="eastAsia"/>
              </w:rPr>
              <w:t>TD-SCDMA</w:t>
            </w:r>
            <w:r>
              <w:rPr>
                <w:rFonts w:hint="eastAsia"/>
              </w:rPr>
              <w:t>标准成败的关键。</w:t>
            </w:r>
          </w:p>
          <w:p>
            <w:r>
              <w:t xml:space="preserve">　　</w:t>
            </w:r>
            <w:r>
              <w:rPr>
                <w:rFonts w:hint="eastAsia"/>
              </w:rPr>
              <w:t>据估计，</w:t>
            </w:r>
            <w:r>
              <w:rPr>
                <w:rFonts w:hint="eastAsia"/>
              </w:rPr>
              <w:t>3G</w:t>
            </w:r>
            <w:r>
              <w:rPr>
                <w:rFonts w:hint="eastAsia"/>
              </w:rPr>
              <w:t>移动通信网络建设将为设备厂商带来几千亿元的市场需求，带动相关运营、服</w:t>
            </w:r>
            <w:r>
              <w:rPr>
                <w:rFonts w:hint="eastAsia"/>
              </w:rPr>
              <w:lastRenderedPageBreak/>
              <w:t>务产业的产值达数万亿元。</w:t>
            </w:r>
            <w:r>
              <w:rPr>
                <w:rFonts w:hint="eastAsia"/>
              </w:rPr>
              <w:t>3G</w:t>
            </w:r>
            <w:r>
              <w:rPr>
                <w:rFonts w:hint="eastAsia"/>
              </w:rPr>
              <w:t>移动通信网络建设和运营的成功对产业的发展具有重大意义。而从目前来看，更好的服务质量，提供更多满足用户需求的服务功能将是</w:t>
            </w:r>
            <w:r>
              <w:rPr>
                <w:rFonts w:hint="eastAsia"/>
              </w:rPr>
              <w:t>3G</w:t>
            </w:r>
            <w:r>
              <w:rPr>
                <w:rFonts w:hint="eastAsia"/>
              </w:rPr>
              <w:t>网络成功的关键。而由于移动通信网络的特点，网络优化及路测是提高服务质量的最重要手段。</w:t>
            </w:r>
          </w:p>
          <w:p>
            <w:r>
              <w:t xml:space="preserve">　　</w:t>
            </w:r>
            <w:r>
              <w:rPr>
                <w:rFonts w:hint="eastAsia"/>
              </w:rPr>
              <w:t>特别是对于我国主导的</w:t>
            </w:r>
            <w:r>
              <w:rPr>
                <w:rFonts w:hint="eastAsia"/>
              </w:rPr>
              <w:t>3G</w:t>
            </w:r>
            <w:r>
              <w:rPr>
                <w:rFonts w:hint="eastAsia"/>
              </w:rPr>
              <w:t>网络标准</w:t>
            </w:r>
            <w:r>
              <w:rPr>
                <w:rFonts w:hint="eastAsia"/>
              </w:rPr>
              <w:t>TD-SCDMA</w:t>
            </w:r>
            <w:r>
              <w:rPr>
                <w:rFonts w:hint="eastAsia"/>
              </w:rPr>
              <w:t>来说，研制支持</w:t>
            </w:r>
            <w:r>
              <w:rPr>
                <w:rFonts w:hint="eastAsia"/>
              </w:rPr>
              <w:t>TD-SCDMA</w:t>
            </w:r>
            <w:r>
              <w:rPr>
                <w:rFonts w:hint="eastAsia"/>
              </w:rPr>
              <w:t>的自动路测系统具有更加重要的作用和意义。其原因主要是：</w:t>
            </w:r>
          </w:p>
          <w:p>
            <w:r>
              <w:t xml:space="preserve">　　</w:t>
            </w:r>
            <w:r>
              <w:rPr>
                <w:rFonts w:hint="eastAsia"/>
              </w:rPr>
              <w:t>（</w:t>
            </w:r>
            <w:r>
              <w:rPr>
                <w:rFonts w:hint="eastAsia"/>
              </w:rPr>
              <w:t>1</w:t>
            </w:r>
            <w:r>
              <w:rPr>
                <w:rFonts w:hint="eastAsia"/>
              </w:rPr>
              <w:t>）相对于已经商用多年的</w:t>
            </w:r>
            <w:r>
              <w:rPr>
                <w:rFonts w:hint="eastAsia"/>
              </w:rPr>
              <w:t>WCDMA</w:t>
            </w:r>
            <w:r>
              <w:rPr>
                <w:rFonts w:hint="eastAsia"/>
              </w:rPr>
              <w:t>和</w:t>
            </w:r>
            <w:r>
              <w:rPr>
                <w:rFonts w:hint="eastAsia"/>
              </w:rPr>
              <w:t>CDMA2000</w:t>
            </w:r>
            <w:r>
              <w:rPr>
                <w:rFonts w:hint="eastAsia"/>
              </w:rPr>
              <w:t>标准来说，</w:t>
            </w:r>
            <w:r>
              <w:rPr>
                <w:rFonts w:hint="eastAsia"/>
              </w:rPr>
              <w:t>TD-SCDMA</w:t>
            </w:r>
            <w:r>
              <w:rPr>
                <w:rFonts w:hint="eastAsia"/>
              </w:rPr>
              <w:t>还很不成熟，中国移动承建的</w:t>
            </w:r>
            <w:r>
              <w:rPr>
                <w:rFonts w:hint="eastAsia"/>
              </w:rPr>
              <w:t>TD-SCDMA</w:t>
            </w:r>
            <w:r>
              <w:rPr>
                <w:rFonts w:hint="eastAsia"/>
              </w:rPr>
              <w:t>移动通信网络还是</w:t>
            </w:r>
            <w:r>
              <w:rPr>
                <w:rFonts w:hint="eastAsia"/>
              </w:rPr>
              <w:t>TD-SCDMA</w:t>
            </w:r>
            <w:r>
              <w:rPr>
                <w:rFonts w:hint="eastAsia"/>
              </w:rPr>
              <w:t>第一个大规模商用网络。由于不成熟，出现网络问题的可能性也比较高，网络优化的难度更大，对网络优化工具和设备的需求更加强烈。</w:t>
            </w:r>
          </w:p>
          <w:p>
            <w:r>
              <w:t xml:space="preserve">　　</w:t>
            </w:r>
            <w:r>
              <w:rPr>
                <w:rFonts w:hint="eastAsia"/>
              </w:rPr>
              <w:t>（</w:t>
            </w:r>
            <w:r>
              <w:rPr>
                <w:rFonts w:hint="eastAsia"/>
              </w:rPr>
              <w:t>2</w:t>
            </w:r>
            <w:r>
              <w:rPr>
                <w:rFonts w:hint="eastAsia"/>
              </w:rPr>
              <w:t>）由于</w:t>
            </w:r>
            <w:r>
              <w:rPr>
                <w:rFonts w:hint="eastAsia"/>
              </w:rPr>
              <w:t>TD-SCDMA</w:t>
            </w:r>
            <w:r>
              <w:rPr>
                <w:rFonts w:hint="eastAsia"/>
              </w:rPr>
              <w:t>采用了大量先进技术，在很多方面与其它两个标准存在较大的差异，对路测系统也提出了更高的要求。</w:t>
            </w:r>
          </w:p>
          <w:p>
            <w:r>
              <w:t xml:space="preserve">　　</w:t>
            </w:r>
            <w:r>
              <w:rPr>
                <w:rFonts w:hint="eastAsia"/>
              </w:rPr>
              <w:t>（</w:t>
            </w:r>
            <w:r>
              <w:rPr>
                <w:rFonts w:hint="eastAsia"/>
              </w:rPr>
              <w:t>3</w:t>
            </w:r>
            <w:r>
              <w:rPr>
                <w:rFonts w:hint="eastAsia"/>
              </w:rPr>
              <w:t>）目前国外成熟先进的路测系统和产品对</w:t>
            </w:r>
            <w:r>
              <w:rPr>
                <w:rFonts w:hint="eastAsia"/>
              </w:rPr>
              <w:t>TD-SCDMA</w:t>
            </w:r>
            <w:r>
              <w:rPr>
                <w:rFonts w:hint="eastAsia"/>
              </w:rPr>
              <w:t>的支持还有待观察，而中国移动</w:t>
            </w:r>
            <w:r>
              <w:rPr>
                <w:rFonts w:hint="eastAsia"/>
              </w:rPr>
              <w:t>TD-SCDMA</w:t>
            </w:r>
            <w:r>
              <w:rPr>
                <w:rFonts w:hint="eastAsia"/>
              </w:rPr>
              <w:t>网络已经建设并运营，研制自主知识产权的、支持</w:t>
            </w:r>
            <w:r>
              <w:rPr>
                <w:rFonts w:hint="eastAsia"/>
              </w:rPr>
              <w:t>TD-SCDMA</w:t>
            </w:r>
            <w:r>
              <w:rPr>
                <w:rFonts w:hint="eastAsia"/>
              </w:rPr>
              <w:t>的路测系统和产品迫在眉睫。</w:t>
            </w:r>
          </w:p>
          <w:p>
            <w:r>
              <w:t xml:space="preserve">　　</w:t>
            </w:r>
            <w:r>
              <w:rPr>
                <w:rFonts w:hint="eastAsia"/>
              </w:rPr>
              <w:t>（</w:t>
            </w:r>
            <w:r>
              <w:rPr>
                <w:rFonts w:hint="eastAsia"/>
              </w:rPr>
              <w:t>4</w:t>
            </w:r>
            <w:r>
              <w:rPr>
                <w:rFonts w:hint="eastAsia"/>
              </w:rPr>
              <w:t>）当前形势下，网络优化和服务质量是</w:t>
            </w:r>
            <w:r>
              <w:rPr>
                <w:rFonts w:hint="eastAsia"/>
              </w:rPr>
              <w:t>TD-SCDMA</w:t>
            </w:r>
            <w:r>
              <w:rPr>
                <w:rFonts w:hint="eastAsia"/>
              </w:rPr>
              <w:t>大规模商用的最重要因素，甚至已成为</w:t>
            </w:r>
            <w:r>
              <w:rPr>
                <w:rFonts w:hint="eastAsia"/>
              </w:rPr>
              <w:t>TD-SCDMA</w:t>
            </w:r>
            <w:r>
              <w:rPr>
                <w:rFonts w:hint="eastAsia"/>
              </w:rPr>
              <w:t>成败的关键。本项目产品可以帮助运营商快速、准确、有效地实施网络优化，提高服务质量，具有重要意义。</w:t>
            </w:r>
          </w:p>
          <w:p>
            <w:r>
              <w:t xml:space="preserve">　　</w:t>
            </w:r>
          </w:p>
          <w:p>
            <w:r>
              <w:t>2.2</w:t>
            </w:r>
            <w:r>
              <w:t>国内外研究现状</w:t>
            </w:r>
          </w:p>
          <w:p>
            <w:r>
              <w:t xml:space="preserve">　　</w:t>
            </w:r>
            <w:r>
              <w:rPr>
                <w:rFonts w:hint="eastAsia"/>
              </w:rPr>
              <w:t>传统的路测解决方案是将测试设备仪器放置到车辆上，车辆移动的同时不断采集网络在不同位置的数据，并可以利用软件对数据进行分析处理。典型的传统路测系统如下图所示。</w:t>
            </w:r>
          </w:p>
          <w:p>
            <w:r>
              <w:t xml:space="preserve">　　</w:t>
            </w:r>
            <w:r>
              <w:object w:dxaOrig="8472" w:dyaOrig="3393">
                <v:shape id="_x0000_i1026" type="#_x0000_t75" style="width:414.6pt;height:166.2pt" o:ole="">
                  <v:imagedata r:id="rId11" o:title=""/>
                </v:shape>
                <o:OLEObject Type="Embed" ProgID="Visio.Drawing.11" ShapeID="_x0000_i1026" DrawAspect="Content" ObjectID="_1345915360" r:id="rId12"/>
              </w:object>
            </w:r>
            <w:r>
              <w:t xml:space="preserve"> </w:t>
            </w:r>
          </w:p>
          <w:p>
            <w:r>
              <w:t xml:space="preserve">　　</w:t>
            </w:r>
          </w:p>
          <w:p>
            <w:r>
              <w:t xml:space="preserve">　　</w:t>
            </w:r>
            <w:r>
              <w:rPr>
                <w:rFonts w:hint="eastAsia"/>
              </w:rPr>
              <w:t>图</w:t>
            </w:r>
            <w:r>
              <w:rPr>
                <w:rFonts w:hint="eastAsia"/>
              </w:rPr>
              <w:t xml:space="preserve">2 </w:t>
            </w:r>
            <w:r>
              <w:rPr>
                <w:rFonts w:hint="eastAsia"/>
              </w:rPr>
              <w:t>传统路测系统</w:t>
            </w:r>
          </w:p>
          <w:p>
            <w:r>
              <w:t xml:space="preserve">　　</w:t>
            </w:r>
          </w:p>
          <w:p>
            <w:r>
              <w:t xml:space="preserve">　　</w:t>
            </w:r>
            <w:r>
              <w:rPr>
                <w:rFonts w:hint="eastAsia"/>
              </w:rPr>
              <w:t>典型的传统路测系统由测试手机、扫频仪、</w:t>
            </w:r>
            <w:r>
              <w:rPr>
                <w:rFonts w:hint="eastAsia"/>
              </w:rPr>
              <w:t>GPS</w:t>
            </w:r>
            <w:r>
              <w:rPr>
                <w:rFonts w:hint="eastAsia"/>
              </w:rPr>
              <w:t>接收机和笔记本电脑组成。</w:t>
            </w:r>
          </w:p>
          <w:p>
            <w:r>
              <w:t xml:space="preserve">　　</w:t>
            </w:r>
            <w:r>
              <w:rPr>
                <w:rFonts w:hint="eastAsia"/>
              </w:rPr>
              <w:t>（</w:t>
            </w:r>
            <w:r>
              <w:rPr>
                <w:rFonts w:hint="eastAsia"/>
              </w:rPr>
              <w:t>1</w:t>
            </w:r>
            <w:r>
              <w:rPr>
                <w:rFonts w:hint="eastAsia"/>
              </w:rPr>
              <w:t>）测试手机可以进行数据采样。测试手机通常能够上报完整的无线网络参数，包括信令信息等。同时，测试手机必须具备较完整的</w:t>
            </w:r>
            <w:r>
              <w:rPr>
                <w:rFonts w:hint="eastAsia"/>
              </w:rPr>
              <w:t>VP</w:t>
            </w:r>
            <w:r>
              <w:rPr>
                <w:rFonts w:hint="eastAsia"/>
              </w:rPr>
              <w:t>，流业务，</w:t>
            </w:r>
            <w:r>
              <w:rPr>
                <w:rFonts w:hint="eastAsia"/>
              </w:rPr>
              <w:t>AMR</w:t>
            </w:r>
            <w:r>
              <w:rPr>
                <w:rFonts w:hint="eastAsia"/>
              </w:rPr>
              <w:t>，</w:t>
            </w:r>
            <w:r>
              <w:rPr>
                <w:rFonts w:hint="eastAsia"/>
              </w:rPr>
              <w:t>3G</w:t>
            </w:r>
            <w:r>
              <w:rPr>
                <w:rFonts w:hint="eastAsia"/>
              </w:rPr>
              <w:t>重选和切换，异频切换等能力。测试手机通过数据线与电脑中的路测软件通讯，将测试数据传输给路测软件进行处理。</w:t>
            </w:r>
          </w:p>
          <w:p>
            <w:r>
              <w:t xml:space="preserve">　　</w:t>
            </w:r>
            <w:r>
              <w:rPr>
                <w:rFonts w:hint="eastAsia"/>
              </w:rPr>
              <w:t>（</w:t>
            </w:r>
            <w:r>
              <w:rPr>
                <w:rFonts w:hint="eastAsia"/>
              </w:rPr>
              <w:t>2</w:t>
            </w:r>
            <w:r>
              <w:rPr>
                <w:rFonts w:hint="eastAsia"/>
              </w:rPr>
              <w:t>）扫频仪能够比较快捷的获得无线网络的场强，导频及信噪比等信息，同时还能查看信号的多径信息。扫频仪具有速度比较快，扫频模式多样的特点，可以满足网络优化的不同需要。一般扫频仪具备的扫频功能有：①某段频率</w:t>
            </w:r>
            <w:r>
              <w:rPr>
                <w:rFonts w:hint="eastAsia"/>
              </w:rPr>
              <w:t>/</w:t>
            </w:r>
            <w:r>
              <w:rPr>
                <w:rFonts w:hint="eastAsia"/>
              </w:rPr>
              <w:t>或某几个频点上的小区搜索前</w:t>
            </w:r>
            <w:r>
              <w:rPr>
                <w:rFonts w:hint="eastAsia"/>
              </w:rPr>
              <w:t>N</w:t>
            </w:r>
            <w:r>
              <w:rPr>
                <w:rFonts w:hint="eastAsia"/>
              </w:rPr>
              <w:t>名强度；②制定频率和扰码</w:t>
            </w:r>
            <w:r>
              <w:rPr>
                <w:rFonts w:hint="eastAsia"/>
              </w:rPr>
              <w:t>(1</w:t>
            </w:r>
            <w:r>
              <w:rPr>
                <w:rFonts w:hint="eastAsia"/>
              </w:rPr>
              <w:t>到多个</w:t>
            </w:r>
            <w:r>
              <w:rPr>
                <w:rFonts w:hint="eastAsia"/>
              </w:rPr>
              <w:t>)</w:t>
            </w:r>
            <w:r>
              <w:rPr>
                <w:rFonts w:hint="eastAsia"/>
              </w:rPr>
              <w:t>的小区强度测试；③网络带宽上的频谱分析；④连续波信号强度。</w:t>
            </w:r>
          </w:p>
          <w:p>
            <w:r>
              <w:t xml:space="preserve">　　</w:t>
            </w:r>
            <w:r>
              <w:rPr>
                <w:rFonts w:hint="eastAsia"/>
              </w:rPr>
              <w:t>（</w:t>
            </w:r>
            <w:r>
              <w:rPr>
                <w:rFonts w:hint="eastAsia"/>
              </w:rPr>
              <w:t>3</w:t>
            </w:r>
            <w:r>
              <w:rPr>
                <w:rFonts w:hint="eastAsia"/>
              </w:rPr>
              <w:t>）</w:t>
            </w:r>
            <w:r>
              <w:rPr>
                <w:rFonts w:hint="eastAsia"/>
              </w:rPr>
              <w:t>GPS</w:t>
            </w:r>
            <w:r>
              <w:rPr>
                <w:rFonts w:hint="eastAsia"/>
              </w:rPr>
              <w:t>主要用来上报地理位置数据。以便对网络测试数据进行地理化分析。</w:t>
            </w:r>
            <w:r>
              <w:rPr>
                <w:rFonts w:hint="eastAsia"/>
              </w:rPr>
              <w:t>GPS</w:t>
            </w:r>
            <w:r>
              <w:rPr>
                <w:rFonts w:hint="eastAsia"/>
              </w:rPr>
              <w:t>的使用</w:t>
            </w:r>
            <w:r>
              <w:rPr>
                <w:rFonts w:hint="eastAsia"/>
              </w:rPr>
              <w:lastRenderedPageBreak/>
              <w:t>可以极大方便的帮助工程人员进行路测的地理定位，同时辅助路测过程中的方向导航，可以按照制定的测试路线来执行测试的过程。市场上有些扫频仪可能内置了</w:t>
            </w:r>
            <w:r>
              <w:rPr>
                <w:rFonts w:hint="eastAsia"/>
              </w:rPr>
              <w:t>GPS</w:t>
            </w:r>
            <w:r>
              <w:rPr>
                <w:rFonts w:hint="eastAsia"/>
              </w:rPr>
              <w:t>模块，这样路测系统就不需要另外购买外置的</w:t>
            </w:r>
            <w:r>
              <w:rPr>
                <w:rFonts w:hint="eastAsia"/>
              </w:rPr>
              <w:t>GPS</w:t>
            </w:r>
            <w:r>
              <w:rPr>
                <w:rFonts w:hint="eastAsia"/>
              </w:rPr>
              <w:t>模块。</w:t>
            </w:r>
          </w:p>
          <w:p>
            <w:r>
              <w:t xml:space="preserve">　　</w:t>
            </w:r>
            <w:r>
              <w:rPr>
                <w:rFonts w:hint="eastAsia"/>
              </w:rPr>
              <w:t>（</w:t>
            </w:r>
            <w:r>
              <w:rPr>
                <w:rFonts w:hint="eastAsia"/>
              </w:rPr>
              <w:t>4</w:t>
            </w:r>
            <w:r>
              <w:rPr>
                <w:rFonts w:hint="eastAsia"/>
              </w:rPr>
              <w:t>）电脑的作用主要是运行路测软件，以进行路测数据的采集和分析。电脑一般是笔记本电脑，也可以是工控机、</w:t>
            </w:r>
            <w:r>
              <w:rPr>
                <w:rFonts w:hint="eastAsia"/>
              </w:rPr>
              <w:t>PDA</w:t>
            </w:r>
            <w:r>
              <w:rPr>
                <w:rFonts w:hint="eastAsia"/>
              </w:rPr>
              <w:t>及嵌入式专用设备。</w:t>
            </w:r>
          </w:p>
          <w:p>
            <w:r>
              <w:t xml:space="preserve">　　</w:t>
            </w:r>
            <w:r>
              <w:rPr>
                <w:rFonts w:hint="eastAsia"/>
              </w:rPr>
              <w:t>目前，传统路测系统在移动通信中的应用已经非常普遍，对移动通信网络的建设和优化发挥了比较大的作用。但是，传统的路测方案也存在较大的缺点和不足，主要体现在：</w:t>
            </w:r>
          </w:p>
          <w:p>
            <w:r>
              <w:t xml:space="preserve">　　</w:t>
            </w:r>
            <w:r>
              <w:rPr>
                <w:rFonts w:hint="eastAsia"/>
              </w:rPr>
              <w:t>（</w:t>
            </w:r>
            <w:r>
              <w:rPr>
                <w:rFonts w:hint="eastAsia"/>
              </w:rPr>
              <w:t>1</w:t>
            </w:r>
            <w:r>
              <w:rPr>
                <w:rFonts w:hint="eastAsia"/>
              </w:rPr>
              <w:t>）传统路测一般只能采集特定时间、特定区域的网络运行数据，无法进行大范围、全天候的检测，采集数据量较少，只能了解部分区域的网络状况，不能反映移动通信网络的整体性能，也不能及时发现网络问题。这就是目前大部分网络问题都是由用户投诉而不能主动发现的原因。</w:t>
            </w:r>
          </w:p>
          <w:p>
            <w:r>
              <w:t xml:space="preserve">　　</w:t>
            </w:r>
            <w:r>
              <w:rPr>
                <w:rFonts w:hint="eastAsia"/>
              </w:rPr>
              <w:t>（</w:t>
            </w:r>
            <w:r>
              <w:rPr>
                <w:rFonts w:hint="eastAsia"/>
              </w:rPr>
              <w:t>2</w:t>
            </w:r>
            <w:r>
              <w:rPr>
                <w:rFonts w:hint="eastAsia"/>
              </w:rPr>
              <w:t>）传统路测需要由网优测试人员携带专用测试仪器乘坐车辆采集数据，这种方法成本高，人力物力资源耗费极大，并且，发现和解决问题的周期较长。所以，目前的路测大都只能在已经发生网络通信问题、确定需要进行网络优化的区域进行。达不到通过日常检测和海量数据采集，发现已存在或潜在问题的作用。</w:t>
            </w:r>
          </w:p>
          <w:p>
            <w:r>
              <w:t xml:space="preserve">　　</w:t>
            </w:r>
            <w:r>
              <w:rPr>
                <w:rFonts w:hint="eastAsia"/>
              </w:rPr>
              <w:t>针对传统路测的不足，一些研究机构提出了自动路测（</w:t>
            </w:r>
            <w:r>
              <w:rPr>
                <w:rFonts w:hint="eastAsia"/>
              </w:rPr>
              <w:t>Auto Drive Test</w:t>
            </w:r>
            <w:r>
              <w:rPr>
                <w:rFonts w:hint="eastAsia"/>
              </w:rPr>
              <w:t>，</w:t>
            </w:r>
            <w:r>
              <w:rPr>
                <w:rFonts w:hint="eastAsia"/>
              </w:rPr>
              <w:t>ADT</w:t>
            </w:r>
            <w:r>
              <w:rPr>
                <w:rFonts w:hint="eastAsia"/>
              </w:rPr>
              <w:t>）系统的概念，其设计思路是利用无人值守测试终端自动采集数据，通过无线网络传输到管理中心，测试人员在管理中心进行数据处理和分析。自动路测得到了各厂家的支持，一些厂家推出了自动路测系统，但是，这些系统由于或多或少存在问题，没有得到大规模推广应用。国内如浙江大学也研究并开发了自动路测系统，但是都只在有限的范围应用。</w:t>
            </w:r>
          </w:p>
          <w:p>
            <w:r>
              <w:t xml:space="preserve">　　</w:t>
            </w:r>
          </w:p>
          <w:p>
            <w:r>
              <w:rPr>
                <w:rFonts w:hint="eastAsia"/>
              </w:rPr>
              <w:t>2.3</w:t>
            </w:r>
            <w:r>
              <w:t>发展趋势分析</w:t>
            </w:r>
          </w:p>
          <w:p>
            <w:r>
              <w:t xml:space="preserve">　　</w:t>
            </w:r>
            <w:r>
              <w:rPr>
                <w:rFonts w:hint="eastAsia"/>
              </w:rPr>
              <w:t>路测的发展趋势是自动路测（</w:t>
            </w:r>
            <w:r>
              <w:rPr>
                <w:rFonts w:hint="eastAsia"/>
              </w:rPr>
              <w:t>ADT</w:t>
            </w:r>
            <w:r>
              <w:rPr>
                <w:rFonts w:hint="eastAsia"/>
              </w:rPr>
              <w:t>）系统，其设计思路是将测试单元安装在社会车辆上，通过对测试行为的定义，自动完成测试并且利用无线网络将测试数据回传到控制中心，再做后台统计分析，自动路测系统主要有以下优点：</w:t>
            </w:r>
          </w:p>
          <w:p>
            <w:r>
              <w:t xml:space="preserve">　　</w:t>
            </w:r>
            <w:r>
              <w:rPr>
                <w:rFonts w:hint="eastAsia"/>
              </w:rPr>
              <w:t>（</w:t>
            </w:r>
            <w:r>
              <w:rPr>
                <w:rFonts w:hint="eastAsia"/>
              </w:rPr>
              <w:t>1</w:t>
            </w:r>
            <w:r>
              <w:rPr>
                <w:rFonts w:hint="eastAsia"/>
              </w:rPr>
              <w:t>）通过对社会车辆的选取，来满足对测试广度和深度的要求。公交车辆可以保证重点路段的测试量，出租车或邮政车辆可以达到网络覆盖的角角落落。同时可以保证测试时间，可以全天候的监测路网。</w:t>
            </w:r>
          </w:p>
          <w:p>
            <w:r>
              <w:t xml:space="preserve">　　</w:t>
            </w:r>
            <w:r>
              <w:rPr>
                <w:rFonts w:hint="eastAsia"/>
              </w:rPr>
              <w:t>（</w:t>
            </w:r>
            <w:r>
              <w:rPr>
                <w:rFonts w:hint="eastAsia"/>
              </w:rPr>
              <w:t>2</w:t>
            </w:r>
            <w:r>
              <w:rPr>
                <w:rFonts w:hint="eastAsia"/>
              </w:rPr>
              <w:t>）从统计学的角度来看，巨大的样本数量是非常接近真实情况，而且可以降低偶然事件对于测试结果的影响。</w:t>
            </w:r>
          </w:p>
          <w:p>
            <w:r>
              <w:t xml:space="preserve">　　</w:t>
            </w:r>
            <w:r>
              <w:rPr>
                <w:rFonts w:hint="eastAsia"/>
              </w:rPr>
              <w:t>（</w:t>
            </w:r>
            <w:r>
              <w:rPr>
                <w:rFonts w:hint="eastAsia"/>
              </w:rPr>
              <w:t>3</w:t>
            </w:r>
            <w:r>
              <w:rPr>
                <w:rFonts w:hint="eastAsia"/>
              </w:rPr>
              <w:t>）测试结果可以自动、及时的反馈到控制中心，对于运维来说减轻了测试人员工作负担，节约了工作时间和成本，可以先于用户发现网络存在的问题。</w:t>
            </w:r>
          </w:p>
          <w:p>
            <w:r>
              <w:t xml:space="preserve">　　</w:t>
            </w:r>
            <w:r>
              <w:rPr>
                <w:rFonts w:hint="eastAsia"/>
              </w:rPr>
              <w:t>（</w:t>
            </w:r>
            <w:r>
              <w:rPr>
                <w:rFonts w:hint="eastAsia"/>
              </w:rPr>
              <w:t>4</w:t>
            </w:r>
            <w:r>
              <w:rPr>
                <w:rFonts w:hint="eastAsia"/>
              </w:rPr>
              <w:t>）网优工程对于网络参数设备的调整可以在第一时间了解到实施效果，加快工作进程。</w:t>
            </w:r>
          </w:p>
          <w:p>
            <w:r>
              <w:t xml:space="preserve">　　</w:t>
            </w:r>
            <w:r>
              <w:rPr>
                <w:rFonts w:hint="eastAsia"/>
              </w:rPr>
              <w:t>自动路测系统弥补了传统路测的缺点和不足，可以广泛应用于网络质量监测、优化效果评定、割接情况检查以及日常维护工作。通过对网络的持续监测，及时发现问题，分析问题，以改善网络服务质量，提高企业的市场竞争力。</w:t>
            </w:r>
          </w:p>
          <w:p>
            <w:r>
              <w:t xml:space="preserve">　　</w:t>
            </w:r>
            <w:r>
              <w:rPr>
                <w:rFonts w:hint="eastAsia"/>
              </w:rPr>
              <w:t>同时，根据我们的分析，移动运营商正趋向于将路测，特别是路测数据采集作为服务外包给专业公司。这样，一方面可以节约成本，另一方面也将资源集中到移动运营的核心业务。</w:t>
            </w:r>
          </w:p>
          <w:p>
            <w:r>
              <w:t xml:space="preserve">　　</w:t>
            </w:r>
          </w:p>
          <w:p>
            <w:r>
              <w:t>2.3</w:t>
            </w:r>
            <w:r>
              <w:t>知识产权状况分析</w:t>
            </w:r>
          </w:p>
          <w:p>
            <w:r>
              <w:t xml:space="preserve">　　</w:t>
            </w:r>
            <w:r>
              <w:rPr>
                <w:rFonts w:hint="eastAsia"/>
              </w:rPr>
              <w:t>本项目产品系项目申报单位和协作单位自主研发，具有完全的自主知识产权。</w:t>
            </w:r>
          </w:p>
          <w:p>
            <w:pPr>
              <w:pStyle w:val="a7"/>
            </w:pPr>
          </w:p>
          <w:p>
            <w:pPr>
              <w:pStyle w:val="a7"/>
            </w:pPr>
          </w:p>
          <w:p>
            <w:pPr>
              <w:pStyle w:val="a7"/>
            </w:pPr>
          </w:p>
        </w:tc>
      </w:tr>
      <w:tr>
        <w:trPr>
          <w:trHeight w:val="770"/>
        </w:trPr>
        <w:tc>
          <w:tcPr>
            <w:tcW w:w="8739" w:type="dxa"/>
            <w:vAlign w:val="center"/>
          </w:tcPr>
          <w:p>
            <w:pPr>
              <w:rPr>
                <w:rFonts w:eastAsia="黑体"/>
                <w:sz w:val="28"/>
              </w:rPr>
            </w:pPr>
            <w:r>
              <w:rPr>
                <w:rFonts w:eastAsia="黑体"/>
                <w:b/>
                <w:bCs/>
                <w:sz w:val="28"/>
              </w:rPr>
              <w:lastRenderedPageBreak/>
              <w:t>三、项目的创新性。</w:t>
            </w:r>
            <w:r>
              <w:t>（理论创新、应用创新、技术创新、不超过</w:t>
            </w:r>
            <w:r>
              <w:t>2000</w:t>
            </w:r>
            <w:r>
              <w:t>字，各栏中不得出现申报单位名称和项目成员姓名。）</w:t>
            </w:r>
          </w:p>
        </w:tc>
      </w:tr>
      <w:tr>
        <w:trPr>
          <w:trHeight w:val="10891"/>
        </w:trPr>
        <w:tc>
          <w:tcPr>
            <w:tcW w:w="8739" w:type="dxa"/>
          </w:tcPr>
          <w:p>
            <w:r>
              <w:t xml:space="preserve">　　</w:t>
            </w:r>
            <w:r>
              <w:rPr>
                <w:rFonts w:hint="eastAsia"/>
              </w:rPr>
              <w:t>本项目成果</w:t>
            </w:r>
            <w:r>
              <w:t>多项技术和功能属</w:t>
            </w:r>
            <w:r>
              <w:rPr>
                <w:rFonts w:hint="eastAsia"/>
              </w:rPr>
              <w:t>国内首创，技术上达到国际先进。项目主要创新点包括：</w:t>
            </w:r>
          </w:p>
          <w:p>
            <w:r>
              <w:t xml:space="preserve">　　</w:t>
            </w:r>
            <w:r>
              <w:rPr>
                <w:rFonts w:hint="eastAsia"/>
              </w:rPr>
              <w:t>（</w:t>
            </w:r>
            <w:r>
              <w:rPr>
                <w:rFonts w:hint="eastAsia"/>
              </w:rPr>
              <w:t>1</w:t>
            </w:r>
            <w:r>
              <w:rPr>
                <w:rFonts w:hint="eastAsia"/>
              </w:rPr>
              <w:t>）提出并设计实现了基于</w:t>
            </w:r>
            <w:r>
              <w:rPr>
                <w:rFonts w:hint="eastAsia"/>
              </w:rPr>
              <w:t>ARM</w:t>
            </w:r>
            <w:r>
              <w:rPr>
                <w:rFonts w:hint="eastAsia"/>
              </w:rPr>
              <w:t>处理器的高性能移动测试单元（</w:t>
            </w:r>
            <w:r>
              <w:rPr>
                <w:rFonts w:hint="eastAsia"/>
              </w:rPr>
              <w:t>MTU</w:t>
            </w:r>
            <w:r>
              <w:rPr>
                <w:rFonts w:hint="eastAsia"/>
              </w:rPr>
              <w:t>）。</w:t>
            </w:r>
            <w:r>
              <w:rPr>
                <w:rFonts w:hint="eastAsia"/>
              </w:rPr>
              <w:t>MTU</w:t>
            </w:r>
            <w:r>
              <w:rPr>
                <w:rFonts w:hint="eastAsia"/>
              </w:rPr>
              <w:t>硬件主要包括</w:t>
            </w:r>
            <w:r>
              <w:rPr>
                <w:rFonts w:hint="eastAsia"/>
              </w:rPr>
              <w:t>ARM</w:t>
            </w:r>
            <w:r>
              <w:rPr>
                <w:rFonts w:hint="eastAsia"/>
              </w:rPr>
              <w:t>处理器、</w:t>
            </w:r>
            <w:r>
              <w:rPr>
                <w:rFonts w:hint="eastAsia"/>
              </w:rPr>
              <w:t>TD-SCDMA</w:t>
            </w:r>
            <w:r>
              <w:rPr>
                <w:rFonts w:hint="eastAsia"/>
              </w:rPr>
              <w:t>模块、</w:t>
            </w:r>
            <w:r>
              <w:rPr>
                <w:rFonts w:hint="eastAsia"/>
              </w:rPr>
              <w:t>WCDMA</w:t>
            </w:r>
            <w:r>
              <w:rPr>
                <w:rFonts w:hint="eastAsia"/>
              </w:rPr>
              <w:t>模块、</w:t>
            </w:r>
            <w:r>
              <w:rPr>
                <w:rFonts w:hint="eastAsia"/>
              </w:rPr>
              <w:t>CDMA2000S</w:t>
            </w:r>
            <w:r>
              <w:rPr>
                <w:rFonts w:hint="eastAsia"/>
              </w:rPr>
              <w:t>模块、铁电存储器、电源变换模块，整个系统的运行与控制由</w:t>
            </w:r>
            <w:r>
              <w:rPr>
                <w:rFonts w:hint="eastAsia"/>
              </w:rPr>
              <w:t>ARM</w:t>
            </w:r>
            <w:r>
              <w:rPr>
                <w:rFonts w:hint="eastAsia"/>
              </w:rPr>
              <w:t>处理器完成，各部分协同工作。</w:t>
            </w:r>
          </w:p>
          <w:p>
            <w:r>
              <w:t xml:space="preserve">　　</w:t>
            </w:r>
            <w:r>
              <w:rPr>
                <w:rFonts w:hint="eastAsia"/>
              </w:rPr>
              <w:t>（</w:t>
            </w:r>
            <w:r>
              <w:rPr>
                <w:rFonts w:hint="eastAsia"/>
              </w:rPr>
              <w:t>2</w:t>
            </w:r>
            <w:r>
              <w:rPr>
                <w:rFonts w:hint="eastAsia"/>
              </w:rPr>
              <w:t>）实现了一种新的多网同测数据对比分析算法。该算法在分析的效果和分析时间上均优于现有的普通方法。</w:t>
            </w:r>
          </w:p>
          <w:p>
            <w:r>
              <w:t xml:space="preserve">　　</w:t>
            </w:r>
            <w:r>
              <w:rPr>
                <w:rFonts w:hint="eastAsia"/>
              </w:rPr>
              <w:t>（</w:t>
            </w:r>
            <w:r>
              <w:rPr>
                <w:rFonts w:hint="eastAsia"/>
              </w:rPr>
              <w:t>3</w:t>
            </w:r>
            <w:bookmarkStart w:id="0" w:name="_GoBack"/>
            <w:bookmarkEnd w:id="0"/>
            <w:r>
              <w:rPr>
                <w:rFonts w:hint="eastAsia"/>
              </w:rPr>
              <w:t>）设计实现了一种新的路测数据（下行信道检测）和基站数据（上行信道检测数据）的对比分析算法。取得了比较好的分析效果。</w:t>
            </w:r>
          </w:p>
        </w:tc>
      </w:tr>
      <w:tr>
        <w:trPr>
          <w:trHeight w:val="770"/>
        </w:trPr>
        <w:tc>
          <w:tcPr>
            <w:tcW w:w="8739" w:type="dxa"/>
            <w:vAlign w:val="center"/>
          </w:tcPr>
          <w:p>
            <w:pPr>
              <w:rPr>
                <w:rFonts w:eastAsia="黑体"/>
                <w:sz w:val="28"/>
              </w:rPr>
            </w:pPr>
            <w:r>
              <w:rPr>
                <w:rFonts w:eastAsia="黑体"/>
                <w:b/>
                <w:bCs/>
                <w:sz w:val="28"/>
              </w:rPr>
              <w:t>四、项目应用前景和产学研结合情况。</w:t>
            </w:r>
            <w:r>
              <w:t>（不超过</w:t>
            </w:r>
            <w:r>
              <w:t>1000</w:t>
            </w:r>
            <w:r>
              <w:t>字，各栏中不得出现申报单位名称和项目成员姓名。）</w:t>
            </w:r>
          </w:p>
        </w:tc>
      </w:tr>
      <w:tr>
        <w:trPr>
          <w:trHeight w:val="10891"/>
        </w:trPr>
        <w:tc>
          <w:tcPr>
            <w:tcW w:w="8739" w:type="dxa"/>
          </w:tcPr>
          <w:p/>
          <w:p>
            <w:r>
              <w:rPr>
                <w:rFonts w:hint="eastAsia"/>
              </w:rPr>
              <w:t xml:space="preserve">4.1 </w:t>
            </w:r>
            <w:r>
              <w:rPr>
                <w:rFonts w:hint="eastAsia"/>
              </w:rPr>
              <w:t>项目应用前景</w:t>
            </w:r>
          </w:p>
          <w:p>
            <w:r>
              <w:rPr>
                <w:rFonts w:hint="eastAsia"/>
              </w:rPr>
              <w:t xml:space="preserve">　　根据统计数据，我国目前共有县级行政单位</w:t>
            </w:r>
            <w:r>
              <w:rPr>
                <w:rFonts w:hint="eastAsia"/>
              </w:rPr>
              <w:t>2862</w:t>
            </w:r>
            <w:r>
              <w:rPr>
                <w:rFonts w:hint="eastAsia"/>
              </w:rPr>
              <w:t>个。估算每年每个县级行政单位平均路测费用</w:t>
            </w:r>
            <w:r>
              <w:rPr>
                <w:rFonts w:hint="eastAsia"/>
              </w:rPr>
              <w:t>30</w:t>
            </w:r>
            <w:r>
              <w:rPr>
                <w:rFonts w:hint="eastAsia"/>
              </w:rPr>
              <w:t>万元，则路测市场每年达到</w:t>
            </w:r>
            <w:r>
              <w:rPr>
                <w:rFonts w:hint="eastAsia"/>
              </w:rPr>
              <w:t>8.586</w:t>
            </w:r>
            <w:r>
              <w:rPr>
                <w:rFonts w:hint="eastAsia"/>
              </w:rPr>
              <w:t>亿元。考虑到目前共有</w:t>
            </w:r>
            <w:r>
              <w:rPr>
                <w:rFonts w:hint="eastAsia"/>
              </w:rPr>
              <w:t>3</w:t>
            </w:r>
            <w:r>
              <w:rPr>
                <w:rFonts w:hint="eastAsia"/>
              </w:rPr>
              <w:t>个移动运营商，则每年每个县级行政单位每个运营商估算的平均路测费用只有</w:t>
            </w:r>
            <w:r>
              <w:rPr>
                <w:rFonts w:hint="eastAsia"/>
              </w:rPr>
              <w:t>10</w:t>
            </w:r>
            <w:r>
              <w:rPr>
                <w:rFonts w:hint="eastAsia"/>
              </w:rPr>
              <w:t>万元，这个数字可以说是非常保守的估计。同时，由于路测的需求是每年每个时期都存在，随着移动通信市场和用户的增加，路测服务的市场也会相应增长。</w:t>
            </w:r>
          </w:p>
          <w:p>
            <w:r>
              <w:rPr>
                <w:rFonts w:hint="eastAsia"/>
              </w:rPr>
              <w:t xml:space="preserve">　　即使考虑本项目产品（服务）能够占据</w:t>
            </w:r>
            <w:r>
              <w:rPr>
                <w:rFonts w:hint="eastAsia"/>
              </w:rPr>
              <w:t>5</w:t>
            </w:r>
            <w:r>
              <w:rPr>
                <w:rFonts w:hint="eastAsia"/>
              </w:rPr>
              <w:t>％的市场份额，每年的收入也会超过</w:t>
            </w:r>
            <w:r>
              <w:rPr>
                <w:rFonts w:hint="eastAsia"/>
              </w:rPr>
              <w:t>4000</w:t>
            </w:r>
            <w:r>
              <w:rPr>
                <w:rFonts w:hint="eastAsia"/>
              </w:rPr>
              <w:t>万元。因此，本项目产品（服务）具有广阔的市场前景。</w:t>
            </w:r>
          </w:p>
          <w:p/>
          <w:p>
            <w:r>
              <w:rPr>
                <w:rFonts w:hint="eastAsia"/>
              </w:rPr>
              <w:t>4.2</w:t>
            </w:r>
            <w:r>
              <w:rPr>
                <w:rFonts w:hint="eastAsia"/>
              </w:rPr>
              <w:t>产学研结合情况</w:t>
            </w:r>
          </w:p>
          <w:p>
            <w:r>
              <w:rPr>
                <w:rFonts w:hint="eastAsia"/>
              </w:rPr>
              <w:t xml:space="preserve">　　项目申报单位注重“产学研”结合，与电子科技大学及信息产业部相关研究所等建立了紧密合作关系，产学研合作的科技成果为本项目实施打下了坚实的基础。</w:t>
            </w:r>
          </w:p>
          <w:p>
            <w:r>
              <w:rPr>
                <w:rFonts w:hint="eastAsia"/>
              </w:rPr>
              <w:t xml:space="preserve">　　项目申报单位也和同一集团所属的数码学院建立了长期稳定的合作关系，双方共享人才和设施设备等资源。</w:t>
            </w:r>
          </w:p>
          <w:p>
            <w:r>
              <w:t xml:space="preserve">　　</w:t>
            </w:r>
          </w:p>
          <w:p/>
          <w:p/>
          <w:p/>
          <w:p/>
          <w:p/>
          <w:p/>
          <w:p/>
          <w:p/>
          <w:p/>
          <w:p/>
          <w:p/>
          <w:p/>
          <w:p>
            <w:pPr>
              <w:rPr>
                <w:rFonts w:eastAsia="黑体"/>
                <w:b/>
                <w:bCs/>
                <w:sz w:val="28"/>
              </w:rPr>
            </w:pPr>
          </w:p>
        </w:tc>
      </w:tr>
      <w:tr>
        <w:trPr>
          <w:trHeight w:val="770"/>
        </w:trPr>
        <w:tc>
          <w:tcPr>
            <w:tcW w:w="8739" w:type="dxa"/>
            <w:vAlign w:val="center"/>
          </w:tcPr>
          <w:p>
            <w:pPr>
              <w:rPr>
                <w:rFonts w:eastAsia="黑体"/>
                <w:sz w:val="28"/>
              </w:rPr>
            </w:pPr>
            <w:r>
              <w:rPr>
                <w:rFonts w:eastAsia="黑体"/>
                <w:b/>
                <w:bCs/>
                <w:sz w:val="28"/>
              </w:rPr>
              <w:t>五、项目实施的风险及应对策略。</w:t>
            </w:r>
            <w:r>
              <w:t>（不超过</w:t>
            </w:r>
            <w:r>
              <w:t>1500</w:t>
            </w:r>
            <w:r>
              <w:t>字，各栏中不得出现申报单位名称和项目成员姓名。）</w:t>
            </w:r>
          </w:p>
        </w:tc>
      </w:tr>
      <w:tr>
        <w:trPr>
          <w:trHeight w:val="10891"/>
        </w:trPr>
        <w:tc>
          <w:tcPr>
            <w:tcW w:w="8739" w:type="dxa"/>
            <w:vAlign w:val="center"/>
          </w:tcPr>
          <w:p/>
          <w:p>
            <w:r>
              <w:t xml:space="preserve">　　本项目</w:t>
            </w:r>
            <w:r>
              <w:rPr>
                <w:rFonts w:hint="eastAsia"/>
              </w:rPr>
              <w:t>实施的主要风险分析如下：</w:t>
            </w:r>
          </w:p>
          <w:p>
            <w:r>
              <w:t xml:space="preserve">　　</w:t>
            </w:r>
            <w:bookmarkStart w:id="1" w:name="_Toc129056164"/>
            <w:bookmarkStart w:id="2" w:name="_Toc194304438"/>
            <w:r>
              <w:t>（</w:t>
            </w:r>
            <w:r>
              <w:t>1</w:t>
            </w:r>
            <w:r>
              <w:t>）</w:t>
            </w:r>
            <w:r>
              <w:rPr>
                <w:rFonts w:hint="eastAsia"/>
              </w:rPr>
              <w:t>技术风险</w:t>
            </w:r>
            <w:bookmarkEnd w:id="1"/>
            <w:bookmarkEnd w:id="2"/>
          </w:p>
          <w:p>
            <w:r>
              <w:t xml:space="preserve">　　</w:t>
            </w:r>
            <w:r>
              <w:rPr>
                <w:rFonts w:hint="eastAsia"/>
              </w:rPr>
              <w:t>本项目采用自动测试终端实现自动路测，存在较大的技术难度和技术风险。为了应对该技术风险，一方面，在系统设计和软件设计方面采取了措施；另一方面，嵌入式系统硬件处理性能目前还以“摩尔定律”不断提升，我们认为该技术风险完全可以控制。</w:t>
            </w:r>
          </w:p>
          <w:p>
            <w:r>
              <w:t xml:space="preserve">　　</w:t>
            </w:r>
            <w:bookmarkStart w:id="3" w:name="_Toc129056166"/>
            <w:bookmarkStart w:id="4" w:name="_Toc194304440"/>
            <w:r>
              <w:t>（</w:t>
            </w:r>
            <w:r>
              <w:rPr>
                <w:rFonts w:hint="eastAsia"/>
              </w:rPr>
              <w:t>2</w:t>
            </w:r>
            <w:r>
              <w:t>）经济环境风险</w:t>
            </w:r>
            <w:bookmarkEnd w:id="3"/>
            <w:bookmarkEnd w:id="4"/>
          </w:p>
          <w:p>
            <w:r>
              <w:t xml:space="preserve">　　经济环境的变化会影响产品需求。</w:t>
            </w:r>
            <w:r>
              <w:rPr>
                <w:rFonts w:hint="eastAsia"/>
              </w:rPr>
              <w:t>3G</w:t>
            </w:r>
            <w:r>
              <w:rPr>
                <w:rFonts w:hint="eastAsia"/>
              </w:rPr>
              <w:t>移动通信</w:t>
            </w:r>
            <w:r>
              <w:t>是国际国内市场不可逆转的大趋势，而本项目立足于</w:t>
            </w:r>
            <w:r>
              <w:rPr>
                <w:rFonts w:hint="eastAsia"/>
              </w:rPr>
              <w:t>3G</w:t>
            </w:r>
            <w:r>
              <w:rPr>
                <w:rFonts w:hint="eastAsia"/>
              </w:rPr>
              <w:t>移动通信运营</w:t>
            </w:r>
            <w:r>
              <w:t>的最基础的必然需求，可行性研究均建立在保守估计之上，所以，国内经济环境的局部调整不会对项目销售和利润目标的实现产生显性影响。</w:t>
            </w:r>
          </w:p>
          <w:p>
            <w:r>
              <w:t xml:space="preserve">　　</w:t>
            </w:r>
            <w:bookmarkStart w:id="5" w:name="_Toc129056167"/>
            <w:bookmarkStart w:id="6" w:name="_Toc194304441"/>
            <w:r>
              <w:t>（</w:t>
            </w:r>
            <w:r>
              <w:rPr>
                <w:rFonts w:hint="eastAsia"/>
              </w:rPr>
              <w:t>2</w:t>
            </w:r>
            <w:r>
              <w:t>）人力资源风险</w:t>
            </w:r>
            <w:bookmarkEnd w:id="5"/>
            <w:bookmarkEnd w:id="6"/>
          </w:p>
          <w:p>
            <w:r>
              <w:t xml:space="preserve">　　人才流动风险是高技术产品研发的重要风险。项目承担单位内部建立了完善的人力资源管理体系，关键技术已经从个人掌握转变为公司掌握，形成文件化的公司资产。</w:t>
            </w:r>
            <w:r>
              <w:rPr>
                <w:rFonts w:hint="eastAsia"/>
              </w:rPr>
              <w:t>项目申报单位</w:t>
            </w:r>
            <w:r>
              <w:t>由于成熟度提高，人员流动率远远低于同业水平，仅为</w:t>
            </w:r>
            <w:r>
              <w:rPr>
                <w:rFonts w:hint="eastAsia"/>
              </w:rPr>
              <w:t>6</w:t>
            </w:r>
            <w:r>
              <w:t xml:space="preserve"> %</w:t>
            </w:r>
            <w:r>
              <w:t>左右。</w:t>
            </w:r>
          </w:p>
          <w:p>
            <w:r>
              <w:t xml:space="preserve">　　同时，针对本项目，公司专门制定了项目人力资源管理规划。公司已经深入分析并充分应对了人力资源风险。</w:t>
            </w:r>
          </w:p>
          <w:p>
            <w:r>
              <w:t xml:space="preserve">　　</w:t>
            </w:r>
            <w:bookmarkStart w:id="7" w:name="_Toc129056168"/>
            <w:bookmarkStart w:id="8" w:name="_Toc194304442"/>
            <w:r>
              <w:t>（</w:t>
            </w:r>
            <w:r>
              <w:rPr>
                <w:rFonts w:hint="eastAsia"/>
              </w:rPr>
              <w:t>4</w:t>
            </w:r>
            <w:r>
              <w:t>）资金风险</w:t>
            </w:r>
            <w:bookmarkEnd w:id="7"/>
            <w:bookmarkEnd w:id="8"/>
          </w:p>
          <w:p>
            <w:r>
              <w:t xml:space="preserve">　　本项目投资总额</w:t>
            </w:r>
            <w:r>
              <w:rPr>
                <w:rFonts w:hint="eastAsia"/>
              </w:rPr>
              <w:t>380</w:t>
            </w:r>
            <w:r>
              <w:t>万元人民币，其中项目承担单位自筹</w:t>
            </w:r>
            <w:r>
              <w:rPr>
                <w:rFonts w:hint="eastAsia"/>
              </w:rPr>
              <w:t>330</w:t>
            </w:r>
            <w:r>
              <w:t>万元</w:t>
            </w:r>
            <w:r>
              <w:rPr>
                <w:rFonts w:hint="eastAsia"/>
              </w:rPr>
              <w:t>，申请资助</w:t>
            </w:r>
            <w:r>
              <w:rPr>
                <w:rFonts w:hint="eastAsia"/>
              </w:rPr>
              <w:t>60</w:t>
            </w:r>
            <w:r>
              <w:rPr>
                <w:rFonts w:hint="eastAsia"/>
              </w:rPr>
              <w:t>万元</w:t>
            </w:r>
            <w:r>
              <w:t>。截至到</w:t>
            </w:r>
            <w:r>
              <w:t>200</w:t>
            </w:r>
            <w:r>
              <w:rPr>
                <w:rFonts w:hint="eastAsia"/>
              </w:rPr>
              <w:t>9</w:t>
            </w:r>
            <w:r>
              <w:t>年</w:t>
            </w:r>
            <w:r>
              <w:rPr>
                <w:rFonts w:hint="eastAsia"/>
              </w:rPr>
              <w:t>底</w:t>
            </w:r>
            <w:r>
              <w:t>，公司</w:t>
            </w:r>
            <w:r>
              <w:rPr>
                <w:rFonts w:hint="eastAsia"/>
              </w:rPr>
              <w:t>银行</w:t>
            </w:r>
            <w:r>
              <w:t>存款余额超过</w:t>
            </w:r>
            <w:r>
              <w:rPr>
                <w:rFonts w:hint="eastAsia"/>
              </w:rPr>
              <w:t>50</w:t>
            </w:r>
            <w:r>
              <w:t>0</w:t>
            </w:r>
            <w:r>
              <w:t>万元（见附件</w:t>
            </w:r>
            <w:r>
              <w:rPr>
                <w:rFonts w:hint="eastAsia"/>
              </w:rPr>
              <w:t>2009</w:t>
            </w:r>
            <w:r>
              <w:rPr>
                <w:rFonts w:hint="eastAsia"/>
              </w:rPr>
              <w:t>年财务报表</w:t>
            </w:r>
            <w:r>
              <w:t>）。公司经营状况良好，与其年利润增长率为</w:t>
            </w:r>
            <w:r>
              <w:t>20%</w:t>
            </w:r>
            <w:r>
              <w:t>左右。足可保证本项目资金投入。无论最终是否能够取得国家的资金支持，</w:t>
            </w:r>
            <w:r>
              <w:rPr>
                <w:rFonts w:hint="eastAsia"/>
              </w:rPr>
              <w:t>依靠</w:t>
            </w:r>
            <w:r>
              <w:t>公司资金</w:t>
            </w:r>
            <w:r>
              <w:rPr>
                <w:rFonts w:hint="eastAsia"/>
              </w:rPr>
              <w:t>和贷款</w:t>
            </w:r>
            <w:r>
              <w:t>都能保证本项目的顺利实施。公司自身的发展和资金实力可以有效应对可能的资金风险。</w:t>
            </w:r>
          </w:p>
          <w:p>
            <w:r>
              <w:t xml:space="preserve">　　</w:t>
            </w:r>
            <w:r>
              <w:rPr>
                <w:rFonts w:hint="eastAsia"/>
              </w:rPr>
              <w:t>（</w:t>
            </w:r>
            <w:r>
              <w:rPr>
                <w:rFonts w:hint="eastAsia"/>
              </w:rPr>
              <w:t>5</w:t>
            </w:r>
            <w:r>
              <w:rPr>
                <w:rFonts w:hint="eastAsia"/>
              </w:rPr>
              <w:t>）</w:t>
            </w:r>
            <w:r>
              <w:t>政策风险</w:t>
            </w:r>
          </w:p>
          <w:p>
            <w:r>
              <w:t xml:space="preserve">　　国家对</w:t>
            </w:r>
            <w:r>
              <w:rPr>
                <w:rFonts w:hint="eastAsia"/>
              </w:rPr>
              <w:t>3G</w:t>
            </w:r>
            <w:r>
              <w:rPr>
                <w:rFonts w:hint="eastAsia"/>
              </w:rPr>
              <w:t>移动通信</w:t>
            </w:r>
            <w:r>
              <w:t>的发展一直十分重视，国家规划把</w:t>
            </w:r>
            <w:r>
              <w:rPr>
                <w:rFonts w:hint="eastAsia"/>
              </w:rPr>
              <w:t>3G</w:t>
            </w:r>
            <w:r>
              <w:rPr>
                <w:rFonts w:hint="eastAsia"/>
              </w:rPr>
              <w:t>移动通信</w:t>
            </w:r>
            <w:r>
              <w:t>放在了突出重要的位置。本项目符合政策导向，在项目执行期内不存在未覆盖的政策风险。</w:t>
            </w:r>
          </w:p>
          <w:p>
            <w:r>
              <w:t xml:space="preserve">　　</w:t>
            </w:r>
            <w:r>
              <w:rPr>
                <w:rFonts w:hint="eastAsia"/>
              </w:rPr>
              <w:t>综上所述，项目</w:t>
            </w:r>
            <w:r>
              <w:t>对各种风险都进行了认真的考虑并积极应对</w:t>
            </w:r>
            <w:r>
              <w:rPr>
                <w:rFonts w:hint="eastAsia"/>
              </w:rPr>
              <w:t>，确保了项目风险在可以控制的范围以内</w:t>
            </w:r>
            <w:r>
              <w:t>。</w:t>
            </w:r>
          </w:p>
          <w:p/>
          <w:p>
            <w:pPr>
              <w:rPr>
                <w:rFonts w:eastAsia="黑体"/>
                <w:b/>
                <w:bCs/>
                <w:sz w:val="28"/>
              </w:rPr>
            </w:pPr>
          </w:p>
          <w:p>
            <w:pPr>
              <w:rPr>
                <w:rFonts w:eastAsia="黑体"/>
                <w:b/>
                <w:bCs/>
                <w:sz w:val="28"/>
              </w:rPr>
            </w:pPr>
          </w:p>
        </w:tc>
      </w:tr>
      <w:tr>
        <w:trPr>
          <w:trHeight w:val="770"/>
        </w:trPr>
        <w:tc>
          <w:tcPr>
            <w:tcW w:w="8739" w:type="dxa"/>
            <w:vAlign w:val="center"/>
          </w:tcPr>
          <w:p>
            <w:pPr>
              <w:rPr>
                <w:rFonts w:eastAsia="黑体"/>
                <w:sz w:val="28"/>
              </w:rPr>
            </w:pPr>
            <w:r>
              <w:rPr>
                <w:rFonts w:eastAsia="黑体"/>
                <w:b/>
                <w:bCs/>
                <w:sz w:val="28"/>
              </w:rPr>
              <w:t>六、已有研究基础和承担优势</w:t>
            </w:r>
            <w:r>
              <w:t xml:space="preserve"> </w:t>
            </w:r>
            <w:r>
              <w:t>（包括与项目有关的前期研究状况、实验设备及设备条件、近三年主持或主研的科研成果；获奖及发表论文情况，不超过</w:t>
            </w:r>
            <w:r>
              <w:t>1500</w:t>
            </w:r>
            <w:r>
              <w:t>字，各栏中不得出现申报单位名称和项目成员姓名。）</w:t>
            </w:r>
          </w:p>
        </w:tc>
      </w:tr>
      <w:tr>
        <w:trPr>
          <w:trHeight w:val="10891"/>
        </w:trPr>
        <w:tc>
          <w:tcPr>
            <w:tcW w:w="8739" w:type="dxa"/>
            <w:vAlign w:val="center"/>
          </w:tcPr>
          <w:p>
            <w:r>
              <w:rPr>
                <w:rFonts w:hint="eastAsia"/>
              </w:rPr>
              <w:lastRenderedPageBreak/>
              <w:t>6.1</w:t>
            </w:r>
            <w:r>
              <w:rPr>
                <w:rFonts w:hint="eastAsia"/>
              </w:rPr>
              <w:t>前期研究状况</w:t>
            </w:r>
          </w:p>
          <w:p>
            <w:r>
              <w:rPr>
                <w:rFonts w:hint="eastAsia"/>
              </w:rPr>
              <w:t xml:space="preserve">　　目前，本项目已经完成总体技术方案的设计，攻克了海量测试数据的分析处理技术和高性能移动测试单元（</w:t>
            </w:r>
            <w:r>
              <w:rPr>
                <w:rFonts w:hint="eastAsia"/>
              </w:rPr>
              <w:t>MTU</w:t>
            </w:r>
            <w:r>
              <w:rPr>
                <w:rFonts w:hint="eastAsia"/>
              </w:rPr>
              <w:t>）的智能设计技术两项关键技术。</w:t>
            </w:r>
          </w:p>
          <w:p>
            <w:r>
              <w:rPr>
                <w:rFonts w:hint="eastAsia"/>
              </w:rPr>
              <w:t xml:space="preserve">　　公司</w:t>
            </w:r>
            <w:r>
              <w:t>已经与移动及联通公司建立合作关系，</w:t>
            </w:r>
            <w:r>
              <w:rPr>
                <w:rFonts w:hint="eastAsia"/>
              </w:rPr>
              <w:t>为打造路测业务服务奠定良好的基础</w:t>
            </w:r>
            <w:r>
              <w:t>。</w:t>
            </w:r>
          </w:p>
          <w:p/>
          <w:p>
            <w:r>
              <w:rPr>
                <w:rFonts w:hint="eastAsia"/>
              </w:rPr>
              <w:t>6.2</w:t>
            </w:r>
            <w:r>
              <w:rPr>
                <w:rFonts w:hint="eastAsia"/>
              </w:rPr>
              <w:t>现有研发条件和设备</w:t>
            </w:r>
          </w:p>
          <w:p>
            <w:r>
              <w:rPr>
                <w:rFonts w:hint="eastAsia"/>
              </w:rPr>
              <w:t xml:space="preserve">　　项目申报单位研发中心设在成都市“数媒产教园”内。“数媒产教园”是所属集团所建，院内容纳有集团多家分公司研发中心和数码学院。“数媒产教园”位于郫县，占地</w:t>
            </w:r>
            <w:r>
              <w:rPr>
                <w:rFonts w:hint="eastAsia"/>
              </w:rPr>
              <w:t>30</w:t>
            </w:r>
            <w:r>
              <w:rPr>
                <w:rFonts w:hint="eastAsia"/>
              </w:rPr>
              <w:t>余亩，绿被荫映，环境幽雅。全钢化玻璃结构的“数媒工厂”已经建成分阶段投入使用，占地面积</w:t>
            </w:r>
            <w:r>
              <w:rPr>
                <w:rFonts w:hint="eastAsia"/>
              </w:rPr>
              <w:t>500</w:t>
            </w:r>
            <w:r>
              <w:rPr>
                <w:rFonts w:hint="eastAsia"/>
              </w:rPr>
              <w:t>平方米，室内最高处达</w:t>
            </w:r>
            <w:r>
              <w:rPr>
                <w:rFonts w:hint="eastAsia"/>
              </w:rPr>
              <w:t>7</w:t>
            </w:r>
            <w:r>
              <w:rPr>
                <w:rFonts w:hint="eastAsia"/>
              </w:rPr>
              <w:t>米，空间通透开阔，可容纳多达</w:t>
            </w:r>
            <w:r>
              <w:rPr>
                <w:rFonts w:hint="eastAsia"/>
              </w:rPr>
              <w:t>300</w:t>
            </w:r>
            <w:r>
              <w:rPr>
                <w:rFonts w:hint="eastAsia"/>
              </w:rPr>
              <w:t>人的开发团队。公司近两年静态投入</w:t>
            </w:r>
            <w:r>
              <w:rPr>
                <w:rFonts w:hint="eastAsia"/>
              </w:rPr>
              <w:t>580</w:t>
            </w:r>
            <w:r>
              <w:rPr>
                <w:rFonts w:hint="eastAsia"/>
              </w:rPr>
              <w:t>多万元进行人才队伍和硬件设施的打造。</w:t>
            </w:r>
          </w:p>
          <w:p>
            <w:r>
              <w:rPr>
                <w:rFonts w:hint="eastAsia"/>
              </w:rPr>
              <w:t xml:space="preserve">　　在成都市“数媒产教园”内，项目申报单位目前拥有的研发生产场地面积超过</w:t>
            </w:r>
            <w:r>
              <w:rPr>
                <w:rFonts w:hint="eastAsia"/>
              </w:rPr>
              <w:t>1000</w:t>
            </w:r>
            <w:r>
              <w:rPr>
                <w:rFonts w:hint="eastAsia"/>
              </w:rPr>
              <w:t>平米，园内生活食堂、运动设施齐全，后勤、安全保障系统完善。</w:t>
            </w:r>
          </w:p>
          <w:p>
            <w:r>
              <w:rPr>
                <w:rFonts w:hint="eastAsia"/>
              </w:rPr>
              <w:t xml:space="preserve">　　项目申报单位目前拥有价值超过</w:t>
            </w:r>
            <w:r>
              <w:rPr>
                <w:rFonts w:hint="eastAsia"/>
              </w:rPr>
              <w:t>280</w:t>
            </w:r>
            <w:r>
              <w:rPr>
                <w:rFonts w:hint="eastAsia"/>
              </w:rPr>
              <w:t>万元的研发、生产设备和专用软件。为保证软件质量，公司花费</w:t>
            </w:r>
            <w:r>
              <w:rPr>
                <w:rFonts w:hint="eastAsia"/>
              </w:rPr>
              <w:t>50</w:t>
            </w:r>
            <w:r>
              <w:rPr>
                <w:rFonts w:hint="eastAsia"/>
              </w:rPr>
              <w:t>万元购买了专业配置管理工具软件及开发工具，全面实施软件开发配置管理。</w:t>
            </w:r>
          </w:p>
          <w:p>
            <w:r>
              <w:rPr>
                <w:rFonts w:hint="eastAsia"/>
              </w:rPr>
              <w:t xml:space="preserve">　　前期研究基础</w:t>
            </w:r>
          </w:p>
          <w:p/>
          <w:p>
            <w:r>
              <w:rPr>
                <w:rFonts w:hint="eastAsia"/>
              </w:rPr>
              <w:t>6.3</w:t>
            </w:r>
            <w:r>
              <w:rPr>
                <w:rFonts w:hint="eastAsia"/>
              </w:rPr>
              <w:t>研发能力及优势</w:t>
            </w:r>
            <w:r>
              <w:rPr>
                <w:rFonts w:hint="eastAsia"/>
              </w:rPr>
              <w:t xml:space="preserve"> </w:t>
            </w:r>
          </w:p>
          <w:p>
            <w:r>
              <w:rPr>
                <w:rFonts w:hint="eastAsia"/>
              </w:rPr>
              <w:t xml:space="preserve">　　项目申报单位现有专职员工</w:t>
            </w:r>
            <w:r>
              <w:rPr>
                <w:rFonts w:hint="eastAsia"/>
              </w:rPr>
              <w:t>69</w:t>
            </w:r>
            <w:r>
              <w:rPr>
                <w:rFonts w:hint="eastAsia"/>
              </w:rPr>
              <w:t>人，其中：软件研发人员</w:t>
            </w:r>
            <w:r>
              <w:rPr>
                <w:rFonts w:hint="eastAsia"/>
              </w:rPr>
              <w:t>39</w:t>
            </w:r>
            <w:r>
              <w:rPr>
                <w:rFonts w:hint="eastAsia"/>
              </w:rPr>
              <w:t>人，占</w:t>
            </w:r>
            <w:r>
              <w:rPr>
                <w:rFonts w:hint="eastAsia"/>
              </w:rPr>
              <w:t>56.5%</w:t>
            </w:r>
            <w:r>
              <w:rPr>
                <w:rFonts w:hint="eastAsia"/>
              </w:rPr>
              <w:t>；生产与系统集成人员</w:t>
            </w:r>
            <w:r>
              <w:rPr>
                <w:rFonts w:hint="eastAsia"/>
              </w:rPr>
              <w:t>9</w:t>
            </w:r>
            <w:r>
              <w:rPr>
                <w:rFonts w:hint="eastAsia"/>
              </w:rPr>
              <w:t>人，占</w:t>
            </w:r>
            <w:r>
              <w:rPr>
                <w:rFonts w:hint="eastAsia"/>
              </w:rPr>
              <w:t>13%</w:t>
            </w:r>
            <w:r>
              <w:rPr>
                <w:rFonts w:hint="eastAsia"/>
              </w:rPr>
              <w:t>；管理、销售与支持人员</w:t>
            </w:r>
            <w:r>
              <w:rPr>
                <w:rFonts w:hint="eastAsia"/>
              </w:rPr>
              <w:t>21</w:t>
            </w:r>
            <w:r>
              <w:rPr>
                <w:rFonts w:hint="eastAsia"/>
              </w:rPr>
              <w:t>人，占</w:t>
            </w:r>
            <w:r>
              <w:rPr>
                <w:rFonts w:hint="eastAsia"/>
              </w:rPr>
              <w:t>30.5%</w:t>
            </w:r>
            <w:r>
              <w:rPr>
                <w:rFonts w:hint="eastAsia"/>
              </w:rPr>
              <w:t>。公司员工中，博士、硕士及高级职称</w:t>
            </w:r>
            <w:r>
              <w:rPr>
                <w:rFonts w:hint="eastAsia"/>
              </w:rPr>
              <w:t>8</w:t>
            </w:r>
            <w:r>
              <w:rPr>
                <w:rFonts w:hint="eastAsia"/>
              </w:rPr>
              <w:t>人，占</w:t>
            </w:r>
            <w:r>
              <w:rPr>
                <w:rFonts w:hint="eastAsia"/>
              </w:rPr>
              <w:t>11.6%</w:t>
            </w:r>
            <w:r>
              <w:rPr>
                <w:rFonts w:hint="eastAsia"/>
              </w:rPr>
              <w:t>，本科及中级职称</w:t>
            </w:r>
            <w:r>
              <w:rPr>
                <w:rFonts w:hint="eastAsia"/>
              </w:rPr>
              <w:t>33</w:t>
            </w:r>
            <w:r>
              <w:rPr>
                <w:rFonts w:hint="eastAsia"/>
              </w:rPr>
              <w:t>人，占</w:t>
            </w:r>
            <w:r>
              <w:rPr>
                <w:rFonts w:hint="eastAsia"/>
              </w:rPr>
              <w:t>47.8 %</w:t>
            </w:r>
            <w:r>
              <w:rPr>
                <w:rFonts w:hint="eastAsia"/>
              </w:rPr>
              <w:t>，大专</w:t>
            </w:r>
            <w:r>
              <w:rPr>
                <w:rFonts w:hint="eastAsia"/>
              </w:rPr>
              <w:t>21</w:t>
            </w:r>
            <w:r>
              <w:rPr>
                <w:rFonts w:hint="eastAsia"/>
              </w:rPr>
              <w:t>人，占</w:t>
            </w:r>
            <w:r>
              <w:rPr>
                <w:rFonts w:hint="eastAsia"/>
              </w:rPr>
              <w:t>30.4</w:t>
            </w:r>
            <w:r>
              <w:rPr>
                <w:rFonts w:hint="eastAsia"/>
              </w:rPr>
              <w:t>％，大专以下</w:t>
            </w:r>
            <w:r>
              <w:rPr>
                <w:rFonts w:hint="eastAsia"/>
              </w:rPr>
              <w:t>7</w:t>
            </w:r>
            <w:r>
              <w:rPr>
                <w:rFonts w:hint="eastAsia"/>
              </w:rPr>
              <w:t>人，占</w:t>
            </w:r>
            <w:r>
              <w:rPr>
                <w:rFonts w:hint="eastAsia"/>
              </w:rPr>
              <w:t>10.1</w:t>
            </w:r>
            <w:r>
              <w:rPr>
                <w:rFonts w:hint="eastAsia"/>
              </w:rPr>
              <w:t>％。</w:t>
            </w:r>
          </w:p>
          <w:p>
            <w:r>
              <w:rPr>
                <w:rFonts w:hint="eastAsia"/>
              </w:rPr>
              <w:t xml:space="preserve">　　公司多年来在完成和实施高新技术产品开发和承担工程项目的过程中，形成了一支具有很高的专业素质和技术水平而且又较为稳定的技术骨干队伍。公司研发团队现有研发人员</w:t>
            </w:r>
            <w:r>
              <w:rPr>
                <w:rFonts w:hint="eastAsia"/>
              </w:rPr>
              <w:t>39</w:t>
            </w:r>
            <w:r>
              <w:rPr>
                <w:rFonts w:hint="eastAsia"/>
              </w:rPr>
              <w:t>人，研发人员中</w:t>
            </w:r>
            <w:r>
              <w:rPr>
                <w:rFonts w:hint="eastAsia"/>
              </w:rPr>
              <w:t>80</w:t>
            </w:r>
            <w:r>
              <w:rPr>
                <w:rFonts w:hint="eastAsia"/>
              </w:rPr>
              <w:t>％具有大学本科以上学历，从事软件研发工作三年以上比例为</w:t>
            </w:r>
            <w:r>
              <w:rPr>
                <w:rFonts w:hint="eastAsia"/>
              </w:rPr>
              <w:t>60</w:t>
            </w:r>
            <w:r>
              <w:rPr>
                <w:rFonts w:hint="eastAsia"/>
              </w:rPr>
              <w:t>％左右。公司研发投入一直保持在</w:t>
            </w:r>
            <w:r>
              <w:rPr>
                <w:rFonts w:hint="eastAsia"/>
              </w:rPr>
              <w:t>9</w:t>
            </w:r>
            <w:r>
              <w:rPr>
                <w:rFonts w:hint="eastAsia"/>
              </w:rPr>
              <w:t>％以上。</w:t>
            </w:r>
          </w:p>
          <w:p>
            <w:r>
              <w:rPr>
                <w:rFonts w:hint="eastAsia"/>
              </w:rPr>
              <w:t xml:space="preserve">　　创始人团队</w:t>
            </w:r>
            <w:r>
              <w:rPr>
                <w:rFonts w:hint="eastAsia"/>
              </w:rPr>
              <w:t>1996</w:t>
            </w:r>
            <w:r>
              <w:rPr>
                <w:rFonts w:hint="eastAsia"/>
              </w:rPr>
              <w:t>年电子科大毕业，心怀理想、脚踏实地创立品牌，在行业还未萌芽之时走上了数字媒体产业和教育并行的创业之路，创造了丰硕的人才和技术储备：</w:t>
            </w:r>
            <w:r>
              <w:rPr>
                <w:rFonts w:hint="eastAsia"/>
              </w:rPr>
              <w:t>2006</w:t>
            </w:r>
            <w:r>
              <w:rPr>
                <w:rFonts w:hint="eastAsia"/>
              </w:rPr>
              <w:t>年公司被四川省文化厅授予“四川省优秀动漫游戏品牌”、成都市最佳游戏人才教育单位、成都市软件人才产销衔接先进教育单位、</w:t>
            </w:r>
            <w:r>
              <w:rPr>
                <w:rFonts w:hint="eastAsia"/>
              </w:rPr>
              <w:t>07</w:t>
            </w:r>
            <w:r>
              <w:rPr>
                <w:rFonts w:hint="eastAsia"/>
              </w:rPr>
              <w:t>成都市诚信建设单位。团队拥有</w:t>
            </w:r>
            <w:r>
              <w:rPr>
                <w:rFonts w:hint="eastAsia"/>
              </w:rPr>
              <w:t>10</w:t>
            </w:r>
            <w:r>
              <w:rPr>
                <w:rFonts w:hint="eastAsia"/>
              </w:rPr>
              <w:t>年以上企业经营管理、数字媒体、教育办学的综合性创业运营经验，完成过一千多项（个）数字媒体产品的设计、制作、开发。随着企业的发展壮大，更多的国内外投融资渠道向我公司伸出了橄榄枝。团队重视自主品牌和长远发展，以“顽强”为企业文化理念凝聚了大批人才，企业拥有人才、品牌、金融的良好储备，具有很强的发展后劲。</w:t>
            </w:r>
            <w:r>
              <w:rPr>
                <w:rFonts w:hint="eastAsia"/>
              </w:rPr>
              <w:t xml:space="preserve"> </w:t>
            </w:r>
          </w:p>
          <w:p/>
          <w:p/>
          <w:p/>
          <w:p/>
          <w:p/>
          <w:p>
            <w:pPr>
              <w:rPr>
                <w:rFonts w:eastAsia="黑体"/>
                <w:b/>
                <w:bCs/>
                <w:sz w:val="28"/>
              </w:rPr>
            </w:pPr>
          </w:p>
        </w:tc>
      </w:tr>
      <w:tr>
        <w:trPr>
          <w:trHeight w:val="770"/>
        </w:trPr>
        <w:tc>
          <w:tcPr>
            <w:tcW w:w="8739" w:type="dxa"/>
            <w:vAlign w:val="center"/>
          </w:tcPr>
          <w:p>
            <w:pPr>
              <w:rPr>
                <w:rFonts w:eastAsia="黑体"/>
                <w:sz w:val="28"/>
              </w:rPr>
            </w:pPr>
            <w:r>
              <w:rPr>
                <w:rFonts w:eastAsia="黑体"/>
                <w:b/>
                <w:bCs/>
                <w:sz w:val="28"/>
              </w:rPr>
              <w:t>七、项目的年度进度及预期目标。</w:t>
            </w:r>
            <w:r>
              <w:t>（不超过</w:t>
            </w:r>
            <w:r>
              <w:t>1000</w:t>
            </w:r>
            <w:r>
              <w:t>字，各栏中不得出现申报单位名称和项目成员姓名。）</w:t>
            </w:r>
          </w:p>
        </w:tc>
      </w:tr>
      <w:tr>
        <w:trPr>
          <w:trHeight w:val="10891"/>
        </w:trPr>
        <w:tc>
          <w:tcPr>
            <w:tcW w:w="8739" w:type="dxa"/>
            <w:vAlign w:val="center"/>
          </w:tcPr>
          <w:p/>
          <w:p>
            <w:r>
              <w:rPr>
                <w:rFonts w:hint="eastAsia"/>
              </w:rPr>
              <w:t xml:space="preserve">　　预期项目从</w:t>
            </w:r>
            <w:r>
              <w:rPr>
                <w:rFonts w:hint="eastAsia"/>
              </w:rPr>
              <w:t>2010</w:t>
            </w:r>
            <w:r>
              <w:rPr>
                <w:rFonts w:hint="eastAsia"/>
              </w:rPr>
              <w:t>年</w:t>
            </w:r>
            <w:r>
              <w:rPr>
                <w:rFonts w:hint="eastAsia"/>
              </w:rPr>
              <w:t>7</w:t>
            </w:r>
            <w:r>
              <w:rPr>
                <w:rFonts w:hint="eastAsia"/>
              </w:rPr>
              <w:t>月开始，预计在</w:t>
            </w:r>
            <w:r>
              <w:rPr>
                <w:rFonts w:hint="eastAsia"/>
              </w:rPr>
              <w:t>2012</w:t>
            </w:r>
            <w:r>
              <w:rPr>
                <w:rFonts w:hint="eastAsia"/>
              </w:rPr>
              <w:t>年</w:t>
            </w:r>
            <w:r>
              <w:rPr>
                <w:rFonts w:hint="eastAsia"/>
              </w:rPr>
              <w:t>6</w:t>
            </w:r>
            <w:r>
              <w:rPr>
                <w:rFonts w:hint="eastAsia"/>
              </w:rPr>
              <w:t>月结束。项目建设期</w:t>
            </w:r>
            <w:r>
              <w:rPr>
                <w:rFonts w:hint="eastAsia"/>
              </w:rPr>
              <w:t>2</w:t>
            </w:r>
            <w:r>
              <w:rPr>
                <w:rFonts w:hint="eastAsia"/>
              </w:rPr>
              <w:t>年共</w:t>
            </w:r>
            <w:r>
              <w:rPr>
                <w:rFonts w:hint="eastAsia"/>
              </w:rPr>
              <w:t>24</w:t>
            </w:r>
            <w:r>
              <w:rPr>
                <w:rFonts w:hint="eastAsia"/>
              </w:rPr>
              <w:t>个月。项目进度安排如下：</w:t>
            </w:r>
          </w:p>
          <w:p>
            <w:r>
              <w:rPr>
                <w:rFonts w:hint="eastAsia"/>
              </w:rPr>
              <w:t xml:space="preserve">　　（</w:t>
            </w:r>
            <w:r>
              <w:rPr>
                <w:rFonts w:hint="eastAsia"/>
              </w:rPr>
              <w:t>1</w:t>
            </w:r>
            <w:r>
              <w:rPr>
                <w:rFonts w:hint="eastAsia"/>
              </w:rPr>
              <w:t>）第</w:t>
            </w:r>
            <w:r>
              <w:rPr>
                <w:rFonts w:hint="eastAsia"/>
              </w:rPr>
              <w:t>1</w:t>
            </w:r>
            <w:r>
              <w:rPr>
                <w:rFonts w:hint="eastAsia"/>
              </w:rPr>
              <w:t>月～第</w:t>
            </w:r>
            <w:r>
              <w:rPr>
                <w:rFonts w:hint="eastAsia"/>
              </w:rPr>
              <w:t>2</w:t>
            </w:r>
            <w:r>
              <w:rPr>
                <w:rFonts w:hint="eastAsia"/>
              </w:rPr>
              <w:t>月，完成项目工作总体设计、制定工作管理制度及实施办法。</w:t>
            </w:r>
          </w:p>
          <w:p>
            <w:r>
              <w:rPr>
                <w:rFonts w:hint="eastAsia"/>
              </w:rPr>
              <w:t xml:space="preserve">　　（</w:t>
            </w:r>
            <w:r>
              <w:rPr>
                <w:rFonts w:hint="eastAsia"/>
              </w:rPr>
              <w:t>2</w:t>
            </w:r>
            <w:r>
              <w:rPr>
                <w:rFonts w:hint="eastAsia"/>
              </w:rPr>
              <w:t>）第</w:t>
            </w:r>
            <w:r>
              <w:rPr>
                <w:rFonts w:hint="eastAsia"/>
              </w:rPr>
              <w:t>3</w:t>
            </w:r>
            <w:r>
              <w:rPr>
                <w:rFonts w:hint="eastAsia"/>
              </w:rPr>
              <w:t>月～第</w:t>
            </w:r>
            <w:r>
              <w:rPr>
                <w:rFonts w:hint="eastAsia"/>
              </w:rPr>
              <w:t>6</w:t>
            </w:r>
            <w:r>
              <w:rPr>
                <w:rFonts w:hint="eastAsia"/>
              </w:rPr>
              <w:t>月，完成原型系统的总体方案设计，包括：概要设计与需求详细设计；各分系统间的接口设计。</w:t>
            </w:r>
          </w:p>
          <w:p>
            <w:r>
              <w:rPr>
                <w:rFonts w:hint="eastAsia"/>
              </w:rPr>
              <w:t xml:space="preserve">　　（</w:t>
            </w:r>
            <w:r>
              <w:rPr>
                <w:rFonts w:hint="eastAsia"/>
              </w:rPr>
              <w:t>3</w:t>
            </w:r>
            <w:r>
              <w:rPr>
                <w:rFonts w:hint="eastAsia"/>
              </w:rPr>
              <w:t>）第</w:t>
            </w:r>
            <w:r>
              <w:rPr>
                <w:rFonts w:hint="eastAsia"/>
              </w:rPr>
              <w:t>7</w:t>
            </w:r>
            <w:r>
              <w:rPr>
                <w:rFonts w:hint="eastAsia"/>
              </w:rPr>
              <w:t>月～第</w:t>
            </w:r>
            <w:r>
              <w:rPr>
                <w:rFonts w:hint="eastAsia"/>
              </w:rPr>
              <w:t>10</w:t>
            </w:r>
            <w:r>
              <w:rPr>
                <w:rFonts w:hint="eastAsia"/>
              </w:rPr>
              <w:t>月，完成项目核心技术的研究和各功能模块的设计。</w:t>
            </w:r>
          </w:p>
          <w:p>
            <w:r>
              <w:rPr>
                <w:rFonts w:hint="eastAsia"/>
              </w:rPr>
              <w:t xml:space="preserve">　　（</w:t>
            </w:r>
            <w:r>
              <w:rPr>
                <w:rFonts w:hint="eastAsia"/>
              </w:rPr>
              <w:t>4</w:t>
            </w:r>
            <w:r>
              <w:rPr>
                <w:rFonts w:hint="eastAsia"/>
              </w:rPr>
              <w:t>）第</w:t>
            </w:r>
            <w:r>
              <w:rPr>
                <w:rFonts w:hint="eastAsia"/>
              </w:rPr>
              <w:t>11</w:t>
            </w:r>
            <w:r>
              <w:rPr>
                <w:rFonts w:hint="eastAsia"/>
              </w:rPr>
              <w:t>月～第</w:t>
            </w:r>
            <w:r>
              <w:rPr>
                <w:rFonts w:hint="eastAsia"/>
              </w:rPr>
              <w:t>19</w:t>
            </w:r>
            <w:r>
              <w:rPr>
                <w:rFonts w:hint="eastAsia"/>
              </w:rPr>
              <w:t>月，完成系统软件开发和测试，形成样机系统。</w:t>
            </w:r>
          </w:p>
          <w:p>
            <w:r>
              <w:rPr>
                <w:rFonts w:hint="eastAsia"/>
              </w:rPr>
              <w:t xml:space="preserve">　　（</w:t>
            </w:r>
            <w:r>
              <w:rPr>
                <w:rFonts w:hint="eastAsia"/>
              </w:rPr>
              <w:t>5</w:t>
            </w:r>
            <w:r>
              <w:rPr>
                <w:rFonts w:hint="eastAsia"/>
              </w:rPr>
              <w:t>）第</w:t>
            </w:r>
            <w:r>
              <w:rPr>
                <w:rFonts w:hint="eastAsia"/>
              </w:rPr>
              <w:t>20</w:t>
            </w:r>
            <w:r>
              <w:rPr>
                <w:rFonts w:hint="eastAsia"/>
              </w:rPr>
              <w:t>月～第</w:t>
            </w:r>
            <w:r>
              <w:rPr>
                <w:rFonts w:hint="eastAsia"/>
              </w:rPr>
              <w:t>21</w:t>
            </w:r>
            <w:r>
              <w:rPr>
                <w:rFonts w:hint="eastAsia"/>
              </w:rPr>
              <w:t>月，样机系统交付用户试用，根据试用情况对系统进行修改完善。</w:t>
            </w:r>
          </w:p>
          <w:p>
            <w:r>
              <w:rPr>
                <w:rFonts w:hint="eastAsia"/>
              </w:rPr>
              <w:t xml:space="preserve">　　（</w:t>
            </w:r>
            <w:r>
              <w:rPr>
                <w:rFonts w:hint="eastAsia"/>
              </w:rPr>
              <w:t>6</w:t>
            </w:r>
            <w:r>
              <w:rPr>
                <w:rFonts w:hint="eastAsia"/>
              </w:rPr>
              <w:t>）第</w:t>
            </w:r>
            <w:r>
              <w:rPr>
                <w:rFonts w:hint="eastAsia"/>
              </w:rPr>
              <w:t>22</w:t>
            </w:r>
            <w:r>
              <w:rPr>
                <w:rFonts w:hint="eastAsia"/>
              </w:rPr>
              <w:t>月～第</w:t>
            </w:r>
            <w:r>
              <w:rPr>
                <w:rFonts w:hint="eastAsia"/>
              </w:rPr>
              <w:t>23</w:t>
            </w:r>
            <w:r>
              <w:rPr>
                <w:rFonts w:hint="eastAsia"/>
              </w:rPr>
              <w:t>月，完成系统产品化升级及推广应用。</w:t>
            </w:r>
          </w:p>
          <w:p>
            <w:r>
              <w:rPr>
                <w:rFonts w:hint="eastAsia"/>
              </w:rPr>
              <w:t xml:space="preserve">　　（</w:t>
            </w:r>
            <w:r>
              <w:rPr>
                <w:rFonts w:hint="eastAsia"/>
              </w:rPr>
              <w:t>7</w:t>
            </w:r>
            <w:r>
              <w:rPr>
                <w:rFonts w:hint="eastAsia"/>
              </w:rPr>
              <w:t>）第</w:t>
            </w:r>
            <w:r>
              <w:rPr>
                <w:rFonts w:hint="eastAsia"/>
              </w:rPr>
              <w:t>24</w:t>
            </w:r>
            <w:r>
              <w:rPr>
                <w:rFonts w:hint="eastAsia"/>
              </w:rPr>
              <w:t>月，项目验收。</w:t>
            </w:r>
          </w:p>
          <w:p>
            <w:pPr>
              <w:rPr>
                <w:rFonts w:eastAsia="黑体"/>
                <w:b/>
                <w:bCs/>
                <w:sz w:val="28"/>
              </w:rPr>
            </w:pPr>
            <w:r>
              <w:t xml:space="preserve">　　</w:t>
            </w:r>
            <w:r>
              <w:t xml:space="preserve"> </w:t>
            </w:r>
          </w:p>
          <w:p>
            <w:pPr>
              <w:rPr>
                <w:rFonts w:eastAsia="黑体"/>
                <w:b/>
                <w:bCs/>
                <w:sz w:val="28"/>
              </w:rPr>
            </w:pPr>
            <w:r>
              <w:rPr>
                <w:rFonts w:eastAsia="黑体"/>
                <w:b/>
                <w:bCs/>
                <w:sz w:val="28"/>
              </w:rPr>
              <w:t xml:space="preserve">　　</w:t>
            </w:r>
          </w:p>
          <w:p>
            <w:pPr>
              <w:rPr>
                <w:rFonts w:eastAsia="黑体"/>
                <w:b/>
                <w:bCs/>
                <w:sz w:val="28"/>
              </w:rPr>
            </w:pPr>
          </w:p>
          <w:p>
            <w:pPr>
              <w:rPr>
                <w:rFonts w:eastAsia="黑体"/>
                <w:b/>
                <w:bCs/>
                <w:sz w:val="28"/>
              </w:rPr>
            </w:pPr>
          </w:p>
          <w:p>
            <w:pPr>
              <w:rPr>
                <w:rFonts w:eastAsia="黑体"/>
                <w:b/>
                <w:bCs/>
                <w:sz w:val="28"/>
              </w:rPr>
            </w:pPr>
          </w:p>
        </w:tc>
      </w:tr>
    </w:tbl>
    <w:p>
      <w:pPr>
        <w:snapToGrid w:val="0"/>
        <w:spacing w:line="360" w:lineRule="auto"/>
        <w:rPr>
          <w:rFonts w:eastAsia="黑体"/>
          <w:sz w:val="28"/>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620"/>
        <w:gridCol w:w="1440"/>
        <w:gridCol w:w="1080"/>
        <w:gridCol w:w="540"/>
        <w:gridCol w:w="540"/>
        <w:gridCol w:w="1080"/>
      </w:tblGrid>
      <w:tr>
        <w:trPr>
          <w:cantSplit/>
          <w:trHeight w:val="653"/>
        </w:trPr>
        <w:tc>
          <w:tcPr>
            <w:tcW w:w="8640" w:type="dxa"/>
            <w:gridSpan w:val="7"/>
            <w:vAlign w:val="center"/>
          </w:tcPr>
          <w:p>
            <w:pPr>
              <w:spacing w:line="440" w:lineRule="exact"/>
              <w:rPr>
                <w:sz w:val="24"/>
              </w:rPr>
            </w:pPr>
            <w:r>
              <w:rPr>
                <w:rFonts w:eastAsia="黑体"/>
                <w:sz w:val="28"/>
              </w:rPr>
              <w:t>八、经费预算。</w:t>
            </w:r>
            <w:r>
              <w:t>（单位：万元人民币）</w:t>
            </w:r>
            <w:r>
              <w:rPr>
                <w:sz w:val="24"/>
              </w:rPr>
              <w:t xml:space="preserve"> </w:t>
            </w:r>
          </w:p>
        </w:tc>
      </w:tr>
      <w:tr>
        <w:trPr>
          <w:trHeight w:val="409"/>
        </w:trPr>
        <w:tc>
          <w:tcPr>
            <w:tcW w:w="3960" w:type="dxa"/>
            <w:gridSpan w:val="2"/>
            <w:vAlign w:val="center"/>
          </w:tcPr>
          <w:p>
            <w:pPr>
              <w:spacing w:line="440" w:lineRule="exact"/>
              <w:jc w:val="center"/>
              <w:rPr>
                <w:b/>
                <w:bCs/>
                <w:sz w:val="28"/>
              </w:rPr>
            </w:pPr>
            <w:r>
              <w:rPr>
                <w:b/>
                <w:bCs/>
                <w:sz w:val="28"/>
              </w:rPr>
              <w:t xml:space="preserve"> </w:t>
            </w:r>
            <w:r>
              <w:rPr>
                <w:b/>
                <w:bCs/>
                <w:sz w:val="28"/>
              </w:rPr>
              <w:t>经费来源预算</w:t>
            </w:r>
          </w:p>
        </w:tc>
        <w:tc>
          <w:tcPr>
            <w:tcW w:w="4680" w:type="dxa"/>
            <w:gridSpan w:val="5"/>
            <w:vAlign w:val="center"/>
          </w:tcPr>
          <w:p>
            <w:pPr>
              <w:spacing w:line="440" w:lineRule="exact"/>
              <w:jc w:val="center"/>
              <w:rPr>
                <w:b/>
                <w:bCs/>
                <w:sz w:val="28"/>
              </w:rPr>
            </w:pPr>
            <w:r>
              <w:rPr>
                <w:b/>
                <w:bCs/>
                <w:sz w:val="28"/>
              </w:rPr>
              <w:t>经费支出预算</w:t>
            </w:r>
          </w:p>
        </w:tc>
      </w:tr>
      <w:tr>
        <w:trPr>
          <w:trHeight w:val="630"/>
        </w:trPr>
        <w:tc>
          <w:tcPr>
            <w:tcW w:w="2340" w:type="dxa"/>
            <w:vAlign w:val="center"/>
          </w:tcPr>
          <w:p>
            <w:pPr>
              <w:spacing w:line="440" w:lineRule="exact"/>
              <w:jc w:val="center"/>
              <w:rPr>
                <w:sz w:val="24"/>
              </w:rPr>
            </w:pPr>
            <w:r>
              <w:rPr>
                <w:sz w:val="24"/>
              </w:rPr>
              <w:t>科</w:t>
            </w:r>
            <w:r>
              <w:rPr>
                <w:sz w:val="24"/>
              </w:rPr>
              <w:t xml:space="preserve">  </w:t>
            </w:r>
            <w:r>
              <w:rPr>
                <w:sz w:val="24"/>
              </w:rPr>
              <w:t>目</w:t>
            </w:r>
          </w:p>
        </w:tc>
        <w:tc>
          <w:tcPr>
            <w:tcW w:w="1620" w:type="dxa"/>
            <w:vAlign w:val="center"/>
          </w:tcPr>
          <w:p>
            <w:pPr>
              <w:spacing w:line="440" w:lineRule="exact"/>
              <w:jc w:val="center"/>
              <w:rPr>
                <w:sz w:val="24"/>
              </w:rPr>
            </w:pPr>
            <w:r>
              <w:rPr>
                <w:sz w:val="24"/>
              </w:rPr>
              <w:t>预算数</w:t>
            </w:r>
          </w:p>
        </w:tc>
        <w:tc>
          <w:tcPr>
            <w:tcW w:w="3060" w:type="dxa"/>
            <w:gridSpan w:val="3"/>
            <w:vAlign w:val="center"/>
          </w:tcPr>
          <w:p>
            <w:pPr>
              <w:spacing w:line="440" w:lineRule="exact"/>
              <w:jc w:val="center"/>
              <w:rPr>
                <w:sz w:val="24"/>
              </w:rPr>
            </w:pPr>
            <w:r>
              <w:rPr>
                <w:sz w:val="24"/>
              </w:rPr>
              <w:t>科</w:t>
            </w:r>
            <w:r>
              <w:rPr>
                <w:sz w:val="24"/>
              </w:rPr>
              <w:t xml:space="preserve">  </w:t>
            </w:r>
            <w:r>
              <w:rPr>
                <w:sz w:val="24"/>
              </w:rPr>
              <w:t>目</w:t>
            </w:r>
          </w:p>
        </w:tc>
        <w:tc>
          <w:tcPr>
            <w:tcW w:w="1620" w:type="dxa"/>
            <w:gridSpan w:val="2"/>
            <w:vAlign w:val="center"/>
          </w:tcPr>
          <w:p>
            <w:pPr>
              <w:spacing w:line="440" w:lineRule="exact"/>
              <w:jc w:val="center"/>
              <w:rPr>
                <w:sz w:val="24"/>
              </w:rPr>
            </w:pPr>
            <w:r>
              <w:rPr>
                <w:sz w:val="24"/>
              </w:rPr>
              <w:t>预算数</w:t>
            </w:r>
          </w:p>
        </w:tc>
      </w:tr>
      <w:tr>
        <w:trPr>
          <w:cantSplit/>
          <w:trHeight w:val="569"/>
        </w:trPr>
        <w:tc>
          <w:tcPr>
            <w:tcW w:w="2340" w:type="dxa"/>
            <w:vAlign w:val="center"/>
          </w:tcPr>
          <w:p>
            <w:pPr>
              <w:spacing w:line="440" w:lineRule="exact"/>
              <w:rPr>
                <w:sz w:val="24"/>
              </w:rPr>
            </w:pPr>
            <w:r>
              <w:rPr>
                <w:sz w:val="24"/>
              </w:rPr>
              <w:t>1.</w:t>
            </w:r>
            <w:r>
              <w:rPr>
                <w:sz w:val="24"/>
              </w:rPr>
              <w:t>申请省科技厅拨款</w:t>
            </w:r>
          </w:p>
        </w:tc>
        <w:tc>
          <w:tcPr>
            <w:tcW w:w="1620" w:type="dxa"/>
            <w:vAlign w:val="center"/>
          </w:tcPr>
          <w:p>
            <w:pPr>
              <w:spacing w:line="440" w:lineRule="exact"/>
              <w:rPr>
                <w:sz w:val="24"/>
              </w:rPr>
            </w:pPr>
            <w:r>
              <w:rPr>
                <w:rFonts w:hint="eastAsia"/>
                <w:sz w:val="24"/>
              </w:rPr>
              <w:t>60</w:t>
            </w:r>
          </w:p>
        </w:tc>
        <w:tc>
          <w:tcPr>
            <w:tcW w:w="3060" w:type="dxa"/>
            <w:gridSpan w:val="3"/>
            <w:vAlign w:val="center"/>
          </w:tcPr>
          <w:p>
            <w:pPr>
              <w:autoSpaceDE w:val="0"/>
              <w:autoSpaceDN w:val="0"/>
              <w:spacing w:line="440" w:lineRule="exact"/>
              <w:ind w:firstLineChars="100" w:firstLine="240"/>
              <w:rPr>
                <w:sz w:val="24"/>
                <w:szCs w:val="24"/>
              </w:rPr>
            </w:pPr>
            <w:r>
              <w:rPr>
                <w:sz w:val="24"/>
                <w:szCs w:val="24"/>
              </w:rPr>
              <w:t>1</w:t>
            </w:r>
            <w:r>
              <w:rPr>
                <w:sz w:val="24"/>
                <w:szCs w:val="24"/>
              </w:rPr>
              <w:t>、设备费</w:t>
            </w:r>
          </w:p>
        </w:tc>
        <w:tc>
          <w:tcPr>
            <w:tcW w:w="1620" w:type="dxa"/>
            <w:gridSpan w:val="2"/>
            <w:vAlign w:val="center"/>
          </w:tcPr>
          <w:p>
            <w:pPr>
              <w:spacing w:line="440" w:lineRule="exact"/>
              <w:rPr>
                <w:sz w:val="28"/>
              </w:rPr>
            </w:pPr>
            <w:r>
              <w:rPr>
                <w:sz w:val="28"/>
              </w:rPr>
              <w:t xml:space="preserve"> </w:t>
            </w:r>
          </w:p>
        </w:tc>
      </w:tr>
      <w:tr>
        <w:trPr>
          <w:cantSplit/>
          <w:trHeight w:val="630"/>
        </w:trPr>
        <w:tc>
          <w:tcPr>
            <w:tcW w:w="2340" w:type="dxa"/>
            <w:vAlign w:val="center"/>
          </w:tcPr>
          <w:p>
            <w:pPr>
              <w:spacing w:line="440" w:lineRule="exact"/>
              <w:rPr>
                <w:sz w:val="24"/>
              </w:rPr>
            </w:pPr>
            <w:r>
              <w:rPr>
                <w:sz w:val="24"/>
              </w:rPr>
              <w:lastRenderedPageBreak/>
              <w:t>2.</w:t>
            </w:r>
            <w:r>
              <w:rPr>
                <w:sz w:val="24"/>
              </w:rPr>
              <w:t>国家部委拨款</w:t>
            </w: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w:t>
            </w:r>
            <w:r>
              <w:rPr>
                <w:sz w:val="24"/>
                <w:szCs w:val="24"/>
              </w:rPr>
              <w:t>1</w:t>
            </w:r>
            <w:r>
              <w:rPr>
                <w:sz w:val="24"/>
                <w:szCs w:val="24"/>
              </w:rPr>
              <w:t>）购置设备费</w:t>
            </w:r>
          </w:p>
        </w:tc>
        <w:tc>
          <w:tcPr>
            <w:tcW w:w="1620" w:type="dxa"/>
            <w:gridSpan w:val="2"/>
            <w:vAlign w:val="center"/>
          </w:tcPr>
          <w:p>
            <w:pPr>
              <w:spacing w:line="440" w:lineRule="exact"/>
              <w:rPr>
                <w:sz w:val="28"/>
              </w:rPr>
            </w:pPr>
          </w:p>
        </w:tc>
      </w:tr>
      <w:tr>
        <w:trPr>
          <w:cantSplit/>
          <w:trHeight w:val="630"/>
        </w:trPr>
        <w:tc>
          <w:tcPr>
            <w:tcW w:w="2340" w:type="dxa"/>
            <w:vAlign w:val="center"/>
          </w:tcPr>
          <w:p>
            <w:pPr>
              <w:spacing w:line="440" w:lineRule="exact"/>
              <w:rPr>
                <w:sz w:val="24"/>
              </w:rPr>
            </w:pPr>
            <w:r>
              <w:rPr>
                <w:sz w:val="24"/>
              </w:rPr>
              <w:t>2.</w:t>
            </w:r>
            <w:r>
              <w:rPr>
                <w:sz w:val="24"/>
              </w:rPr>
              <w:t>国家其它拨款</w:t>
            </w: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w:t>
            </w:r>
            <w:r>
              <w:rPr>
                <w:sz w:val="24"/>
                <w:szCs w:val="24"/>
              </w:rPr>
              <w:t>2</w:t>
            </w:r>
            <w:r>
              <w:rPr>
                <w:sz w:val="24"/>
                <w:szCs w:val="24"/>
              </w:rPr>
              <w:t>）试制设备费</w:t>
            </w:r>
          </w:p>
        </w:tc>
        <w:tc>
          <w:tcPr>
            <w:tcW w:w="1620" w:type="dxa"/>
            <w:gridSpan w:val="2"/>
            <w:vAlign w:val="center"/>
          </w:tcPr>
          <w:p>
            <w:pPr>
              <w:spacing w:line="440" w:lineRule="exact"/>
              <w:rPr>
                <w:sz w:val="28"/>
              </w:rPr>
            </w:pPr>
          </w:p>
        </w:tc>
      </w:tr>
      <w:tr>
        <w:trPr>
          <w:cantSplit/>
          <w:trHeight w:val="630"/>
        </w:trPr>
        <w:tc>
          <w:tcPr>
            <w:tcW w:w="2340" w:type="dxa"/>
            <w:vAlign w:val="center"/>
          </w:tcPr>
          <w:p>
            <w:pPr>
              <w:spacing w:line="440" w:lineRule="exact"/>
              <w:rPr>
                <w:sz w:val="24"/>
              </w:rPr>
            </w:pPr>
            <w:r>
              <w:rPr>
                <w:sz w:val="24"/>
              </w:rPr>
              <w:t>3.</w:t>
            </w:r>
            <w:r>
              <w:rPr>
                <w:sz w:val="24"/>
              </w:rPr>
              <w:t>行业主管部门拨款</w:t>
            </w: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w:t>
            </w:r>
            <w:r>
              <w:rPr>
                <w:sz w:val="24"/>
                <w:szCs w:val="24"/>
              </w:rPr>
              <w:t>3</w:t>
            </w:r>
            <w:r>
              <w:rPr>
                <w:sz w:val="24"/>
                <w:szCs w:val="24"/>
              </w:rPr>
              <w:t>）设备改造与租赁费</w:t>
            </w:r>
          </w:p>
        </w:tc>
        <w:tc>
          <w:tcPr>
            <w:tcW w:w="1620" w:type="dxa"/>
            <w:gridSpan w:val="2"/>
            <w:vAlign w:val="center"/>
          </w:tcPr>
          <w:p>
            <w:pPr>
              <w:spacing w:line="440" w:lineRule="exact"/>
              <w:rPr>
                <w:sz w:val="28"/>
              </w:rPr>
            </w:pPr>
            <w:r>
              <w:rPr>
                <w:rFonts w:hint="eastAsia"/>
                <w:sz w:val="28"/>
              </w:rPr>
              <w:t>0</w:t>
            </w:r>
          </w:p>
        </w:tc>
      </w:tr>
      <w:tr>
        <w:trPr>
          <w:cantSplit/>
          <w:trHeight w:val="630"/>
        </w:trPr>
        <w:tc>
          <w:tcPr>
            <w:tcW w:w="2340" w:type="dxa"/>
            <w:vAlign w:val="center"/>
          </w:tcPr>
          <w:p>
            <w:pPr>
              <w:spacing w:line="440" w:lineRule="exact"/>
              <w:rPr>
                <w:sz w:val="24"/>
              </w:rPr>
            </w:pPr>
            <w:r>
              <w:rPr>
                <w:sz w:val="24"/>
              </w:rPr>
              <w:t>4.</w:t>
            </w:r>
            <w:r>
              <w:rPr>
                <w:sz w:val="24"/>
              </w:rPr>
              <w:t>市州县财政拨款</w:t>
            </w: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2</w:t>
            </w:r>
            <w:r>
              <w:rPr>
                <w:sz w:val="24"/>
                <w:szCs w:val="24"/>
              </w:rPr>
              <w:t>、材料费</w:t>
            </w:r>
          </w:p>
        </w:tc>
        <w:tc>
          <w:tcPr>
            <w:tcW w:w="1620" w:type="dxa"/>
            <w:gridSpan w:val="2"/>
            <w:vAlign w:val="center"/>
          </w:tcPr>
          <w:p>
            <w:pPr>
              <w:spacing w:line="440" w:lineRule="exact"/>
              <w:rPr>
                <w:sz w:val="28"/>
              </w:rPr>
            </w:pPr>
          </w:p>
        </w:tc>
      </w:tr>
      <w:tr>
        <w:trPr>
          <w:cantSplit/>
          <w:trHeight w:val="630"/>
        </w:trPr>
        <w:tc>
          <w:tcPr>
            <w:tcW w:w="2340" w:type="dxa"/>
            <w:vAlign w:val="center"/>
          </w:tcPr>
          <w:p>
            <w:pPr>
              <w:spacing w:line="440" w:lineRule="exact"/>
              <w:rPr>
                <w:sz w:val="24"/>
              </w:rPr>
            </w:pPr>
            <w:r>
              <w:rPr>
                <w:sz w:val="24"/>
              </w:rPr>
              <w:t>5.</w:t>
            </w:r>
            <w:r>
              <w:rPr>
                <w:sz w:val="24"/>
              </w:rPr>
              <w:t>银行贷款</w:t>
            </w: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3</w:t>
            </w:r>
            <w:r>
              <w:rPr>
                <w:sz w:val="24"/>
                <w:szCs w:val="24"/>
              </w:rPr>
              <w:t>、测试化验加工费</w:t>
            </w:r>
          </w:p>
        </w:tc>
        <w:tc>
          <w:tcPr>
            <w:tcW w:w="1620" w:type="dxa"/>
            <w:gridSpan w:val="2"/>
            <w:vAlign w:val="center"/>
          </w:tcPr>
          <w:p>
            <w:pPr>
              <w:spacing w:line="440" w:lineRule="exact"/>
              <w:rPr>
                <w:sz w:val="28"/>
              </w:rPr>
            </w:pPr>
          </w:p>
        </w:tc>
      </w:tr>
      <w:tr>
        <w:trPr>
          <w:cantSplit/>
          <w:trHeight w:val="630"/>
        </w:trPr>
        <w:tc>
          <w:tcPr>
            <w:tcW w:w="2340" w:type="dxa"/>
            <w:vAlign w:val="center"/>
          </w:tcPr>
          <w:p>
            <w:pPr>
              <w:spacing w:line="440" w:lineRule="exact"/>
              <w:rPr>
                <w:sz w:val="24"/>
              </w:rPr>
            </w:pPr>
            <w:r>
              <w:rPr>
                <w:sz w:val="24"/>
              </w:rPr>
              <w:t>6.</w:t>
            </w:r>
            <w:r>
              <w:rPr>
                <w:sz w:val="24"/>
              </w:rPr>
              <w:t>单位自筹</w:t>
            </w:r>
          </w:p>
        </w:tc>
        <w:tc>
          <w:tcPr>
            <w:tcW w:w="1620" w:type="dxa"/>
            <w:vAlign w:val="center"/>
          </w:tcPr>
          <w:p>
            <w:pPr>
              <w:spacing w:line="440" w:lineRule="exact"/>
              <w:rPr>
                <w:sz w:val="24"/>
              </w:rPr>
            </w:pPr>
            <w:r>
              <w:rPr>
                <w:rFonts w:hint="eastAsia"/>
                <w:sz w:val="24"/>
              </w:rPr>
              <w:t>430</w:t>
            </w:r>
          </w:p>
        </w:tc>
        <w:tc>
          <w:tcPr>
            <w:tcW w:w="3060" w:type="dxa"/>
            <w:gridSpan w:val="3"/>
            <w:vAlign w:val="center"/>
          </w:tcPr>
          <w:p>
            <w:pPr>
              <w:autoSpaceDE w:val="0"/>
              <w:autoSpaceDN w:val="0"/>
              <w:spacing w:line="440" w:lineRule="exact"/>
              <w:ind w:firstLineChars="100" w:firstLine="240"/>
              <w:rPr>
                <w:sz w:val="24"/>
                <w:szCs w:val="24"/>
              </w:rPr>
            </w:pPr>
            <w:r>
              <w:rPr>
                <w:sz w:val="24"/>
                <w:szCs w:val="24"/>
              </w:rPr>
              <w:t>4</w:t>
            </w:r>
            <w:r>
              <w:rPr>
                <w:sz w:val="24"/>
                <w:szCs w:val="24"/>
              </w:rPr>
              <w:t>、燃料动力费</w:t>
            </w:r>
          </w:p>
        </w:tc>
        <w:tc>
          <w:tcPr>
            <w:tcW w:w="1620" w:type="dxa"/>
            <w:gridSpan w:val="2"/>
            <w:vAlign w:val="center"/>
          </w:tcPr>
          <w:p>
            <w:pPr>
              <w:spacing w:line="440" w:lineRule="exact"/>
              <w:rPr>
                <w:sz w:val="28"/>
              </w:rPr>
            </w:pPr>
          </w:p>
        </w:tc>
      </w:tr>
      <w:tr>
        <w:trPr>
          <w:cantSplit/>
          <w:trHeight w:val="630"/>
        </w:trPr>
        <w:tc>
          <w:tcPr>
            <w:tcW w:w="2340" w:type="dxa"/>
            <w:vAlign w:val="center"/>
          </w:tcPr>
          <w:p>
            <w:pPr>
              <w:spacing w:line="440" w:lineRule="exact"/>
              <w:rPr>
                <w:sz w:val="24"/>
              </w:rPr>
            </w:pPr>
            <w:r>
              <w:rPr>
                <w:sz w:val="24"/>
              </w:rPr>
              <w:t>7.</w:t>
            </w:r>
            <w:r>
              <w:rPr>
                <w:sz w:val="24"/>
              </w:rPr>
              <w:t>其它来源</w:t>
            </w: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5</w:t>
            </w:r>
            <w:r>
              <w:rPr>
                <w:sz w:val="24"/>
                <w:szCs w:val="24"/>
              </w:rPr>
              <w:t>、差旅费</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4"/>
              </w:rPr>
            </w:pPr>
          </w:p>
        </w:tc>
        <w:tc>
          <w:tcPr>
            <w:tcW w:w="1620" w:type="dxa"/>
            <w:vAlign w:val="center"/>
          </w:tcPr>
          <w:p>
            <w:pPr>
              <w:spacing w:line="440" w:lineRule="exact"/>
              <w:rPr>
                <w:sz w:val="24"/>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6</w:t>
            </w:r>
            <w:r>
              <w:rPr>
                <w:sz w:val="24"/>
                <w:szCs w:val="24"/>
              </w:rPr>
              <w:t>、会议费</w:t>
            </w:r>
            <w:r>
              <w:rPr>
                <w:sz w:val="24"/>
                <w:szCs w:val="24"/>
              </w:rPr>
              <w:t xml:space="preserve"> </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8"/>
              </w:rPr>
            </w:pPr>
          </w:p>
        </w:tc>
        <w:tc>
          <w:tcPr>
            <w:tcW w:w="1620" w:type="dxa"/>
            <w:vAlign w:val="center"/>
          </w:tcPr>
          <w:p>
            <w:pPr>
              <w:spacing w:line="440" w:lineRule="exact"/>
              <w:rPr>
                <w:sz w:val="28"/>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7</w:t>
            </w:r>
            <w:r>
              <w:rPr>
                <w:sz w:val="24"/>
                <w:szCs w:val="24"/>
              </w:rPr>
              <w:t>、国际合作与交流费</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8"/>
              </w:rPr>
            </w:pPr>
          </w:p>
        </w:tc>
        <w:tc>
          <w:tcPr>
            <w:tcW w:w="1620" w:type="dxa"/>
            <w:vAlign w:val="center"/>
          </w:tcPr>
          <w:p>
            <w:pPr>
              <w:spacing w:line="440" w:lineRule="exact"/>
              <w:rPr>
                <w:sz w:val="28"/>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8</w:t>
            </w:r>
            <w:r>
              <w:rPr>
                <w:sz w:val="24"/>
                <w:szCs w:val="24"/>
              </w:rPr>
              <w:t>、出版</w:t>
            </w:r>
            <w:r>
              <w:rPr>
                <w:sz w:val="24"/>
                <w:szCs w:val="24"/>
              </w:rPr>
              <w:t>/</w:t>
            </w:r>
            <w:r>
              <w:rPr>
                <w:sz w:val="24"/>
                <w:szCs w:val="24"/>
              </w:rPr>
              <w:t>文献</w:t>
            </w:r>
            <w:r>
              <w:rPr>
                <w:sz w:val="24"/>
                <w:szCs w:val="24"/>
              </w:rPr>
              <w:t>/</w:t>
            </w:r>
            <w:r>
              <w:rPr>
                <w:sz w:val="24"/>
                <w:szCs w:val="24"/>
              </w:rPr>
              <w:t>信息传播</w:t>
            </w:r>
            <w:r>
              <w:rPr>
                <w:sz w:val="24"/>
                <w:szCs w:val="24"/>
              </w:rPr>
              <w:t>/</w:t>
            </w:r>
            <w:r>
              <w:rPr>
                <w:sz w:val="24"/>
                <w:szCs w:val="24"/>
              </w:rPr>
              <w:t>知识产权事务费</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8"/>
              </w:rPr>
            </w:pPr>
          </w:p>
        </w:tc>
        <w:tc>
          <w:tcPr>
            <w:tcW w:w="1620" w:type="dxa"/>
            <w:vAlign w:val="center"/>
          </w:tcPr>
          <w:p>
            <w:pPr>
              <w:spacing w:line="440" w:lineRule="exact"/>
              <w:rPr>
                <w:sz w:val="28"/>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9</w:t>
            </w:r>
            <w:r>
              <w:rPr>
                <w:sz w:val="24"/>
                <w:szCs w:val="24"/>
              </w:rPr>
              <w:t>、劳务费</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8"/>
              </w:rPr>
            </w:pPr>
          </w:p>
        </w:tc>
        <w:tc>
          <w:tcPr>
            <w:tcW w:w="1620" w:type="dxa"/>
            <w:vAlign w:val="center"/>
          </w:tcPr>
          <w:p>
            <w:pPr>
              <w:spacing w:line="440" w:lineRule="exact"/>
              <w:rPr>
                <w:sz w:val="28"/>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10</w:t>
            </w:r>
            <w:r>
              <w:rPr>
                <w:sz w:val="24"/>
                <w:szCs w:val="24"/>
              </w:rPr>
              <w:t>、专家咨询费</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8"/>
              </w:rPr>
            </w:pPr>
          </w:p>
        </w:tc>
        <w:tc>
          <w:tcPr>
            <w:tcW w:w="1620" w:type="dxa"/>
            <w:vAlign w:val="center"/>
          </w:tcPr>
          <w:p>
            <w:pPr>
              <w:spacing w:line="440" w:lineRule="exact"/>
              <w:rPr>
                <w:sz w:val="28"/>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11</w:t>
            </w:r>
            <w:r>
              <w:rPr>
                <w:sz w:val="24"/>
                <w:szCs w:val="24"/>
              </w:rPr>
              <w:t>、管理费</w:t>
            </w:r>
          </w:p>
        </w:tc>
        <w:tc>
          <w:tcPr>
            <w:tcW w:w="1620" w:type="dxa"/>
            <w:gridSpan w:val="2"/>
            <w:vAlign w:val="center"/>
          </w:tcPr>
          <w:p>
            <w:pPr>
              <w:spacing w:line="440" w:lineRule="exact"/>
              <w:rPr>
                <w:sz w:val="28"/>
              </w:rPr>
            </w:pPr>
          </w:p>
        </w:tc>
      </w:tr>
      <w:tr>
        <w:trPr>
          <w:trHeight w:val="630"/>
        </w:trPr>
        <w:tc>
          <w:tcPr>
            <w:tcW w:w="2340" w:type="dxa"/>
            <w:vAlign w:val="center"/>
          </w:tcPr>
          <w:p>
            <w:pPr>
              <w:spacing w:line="440" w:lineRule="exact"/>
              <w:jc w:val="center"/>
              <w:rPr>
                <w:sz w:val="28"/>
              </w:rPr>
            </w:pPr>
          </w:p>
        </w:tc>
        <w:tc>
          <w:tcPr>
            <w:tcW w:w="1620" w:type="dxa"/>
            <w:vAlign w:val="center"/>
          </w:tcPr>
          <w:p>
            <w:pPr>
              <w:spacing w:line="440" w:lineRule="exact"/>
              <w:rPr>
                <w:sz w:val="28"/>
              </w:rPr>
            </w:pPr>
          </w:p>
        </w:tc>
        <w:tc>
          <w:tcPr>
            <w:tcW w:w="3060" w:type="dxa"/>
            <w:gridSpan w:val="3"/>
            <w:vAlign w:val="center"/>
          </w:tcPr>
          <w:p>
            <w:pPr>
              <w:autoSpaceDE w:val="0"/>
              <w:autoSpaceDN w:val="0"/>
              <w:spacing w:line="440" w:lineRule="exact"/>
              <w:ind w:firstLineChars="100" w:firstLine="240"/>
              <w:rPr>
                <w:sz w:val="24"/>
                <w:szCs w:val="24"/>
              </w:rPr>
            </w:pPr>
            <w:r>
              <w:rPr>
                <w:sz w:val="24"/>
                <w:szCs w:val="24"/>
              </w:rPr>
              <w:t>12</w:t>
            </w:r>
            <w:r>
              <w:rPr>
                <w:sz w:val="24"/>
                <w:szCs w:val="24"/>
              </w:rPr>
              <w:t>、</w:t>
            </w:r>
            <w:r>
              <w:rPr>
                <w:sz w:val="24"/>
                <w:szCs w:val="24"/>
              </w:rPr>
              <w:t>……</w:t>
            </w:r>
          </w:p>
        </w:tc>
        <w:tc>
          <w:tcPr>
            <w:tcW w:w="1620" w:type="dxa"/>
            <w:gridSpan w:val="2"/>
            <w:vAlign w:val="center"/>
          </w:tcPr>
          <w:p>
            <w:pPr>
              <w:spacing w:line="440" w:lineRule="exact"/>
              <w:rPr>
                <w:sz w:val="28"/>
              </w:rPr>
            </w:pPr>
          </w:p>
        </w:tc>
      </w:tr>
      <w:tr>
        <w:trPr>
          <w:trHeight w:val="493"/>
        </w:trPr>
        <w:tc>
          <w:tcPr>
            <w:tcW w:w="2340" w:type="dxa"/>
            <w:vAlign w:val="center"/>
          </w:tcPr>
          <w:p>
            <w:pPr>
              <w:spacing w:line="440" w:lineRule="exact"/>
              <w:rPr>
                <w:sz w:val="28"/>
              </w:rPr>
            </w:pPr>
            <w:r>
              <w:rPr>
                <w:sz w:val="24"/>
              </w:rPr>
              <w:t>经费来源预算合计</w:t>
            </w:r>
          </w:p>
        </w:tc>
        <w:tc>
          <w:tcPr>
            <w:tcW w:w="1620" w:type="dxa"/>
            <w:vAlign w:val="center"/>
          </w:tcPr>
          <w:p>
            <w:pPr>
              <w:spacing w:line="440" w:lineRule="exact"/>
              <w:rPr>
                <w:sz w:val="28"/>
              </w:rPr>
            </w:pPr>
            <w:r>
              <w:rPr>
                <w:rFonts w:hint="eastAsia"/>
                <w:sz w:val="28"/>
              </w:rPr>
              <w:t>490</w:t>
            </w:r>
          </w:p>
        </w:tc>
        <w:tc>
          <w:tcPr>
            <w:tcW w:w="3060" w:type="dxa"/>
            <w:gridSpan w:val="3"/>
            <w:vAlign w:val="center"/>
          </w:tcPr>
          <w:p>
            <w:pPr>
              <w:spacing w:line="440" w:lineRule="exact"/>
              <w:rPr>
                <w:sz w:val="24"/>
              </w:rPr>
            </w:pPr>
            <w:r>
              <w:rPr>
                <w:sz w:val="24"/>
              </w:rPr>
              <w:t>经费支出预算合计</w:t>
            </w:r>
          </w:p>
        </w:tc>
        <w:tc>
          <w:tcPr>
            <w:tcW w:w="1620" w:type="dxa"/>
            <w:gridSpan w:val="2"/>
            <w:vAlign w:val="center"/>
          </w:tcPr>
          <w:p>
            <w:pPr>
              <w:spacing w:line="440" w:lineRule="exact"/>
              <w:rPr>
                <w:sz w:val="28"/>
              </w:rPr>
            </w:pPr>
          </w:p>
        </w:tc>
      </w:tr>
      <w:tr>
        <w:trPr>
          <w:cantSplit/>
          <w:trHeight w:val="630"/>
        </w:trPr>
        <w:tc>
          <w:tcPr>
            <w:tcW w:w="2340" w:type="dxa"/>
            <w:vMerge w:val="restart"/>
            <w:vAlign w:val="center"/>
          </w:tcPr>
          <w:p>
            <w:pPr>
              <w:spacing w:line="440" w:lineRule="exact"/>
              <w:jc w:val="center"/>
              <w:rPr>
                <w:sz w:val="24"/>
                <w:szCs w:val="24"/>
              </w:rPr>
            </w:pPr>
            <w:r>
              <w:rPr>
                <w:sz w:val="24"/>
                <w:szCs w:val="24"/>
              </w:rPr>
              <w:t>申请省科技厅拨款预算</w:t>
            </w:r>
          </w:p>
        </w:tc>
        <w:tc>
          <w:tcPr>
            <w:tcW w:w="1620" w:type="dxa"/>
            <w:vAlign w:val="center"/>
          </w:tcPr>
          <w:p>
            <w:pPr>
              <w:spacing w:line="440" w:lineRule="exact"/>
              <w:jc w:val="center"/>
              <w:rPr>
                <w:sz w:val="24"/>
                <w:szCs w:val="24"/>
              </w:rPr>
            </w:pPr>
            <w:r>
              <w:rPr>
                <w:sz w:val="24"/>
                <w:szCs w:val="24"/>
              </w:rPr>
              <w:t>年度</w:t>
            </w:r>
          </w:p>
        </w:tc>
        <w:tc>
          <w:tcPr>
            <w:tcW w:w="1440" w:type="dxa"/>
            <w:vAlign w:val="center"/>
          </w:tcPr>
          <w:p>
            <w:pPr>
              <w:spacing w:line="440" w:lineRule="exact"/>
              <w:rPr>
                <w:sz w:val="24"/>
                <w:szCs w:val="24"/>
              </w:rPr>
            </w:pPr>
            <w:r>
              <w:rPr>
                <w:sz w:val="24"/>
                <w:szCs w:val="24"/>
              </w:rPr>
              <w:t>20</w:t>
            </w:r>
            <w:r>
              <w:rPr>
                <w:rFonts w:hint="eastAsia"/>
                <w:sz w:val="24"/>
                <w:szCs w:val="24"/>
              </w:rPr>
              <w:t>10</w:t>
            </w:r>
            <w:r>
              <w:rPr>
                <w:sz w:val="24"/>
                <w:szCs w:val="24"/>
              </w:rPr>
              <w:t xml:space="preserve"> </w:t>
            </w:r>
            <w:r>
              <w:rPr>
                <w:sz w:val="24"/>
                <w:szCs w:val="24"/>
              </w:rPr>
              <w:t>年</w:t>
            </w:r>
          </w:p>
        </w:tc>
        <w:tc>
          <w:tcPr>
            <w:tcW w:w="1080" w:type="dxa"/>
            <w:vAlign w:val="center"/>
          </w:tcPr>
          <w:p>
            <w:pPr>
              <w:spacing w:line="440" w:lineRule="exact"/>
              <w:rPr>
                <w:sz w:val="24"/>
                <w:szCs w:val="24"/>
              </w:rPr>
            </w:pPr>
            <w:r>
              <w:rPr>
                <w:sz w:val="24"/>
                <w:szCs w:val="24"/>
              </w:rPr>
              <w:t xml:space="preserve">20   </w:t>
            </w:r>
            <w:r>
              <w:rPr>
                <w:sz w:val="24"/>
                <w:szCs w:val="24"/>
              </w:rPr>
              <w:t>年</w:t>
            </w:r>
          </w:p>
        </w:tc>
        <w:tc>
          <w:tcPr>
            <w:tcW w:w="1080" w:type="dxa"/>
            <w:gridSpan w:val="2"/>
            <w:vAlign w:val="center"/>
          </w:tcPr>
          <w:p>
            <w:pPr>
              <w:spacing w:line="440" w:lineRule="exact"/>
              <w:rPr>
                <w:sz w:val="24"/>
                <w:szCs w:val="24"/>
              </w:rPr>
            </w:pPr>
            <w:r>
              <w:rPr>
                <w:sz w:val="24"/>
                <w:szCs w:val="24"/>
              </w:rPr>
              <w:t xml:space="preserve">20   </w:t>
            </w:r>
            <w:r>
              <w:rPr>
                <w:sz w:val="24"/>
                <w:szCs w:val="24"/>
              </w:rPr>
              <w:t>年</w:t>
            </w:r>
          </w:p>
        </w:tc>
        <w:tc>
          <w:tcPr>
            <w:tcW w:w="1080" w:type="dxa"/>
            <w:vAlign w:val="center"/>
          </w:tcPr>
          <w:p>
            <w:pPr>
              <w:spacing w:line="440" w:lineRule="exact"/>
              <w:rPr>
                <w:sz w:val="24"/>
                <w:szCs w:val="24"/>
              </w:rPr>
            </w:pPr>
            <w:r>
              <w:rPr>
                <w:sz w:val="24"/>
                <w:szCs w:val="24"/>
              </w:rPr>
              <w:t>总计</w:t>
            </w:r>
          </w:p>
        </w:tc>
      </w:tr>
      <w:tr>
        <w:trPr>
          <w:cantSplit/>
          <w:trHeight w:val="630"/>
        </w:trPr>
        <w:tc>
          <w:tcPr>
            <w:tcW w:w="2340" w:type="dxa"/>
            <w:vMerge/>
            <w:vAlign w:val="center"/>
          </w:tcPr>
          <w:p>
            <w:pPr>
              <w:spacing w:line="440" w:lineRule="exact"/>
              <w:jc w:val="center"/>
              <w:rPr>
                <w:sz w:val="24"/>
                <w:szCs w:val="24"/>
              </w:rPr>
            </w:pPr>
          </w:p>
        </w:tc>
        <w:tc>
          <w:tcPr>
            <w:tcW w:w="1620" w:type="dxa"/>
            <w:vAlign w:val="center"/>
          </w:tcPr>
          <w:p>
            <w:pPr>
              <w:spacing w:line="440" w:lineRule="exact"/>
              <w:jc w:val="center"/>
              <w:rPr>
                <w:sz w:val="24"/>
                <w:szCs w:val="24"/>
              </w:rPr>
            </w:pPr>
            <w:r>
              <w:rPr>
                <w:sz w:val="24"/>
                <w:szCs w:val="24"/>
              </w:rPr>
              <w:t>经费</w:t>
            </w:r>
          </w:p>
        </w:tc>
        <w:tc>
          <w:tcPr>
            <w:tcW w:w="1440" w:type="dxa"/>
            <w:vAlign w:val="center"/>
          </w:tcPr>
          <w:p>
            <w:pPr>
              <w:spacing w:line="440" w:lineRule="exact"/>
              <w:rPr>
                <w:sz w:val="24"/>
                <w:szCs w:val="24"/>
              </w:rPr>
            </w:pPr>
            <w:r>
              <w:rPr>
                <w:rFonts w:hint="eastAsia"/>
                <w:sz w:val="24"/>
                <w:szCs w:val="24"/>
              </w:rPr>
              <w:t>60</w:t>
            </w:r>
          </w:p>
        </w:tc>
        <w:tc>
          <w:tcPr>
            <w:tcW w:w="1080" w:type="dxa"/>
            <w:vAlign w:val="center"/>
          </w:tcPr>
          <w:p>
            <w:pPr>
              <w:spacing w:line="440" w:lineRule="exact"/>
              <w:rPr>
                <w:sz w:val="24"/>
                <w:szCs w:val="24"/>
              </w:rPr>
            </w:pPr>
            <w:r>
              <w:rPr>
                <w:sz w:val="24"/>
                <w:szCs w:val="24"/>
              </w:rPr>
              <w:t xml:space="preserve"> </w:t>
            </w:r>
          </w:p>
        </w:tc>
        <w:tc>
          <w:tcPr>
            <w:tcW w:w="1080" w:type="dxa"/>
            <w:gridSpan w:val="2"/>
            <w:vAlign w:val="center"/>
          </w:tcPr>
          <w:p>
            <w:pPr>
              <w:spacing w:line="440" w:lineRule="exact"/>
              <w:rPr>
                <w:sz w:val="24"/>
                <w:szCs w:val="24"/>
              </w:rPr>
            </w:pPr>
            <w:r>
              <w:rPr>
                <w:sz w:val="24"/>
                <w:szCs w:val="24"/>
              </w:rPr>
              <w:t xml:space="preserve">  </w:t>
            </w:r>
          </w:p>
        </w:tc>
        <w:tc>
          <w:tcPr>
            <w:tcW w:w="1080" w:type="dxa"/>
            <w:vAlign w:val="center"/>
          </w:tcPr>
          <w:p>
            <w:pPr>
              <w:spacing w:line="440" w:lineRule="exact"/>
              <w:rPr>
                <w:sz w:val="24"/>
                <w:szCs w:val="24"/>
              </w:rPr>
            </w:pPr>
            <w:r>
              <w:rPr>
                <w:rFonts w:hint="eastAsia"/>
                <w:sz w:val="24"/>
                <w:szCs w:val="24"/>
              </w:rPr>
              <w:t>60</w:t>
            </w:r>
          </w:p>
        </w:tc>
      </w:tr>
    </w:tbl>
    <w:p>
      <w:pPr>
        <w:rPr>
          <w:b/>
          <w:sz w:val="52"/>
          <w:szCs w:val="52"/>
        </w:rPr>
      </w:pPr>
      <w:r>
        <w:rPr>
          <w:sz w:val="24"/>
        </w:rPr>
        <w:br w:type="page"/>
      </w:r>
    </w:p>
    <w:tbl>
      <w:tblPr>
        <w:tblpPr w:vertAnchor="text"/>
        <w:tblW w:w="9312" w:type="dxa"/>
        <w:tblLayout w:type="fixed"/>
        <w:tblCellMar>
          <w:left w:w="0" w:type="dxa"/>
          <w:right w:w="0" w:type="dxa"/>
        </w:tblCellMar>
        <w:tblLook w:val="0000" w:firstRow="0" w:lastRow="0" w:firstColumn="0" w:lastColumn="0" w:noHBand="0" w:noVBand="0"/>
      </w:tblPr>
      <w:tblGrid>
        <w:gridCol w:w="533"/>
        <w:gridCol w:w="116"/>
        <w:gridCol w:w="899"/>
        <w:gridCol w:w="81"/>
        <w:gridCol w:w="358"/>
        <w:gridCol w:w="276"/>
        <w:gridCol w:w="638"/>
        <w:gridCol w:w="124"/>
        <w:gridCol w:w="317"/>
        <w:gridCol w:w="352"/>
        <w:gridCol w:w="323"/>
        <w:gridCol w:w="241"/>
        <w:gridCol w:w="265"/>
        <w:gridCol w:w="392"/>
        <w:gridCol w:w="53"/>
        <w:gridCol w:w="228"/>
        <w:gridCol w:w="127"/>
        <w:gridCol w:w="247"/>
        <w:gridCol w:w="131"/>
        <w:gridCol w:w="360"/>
        <w:gridCol w:w="158"/>
        <w:gridCol w:w="247"/>
        <w:gridCol w:w="138"/>
        <w:gridCol w:w="273"/>
        <w:gridCol w:w="71"/>
        <w:gridCol w:w="101"/>
        <w:gridCol w:w="133"/>
        <w:gridCol w:w="201"/>
        <w:gridCol w:w="149"/>
        <w:gridCol w:w="175"/>
        <w:gridCol w:w="660"/>
        <w:gridCol w:w="178"/>
        <w:gridCol w:w="767"/>
      </w:tblGrid>
      <w:tr>
        <w:trPr>
          <w:cantSplit/>
          <w:trHeight w:val="285"/>
        </w:trPr>
        <w:tc>
          <w:tcPr>
            <w:tcW w:w="9312" w:type="dxa"/>
            <w:gridSpan w:val="33"/>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pPr>
              <w:rPr>
                <w:szCs w:val="21"/>
              </w:rPr>
            </w:pPr>
            <w:r>
              <w:rPr>
                <w:rFonts w:eastAsia="黑体"/>
                <w:sz w:val="28"/>
              </w:rPr>
              <w:lastRenderedPageBreak/>
              <w:t>九、项目承担单位、协作单位及主要研究人员情况。</w:t>
            </w:r>
          </w:p>
        </w:tc>
      </w:tr>
      <w:tr>
        <w:trPr>
          <w:trHeight w:val="636"/>
        </w:trPr>
        <w:tc>
          <w:tcPr>
            <w:tcW w:w="1987" w:type="dxa"/>
            <w:gridSpan w:val="5"/>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pPr>
              <w:jc w:val="center"/>
            </w:pPr>
            <w:r>
              <w:t>项目名称</w:t>
            </w:r>
          </w:p>
        </w:tc>
        <w:tc>
          <w:tcPr>
            <w:tcW w:w="7325" w:type="dxa"/>
            <w:gridSpan w:val="28"/>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pPr>
              <w:spacing w:before="30" w:after="30"/>
              <w:jc w:val="center"/>
              <w:rPr>
                <w:szCs w:val="21"/>
              </w:rPr>
            </w:pPr>
            <w:r>
              <w:t>第</w:t>
            </w:r>
          </w:p>
          <w:p>
            <w:pPr>
              <w:jc w:val="center"/>
              <w:rPr>
                <w:szCs w:val="21"/>
              </w:rPr>
            </w:pPr>
            <w:r>
              <w:t>一</w:t>
            </w:r>
          </w:p>
          <w:p>
            <w:pPr>
              <w:jc w:val="center"/>
              <w:rPr>
                <w:szCs w:val="21"/>
              </w:rPr>
            </w:pPr>
            <w:r>
              <w:t>承</w:t>
            </w:r>
          </w:p>
          <w:p>
            <w:pPr>
              <w:jc w:val="center"/>
              <w:rPr>
                <w:szCs w:val="21"/>
              </w:rPr>
            </w:pPr>
            <w:r>
              <w:t>担</w:t>
            </w:r>
          </w:p>
          <w:p>
            <w:pPr>
              <w:jc w:val="center"/>
              <w:rPr>
                <w:szCs w:val="21"/>
              </w:rPr>
            </w:pPr>
            <w:r>
              <w:t>单</w:t>
            </w:r>
          </w:p>
          <w:p>
            <w:pPr>
              <w:jc w:val="center"/>
              <w:rPr>
                <w:szCs w:val="21"/>
              </w:rPr>
            </w:pPr>
            <w:r>
              <w:t>位</w:t>
            </w: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单位名称</w:t>
            </w:r>
          </w:p>
        </w:tc>
        <w:tc>
          <w:tcPr>
            <w:tcW w:w="7325" w:type="dxa"/>
            <w:gridSpan w:val="2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地址</w:t>
            </w:r>
          </w:p>
        </w:tc>
        <w:tc>
          <w:tcPr>
            <w:tcW w:w="3583" w:type="dxa"/>
            <w:gridSpan w:val="13"/>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307"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邮编</w:t>
            </w:r>
          </w:p>
        </w:tc>
        <w:tc>
          <w:tcPr>
            <w:tcW w:w="2435"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负责人</w:t>
            </w:r>
          </w:p>
        </w:tc>
        <w:tc>
          <w:tcPr>
            <w:tcW w:w="3583" w:type="dxa"/>
            <w:gridSpan w:val="13"/>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307"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联系人</w:t>
            </w:r>
          </w:p>
        </w:tc>
        <w:tc>
          <w:tcPr>
            <w:tcW w:w="2435"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联系人电话</w:t>
            </w:r>
          </w:p>
        </w:tc>
        <w:tc>
          <w:tcPr>
            <w:tcW w:w="3583" w:type="dxa"/>
            <w:gridSpan w:val="13"/>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307"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联系人手</w:t>
            </w:r>
            <w:r>
              <w:t> </w:t>
            </w:r>
            <w:r>
              <w:t>机</w:t>
            </w:r>
          </w:p>
        </w:tc>
        <w:tc>
          <w:tcPr>
            <w:tcW w:w="2435"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职工人数</w:t>
            </w:r>
          </w:p>
        </w:tc>
        <w:tc>
          <w:tcPr>
            <w:tcW w:w="10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233"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经济类型</w:t>
            </w:r>
          </w:p>
        </w:tc>
        <w:tc>
          <w:tcPr>
            <w:tcW w:w="1312"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962" w:type="dxa"/>
            <w:gridSpan w:val="11"/>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上级行政主管部门</w:t>
            </w:r>
          </w:p>
        </w:tc>
        <w:tc>
          <w:tcPr>
            <w:tcW w:w="1780"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980"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资产状况（单位：万元）（限企业填写）</w:t>
            </w:r>
          </w:p>
        </w:tc>
        <w:tc>
          <w:tcPr>
            <w:tcW w:w="2388" w:type="dxa"/>
            <w:gridSpan w:val="7"/>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资产总额</w:t>
            </w:r>
          </w:p>
        </w:tc>
        <w:tc>
          <w:tcPr>
            <w:tcW w:w="89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551" w:type="dxa"/>
            <w:gridSpan w:val="8"/>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负债</w:t>
            </w:r>
          </w:p>
          <w:p>
            <w:pPr>
              <w:jc w:val="center"/>
              <w:rPr>
                <w:szCs w:val="21"/>
              </w:rPr>
            </w:pPr>
            <w:r>
              <w:t>总额</w:t>
            </w:r>
          </w:p>
        </w:tc>
        <w:tc>
          <w:tcPr>
            <w:tcW w:w="2846" w:type="dxa"/>
            <w:gridSpan w:val="11"/>
            <w:tcBorders>
              <w:top w:val="nil"/>
              <w:left w:val="nil"/>
              <w:bottom w:val="single" w:sz="8" w:space="0" w:color="auto"/>
              <w:right w:val="single" w:sz="8" w:space="0" w:color="auto"/>
            </w:tcBorders>
            <w:tcMar>
              <w:top w:w="0" w:type="dxa"/>
              <w:left w:w="108" w:type="dxa"/>
              <w:bottom w:w="0" w:type="dxa"/>
              <w:right w:w="108" w:type="dxa"/>
            </w:tcMa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980" w:type="dxa"/>
            <w:gridSpan w:val="2"/>
            <w:vMerge/>
            <w:tcBorders>
              <w:top w:val="nil"/>
              <w:left w:val="nil"/>
              <w:bottom w:val="single" w:sz="8" w:space="0" w:color="auto"/>
              <w:right w:val="single" w:sz="8" w:space="0" w:color="auto"/>
            </w:tcBorders>
            <w:vAlign w:val="center"/>
          </w:tcPr>
          <w:p>
            <w:pPr>
              <w:jc w:val="left"/>
              <w:rPr>
                <w:szCs w:val="21"/>
              </w:rPr>
            </w:pPr>
          </w:p>
        </w:tc>
        <w:tc>
          <w:tcPr>
            <w:tcW w:w="2388" w:type="dxa"/>
            <w:gridSpan w:val="7"/>
            <w:tcBorders>
              <w:top w:val="nil"/>
              <w:left w:val="nil"/>
              <w:bottom w:val="single" w:sz="8" w:space="0" w:color="auto"/>
              <w:right w:val="single" w:sz="8" w:space="0" w:color="auto"/>
            </w:tcBorders>
            <w:vAlign w:val="center"/>
          </w:tcPr>
          <w:p>
            <w:pPr>
              <w:jc w:val="center"/>
              <w:rPr>
                <w:szCs w:val="21"/>
              </w:rPr>
            </w:pPr>
            <w:r>
              <w:t>固定资产原值</w:t>
            </w:r>
          </w:p>
        </w:tc>
        <w:tc>
          <w:tcPr>
            <w:tcW w:w="898" w:type="dxa"/>
            <w:gridSpan w:val="3"/>
            <w:tcBorders>
              <w:top w:val="nil"/>
              <w:left w:val="nil"/>
              <w:bottom w:val="single" w:sz="8" w:space="0" w:color="auto"/>
              <w:right w:val="single" w:sz="8" w:space="0" w:color="auto"/>
            </w:tcBorders>
            <w:vAlign w:val="center"/>
          </w:tcPr>
          <w:p>
            <w:pPr>
              <w:jc w:val="center"/>
              <w:rPr>
                <w:szCs w:val="21"/>
              </w:rPr>
            </w:pPr>
          </w:p>
        </w:tc>
        <w:tc>
          <w:tcPr>
            <w:tcW w:w="1551" w:type="dxa"/>
            <w:gridSpan w:val="8"/>
            <w:vMerge/>
            <w:tcBorders>
              <w:top w:val="nil"/>
              <w:left w:val="nil"/>
              <w:bottom w:val="single" w:sz="8" w:space="0" w:color="auto"/>
              <w:right w:val="single" w:sz="8" w:space="0" w:color="auto"/>
            </w:tcBorders>
            <w:vAlign w:val="center"/>
          </w:tcPr>
          <w:p>
            <w:pPr>
              <w:jc w:val="left"/>
              <w:rPr>
                <w:szCs w:val="21"/>
              </w:rPr>
            </w:pPr>
          </w:p>
        </w:tc>
        <w:tc>
          <w:tcPr>
            <w:tcW w:w="1901"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其中流动负债</w:t>
            </w:r>
          </w:p>
        </w:tc>
        <w:tc>
          <w:tcPr>
            <w:tcW w:w="945" w:type="dxa"/>
            <w:gridSpan w:val="2"/>
            <w:tcBorders>
              <w:top w:val="nil"/>
              <w:left w:val="nil"/>
              <w:bottom w:val="single" w:sz="8" w:space="0" w:color="auto"/>
              <w:right w:val="single" w:sz="8" w:space="0" w:color="auto"/>
            </w:tcBorders>
            <w:tcMar>
              <w:top w:w="0" w:type="dxa"/>
              <w:left w:w="108" w:type="dxa"/>
              <w:bottom w:w="0" w:type="dxa"/>
              <w:right w:w="108" w:type="dxa"/>
            </w:tcMa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980" w:type="dxa"/>
            <w:gridSpan w:val="2"/>
            <w:vMerge/>
            <w:tcBorders>
              <w:top w:val="nil"/>
              <w:left w:val="nil"/>
              <w:bottom w:val="single" w:sz="8" w:space="0" w:color="auto"/>
              <w:right w:val="single" w:sz="8" w:space="0" w:color="auto"/>
            </w:tcBorders>
            <w:vAlign w:val="center"/>
          </w:tcPr>
          <w:p>
            <w:pPr>
              <w:jc w:val="left"/>
              <w:rPr>
                <w:szCs w:val="21"/>
              </w:rPr>
            </w:pPr>
          </w:p>
        </w:tc>
        <w:tc>
          <w:tcPr>
            <w:tcW w:w="2388" w:type="dxa"/>
            <w:gridSpan w:val="7"/>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固定资产净值</w:t>
            </w:r>
          </w:p>
        </w:tc>
        <w:tc>
          <w:tcPr>
            <w:tcW w:w="89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p>
        </w:tc>
        <w:tc>
          <w:tcPr>
            <w:tcW w:w="1551" w:type="dxa"/>
            <w:gridSpan w:val="8"/>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销售收入总额</w:t>
            </w:r>
          </w:p>
        </w:tc>
        <w:tc>
          <w:tcPr>
            <w:tcW w:w="2846" w:type="dxa"/>
            <w:gridSpan w:val="11"/>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980" w:type="dxa"/>
            <w:gridSpan w:val="2"/>
            <w:vMerge/>
            <w:tcBorders>
              <w:top w:val="nil"/>
              <w:left w:val="nil"/>
              <w:bottom w:val="single" w:sz="8" w:space="0" w:color="auto"/>
              <w:right w:val="single" w:sz="8" w:space="0" w:color="auto"/>
            </w:tcBorders>
            <w:vAlign w:val="center"/>
          </w:tcPr>
          <w:p>
            <w:pPr>
              <w:jc w:val="left"/>
              <w:rPr>
                <w:szCs w:val="21"/>
              </w:rPr>
            </w:pPr>
          </w:p>
        </w:tc>
        <w:tc>
          <w:tcPr>
            <w:tcW w:w="2388" w:type="dxa"/>
            <w:gridSpan w:val="7"/>
            <w:tcBorders>
              <w:top w:val="nil"/>
              <w:left w:val="nil"/>
              <w:bottom w:val="single" w:sz="8" w:space="0" w:color="auto"/>
              <w:right w:val="single" w:sz="8" w:space="0" w:color="auto"/>
            </w:tcBorders>
            <w:vAlign w:val="center"/>
          </w:tcPr>
          <w:p>
            <w:pPr>
              <w:jc w:val="center"/>
              <w:rPr>
                <w:szCs w:val="21"/>
              </w:rPr>
            </w:pPr>
            <w:r>
              <w:t>流动资产</w:t>
            </w:r>
          </w:p>
        </w:tc>
        <w:tc>
          <w:tcPr>
            <w:tcW w:w="898" w:type="dxa"/>
            <w:gridSpan w:val="3"/>
            <w:tcBorders>
              <w:top w:val="nil"/>
              <w:left w:val="nil"/>
              <w:bottom w:val="single" w:sz="8" w:space="0" w:color="auto"/>
              <w:right w:val="single" w:sz="8" w:space="0" w:color="auto"/>
            </w:tcBorders>
            <w:vAlign w:val="center"/>
          </w:tcPr>
          <w:p>
            <w:pPr>
              <w:jc w:val="center"/>
              <w:rPr>
                <w:szCs w:val="21"/>
              </w:rPr>
            </w:pPr>
          </w:p>
        </w:tc>
        <w:tc>
          <w:tcPr>
            <w:tcW w:w="1551" w:type="dxa"/>
            <w:gridSpan w:val="8"/>
            <w:vMerge/>
            <w:tcBorders>
              <w:top w:val="nil"/>
              <w:left w:val="nil"/>
              <w:bottom w:val="single" w:sz="8" w:space="0" w:color="auto"/>
              <w:right w:val="single" w:sz="8" w:space="0" w:color="auto"/>
            </w:tcBorders>
            <w:vAlign w:val="center"/>
          </w:tcPr>
          <w:p>
            <w:pPr>
              <w:jc w:val="left"/>
              <w:rPr>
                <w:szCs w:val="21"/>
              </w:rPr>
            </w:pPr>
          </w:p>
        </w:tc>
        <w:tc>
          <w:tcPr>
            <w:tcW w:w="1901"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主营业务收入</w:t>
            </w:r>
          </w:p>
        </w:tc>
        <w:tc>
          <w:tcPr>
            <w:tcW w:w="945" w:type="dxa"/>
            <w:gridSpan w:val="2"/>
            <w:tcBorders>
              <w:top w:val="nil"/>
              <w:left w:val="nil"/>
              <w:bottom w:val="single" w:sz="8" w:space="0" w:color="auto"/>
              <w:right w:val="single" w:sz="8" w:space="0" w:color="auto"/>
            </w:tcBorders>
            <w:tcMar>
              <w:top w:w="0" w:type="dxa"/>
              <w:left w:w="108" w:type="dxa"/>
              <w:bottom w:w="0" w:type="dxa"/>
              <w:right w:w="108" w:type="dxa"/>
            </w:tcMa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980" w:type="dxa"/>
            <w:gridSpan w:val="2"/>
            <w:vMerge/>
            <w:tcBorders>
              <w:top w:val="nil"/>
              <w:left w:val="nil"/>
              <w:bottom w:val="single" w:sz="8" w:space="0" w:color="auto"/>
              <w:right w:val="single" w:sz="8" w:space="0" w:color="auto"/>
            </w:tcBorders>
            <w:vAlign w:val="center"/>
          </w:tcPr>
          <w:p>
            <w:pPr>
              <w:jc w:val="left"/>
              <w:rPr>
                <w:szCs w:val="21"/>
              </w:rPr>
            </w:pPr>
          </w:p>
        </w:tc>
        <w:tc>
          <w:tcPr>
            <w:tcW w:w="2388" w:type="dxa"/>
            <w:gridSpan w:val="7"/>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所有者权益总额</w:t>
            </w:r>
          </w:p>
        </w:tc>
        <w:tc>
          <w:tcPr>
            <w:tcW w:w="89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p>
        </w:tc>
        <w:tc>
          <w:tcPr>
            <w:tcW w:w="2468" w:type="dxa"/>
            <w:gridSpan w:val="14"/>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税后利润总额</w:t>
            </w:r>
          </w:p>
        </w:tc>
        <w:tc>
          <w:tcPr>
            <w:tcW w:w="1929" w:type="dxa"/>
            <w:gridSpan w:val="5"/>
            <w:tcBorders>
              <w:top w:val="nil"/>
              <w:left w:val="nil"/>
              <w:bottom w:val="single" w:sz="8" w:space="0" w:color="auto"/>
              <w:right w:val="single" w:sz="8" w:space="0" w:color="auto"/>
            </w:tcBorders>
            <w:tcMar>
              <w:top w:w="0" w:type="dxa"/>
              <w:left w:w="108" w:type="dxa"/>
              <w:bottom w:w="0" w:type="dxa"/>
              <w:right w:w="108" w:type="dxa"/>
            </w:tcMar>
          </w:tcPr>
          <w:p>
            <w:pPr>
              <w:rPr>
                <w:szCs w:val="21"/>
              </w:rPr>
            </w:pPr>
          </w:p>
        </w:tc>
      </w:tr>
      <w:tr>
        <w:trPr>
          <w:cantSplit/>
          <w:trHeight w:val="391"/>
        </w:trPr>
        <w:tc>
          <w:tcPr>
            <w:tcW w:w="649"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pPr>
              <w:jc w:val="center"/>
              <w:rPr>
                <w:szCs w:val="21"/>
              </w:rPr>
            </w:pPr>
            <w:r>
              <w:t>协作单位</w:t>
            </w:r>
          </w:p>
        </w:tc>
        <w:tc>
          <w:tcPr>
            <w:tcW w:w="4674" w:type="dxa"/>
            <w:gridSpan w:val="15"/>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名称</w:t>
            </w:r>
          </w:p>
        </w:tc>
        <w:tc>
          <w:tcPr>
            <w:tcW w:w="3989" w:type="dxa"/>
            <w:gridSpan w:val="16"/>
            <w:tcBorders>
              <w:top w:val="nil"/>
              <w:left w:val="nil"/>
              <w:bottom w:val="single" w:sz="8" w:space="0" w:color="auto"/>
              <w:right w:val="single" w:sz="8" w:space="0" w:color="auto"/>
            </w:tcBorders>
            <w:tcMar>
              <w:top w:w="0" w:type="dxa"/>
              <w:left w:w="108" w:type="dxa"/>
              <w:bottom w:w="0" w:type="dxa"/>
              <w:right w:w="108" w:type="dxa"/>
            </w:tcMar>
            <w:vAlign w:val="center"/>
          </w:tcPr>
          <w:p>
            <w:pPr>
              <w:ind w:left="42"/>
              <w:jc w:val="center"/>
              <w:rPr>
                <w:szCs w:val="21"/>
              </w:rPr>
            </w:pPr>
            <w:r>
              <w:t>在本项目中分工</w:t>
            </w: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4674" w:type="dxa"/>
            <w:gridSpan w:val="15"/>
            <w:tcBorders>
              <w:top w:val="nil"/>
              <w:left w:val="nil"/>
              <w:bottom w:val="single" w:sz="8" w:space="0" w:color="auto"/>
              <w:right w:val="single" w:sz="8" w:space="0" w:color="auto"/>
            </w:tcBorders>
            <w:tcMar>
              <w:top w:w="0" w:type="dxa"/>
              <w:left w:w="108" w:type="dxa"/>
              <w:bottom w:w="0" w:type="dxa"/>
              <w:right w:w="108" w:type="dxa"/>
            </w:tcMar>
            <w:vAlign w:val="center"/>
          </w:tcPr>
          <w:p>
            <w:pPr>
              <w:jc w:val="left"/>
              <w:rPr>
                <w:sz w:val="24"/>
              </w:rPr>
            </w:pPr>
          </w:p>
        </w:tc>
        <w:tc>
          <w:tcPr>
            <w:tcW w:w="3989" w:type="dxa"/>
            <w:gridSpan w:val="16"/>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 </w:t>
            </w: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4674" w:type="dxa"/>
            <w:gridSpan w:val="15"/>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 </w:t>
            </w:r>
          </w:p>
        </w:tc>
        <w:tc>
          <w:tcPr>
            <w:tcW w:w="3989" w:type="dxa"/>
            <w:gridSpan w:val="16"/>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 </w:t>
            </w: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4674" w:type="dxa"/>
            <w:gridSpan w:val="15"/>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 </w:t>
            </w:r>
          </w:p>
        </w:tc>
        <w:tc>
          <w:tcPr>
            <w:tcW w:w="3989" w:type="dxa"/>
            <w:gridSpan w:val="16"/>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r>
              <w:t> </w:t>
            </w:r>
          </w:p>
        </w:tc>
      </w:tr>
      <w:tr>
        <w:trPr>
          <w:cantSplit/>
          <w:trHeight w:val="391"/>
        </w:trPr>
        <w:tc>
          <w:tcPr>
            <w:tcW w:w="649"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pPr>
              <w:jc w:val="center"/>
              <w:rPr>
                <w:szCs w:val="21"/>
              </w:rPr>
            </w:pPr>
            <w:r>
              <w:t>项目负责人</w:t>
            </w: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姓名</w:t>
            </w:r>
          </w:p>
        </w:tc>
        <w:tc>
          <w:tcPr>
            <w:tcW w:w="2030"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89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性别</w:t>
            </w:r>
          </w:p>
        </w:tc>
        <w:tc>
          <w:tcPr>
            <w:tcW w:w="786"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1247"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出生年月</w:t>
            </w:r>
          </w:p>
        </w:tc>
        <w:tc>
          <w:tcPr>
            <w:tcW w:w="2364"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学历（学位）</w:t>
            </w:r>
          </w:p>
        </w:tc>
        <w:tc>
          <w:tcPr>
            <w:tcW w:w="1355"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675"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职称</w:t>
            </w:r>
          </w:p>
        </w:tc>
        <w:tc>
          <w:tcPr>
            <w:tcW w:w="2202"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963"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电话</w:t>
            </w:r>
          </w:p>
        </w:tc>
        <w:tc>
          <w:tcPr>
            <w:tcW w:w="2130"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从事专业</w:t>
            </w:r>
          </w:p>
        </w:tc>
        <w:tc>
          <w:tcPr>
            <w:tcW w:w="7325" w:type="dxa"/>
            <w:gridSpan w:val="2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trHeight w:val="391"/>
        </w:trPr>
        <w:tc>
          <w:tcPr>
            <w:tcW w:w="1987" w:type="dxa"/>
            <w:gridSpan w:val="5"/>
            <w:tcBorders>
              <w:top w:val="nil"/>
              <w:left w:val="single" w:sz="8" w:space="0" w:color="auto"/>
              <w:bottom w:val="single" w:sz="8" w:space="0" w:color="auto"/>
              <w:right w:val="single" w:sz="8" w:space="0" w:color="auto"/>
            </w:tcBorders>
            <w:vAlign w:val="center"/>
          </w:tcPr>
          <w:p>
            <w:pPr>
              <w:ind w:firstLine="210"/>
              <w:rPr>
                <w:szCs w:val="21"/>
              </w:rPr>
            </w:pPr>
            <w:r>
              <w:t>项目组人数</w:t>
            </w:r>
          </w:p>
        </w:tc>
        <w:tc>
          <w:tcPr>
            <w:tcW w:w="914"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793"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高级</w:t>
            </w:r>
          </w:p>
        </w:tc>
        <w:tc>
          <w:tcPr>
            <w:tcW w:w="829"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673"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中级</w:t>
            </w:r>
          </w:p>
        </w:tc>
        <w:tc>
          <w:tcPr>
            <w:tcW w:w="865"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988"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初级</w:t>
            </w:r>
          </w:p>
        </w:tc>
        <w:tc>
          <w:tcPr>
            <w:tcW w:w="658"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838"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pPr>
              <w:ind w:left="120"/>
              <w:jc w:val="center"/>
              <w:rPr>
                <w:szCs w:val="21"/>
              </w:rPr>
            </w:pPr>
            <w:r>
              <w:t>其它</w:t>
            </w:r>
          </w:p>
        </w:tc>
        <w:tc>
          <w:tcPr>
            <w:tcW w:w="767" w:type="dxa"/>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val="restart"/>
            <w:tcBorders>
              <w:top w:val="nil"/>
              <w:left w:val="single" w:sz="8" w:space="0" w:color="auto"/>
              <w:bottom w:val="single" w:sz="8" w:space="0" w:color="auto"/>
              <w:right w:val="single" w:sz="8" w:space="0" w:color="auto"/>
            </w:tcBorders>
            <w:vAlign w:val="center"/>
          </w:tcPr>
          <w:p>
            <w:pPr>
              <w:jc w:val="center"/>
              <w:rPr>
                <w:szCs w:val="21"/>
              </w:rPr>
            </w:pPr>
            <w:r>
              <w:t>主要研究人员</w:t>
            </w:r>
          </w:p>
        </w:tc>
        <w:tc>
          <w:tcPr>
            <w:tcW w:w="1015" w:type="dxa"/>
            <w:gridSpan w:val="2"/>
            <w:tcBorders>
              <w:top w:val="nil"/>
              <w:left w:val="nil"/>
              <w:bottom w:val="single" w:sz="8" w:space="0" w:color="auto"/>
              <w:right w:val="single" w:sz="8" w:space="0" w:color="auto"/>
            </w:tcBorders>
            <w:vAlign w:val="center"/>
          </w:tcPr>
          <w:p>
            <w:pPr>
              <w:jc w:val="center"/>
              <w:rPr>
                <w:szCs w:val="21"/>
              </w:rPr>
            </w:pPr>
            <w:r>
              <w:t>姓名</w:t>
            </w:r>
          </w:p>
        </w:tc>
        <w:tc>
          <w:tcPr>
            <w:tcW w:w="715" w:type="dxa"/>
            <w:gridSpan w:val="3"/>
            <w:tcBorders>
              <w:top w:val="nil"/>
              <w:left w:val="nil"/>
              <w:bottom w:val="single" w:sz="8" w:space="0" w:color="auto"/>
              <w:right w:val="single" w:sz="4" w:space="0" w:color="auto"/>
            </w:tcBorders>
            <w:vAlign w:val="center"/>
          </w:tcPr>
          <w:p>
            <w:pPr>
              <w:jc w:val="center"/>
              <w:rPr>
                <w:szCs w:val="21"/>
              </w:rPr>
            </w:pPr>
            <w:r>
              <w:rPr>
                <w:szCs w:val="21"/>
              </w:rPr>
              <w:t>性别</w:t>
            </w:r>
          </w:p>
        </w:tc>
        <w:tc>
          <w:tcPr>
            <w:tcW w:w="638" w:type="dxa"/>
            <w:tcBorders>
              <w:top w:val="nil"/>
              <w:left w:val="single" w:sz="4" w:space="0" w:color="auto"/>
              <w:bottom w:val="single" w:sz="8" w:space="0" w:color="auto"/>
              <w:right w:val="single" w:sz="8" w:space="0" w:color="auto"/>
            </w:tcBorders>
            <w:vAlign w:val="center"/>
          </w:tcPr>
          <w:p>
            <w:pPr>
              <w:ind w:left="109"/>
              <w:jc w:val="center"/>
              <w:rPr>
                <w:szCs w:val="21"/>
              </w:rPr>
            </w:pPr>
            <w:r>
              <w:t>年龄</w:t>
            </w:r>
          </w:p>
        </w:tc>
        <w:tc>
          <w:tcPr>
            <w:tcW w:w="793" w:type="dxa"/>
            <w:gridSpan w:val="3"/>
            <w:tcBorders>
              <w:top w:val="nil"/>
              <w:left w:val="nil"/>
              <w:bottom w:val="single" w:sz="8" w:space="0" w:color="auto"/>
              <w:right w:val="single" w:sz="4" w:space="0" w:color="auto"/>
            </w:tcBorders>
            <w:vAlign w:val="center"/>
          </w:tcPr>
          <w:p>
            <w:pPr>
              <w:jc w:val="center"/>
              <w:rPr>
                <w:szCs w:val="21"/>
              </w:rPr>
            </w:pPr>
            <w:r>
              <w:rPr>
                <w:szCs w:val="21"/>
              </w:rPr>
              <w:t>学历</w:t>
            </w:r>
          </w:p>
        </w:tc>
        <w:tc>
          <w:tcPr>
            <w:tcW w:w="1274" w:type="dxa"/>
            <w:gridSpan w:val="5"/>
            <w:tcBorders>
              <w:top w:val="nil"/>
              <w:left w:val="single" w:sz="4" w:space="0" w:color="auto"/>
              <w:bottom w:val="single" w:sz="8" w:space="0" w:color="auto"/>
              <w:right w:val="single" w:sz="8" w:space="0" w:color="auto"/>
            </w:tcBorders>
            <w:vAlign w:val="center"/>
          </w:tcPr>
          <w:p>
            <w:pPr>
              <w:jc w:val="center"/>
              <w:rPr>
                <w:szCs w:val="21"/>
              </w:rPr>
            </w:pPr>
            <w:r>
              <w:t>职称</w:t>
            </w: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从事专业</w:t>
            </w: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jc w:val="center"/>
              <w:rPr>
                <w:szCs w:val="21"/>
              </w:rPr>
            </w:pPr>
            <w:r>
              <w:t>所在单位</w:t>
            </w: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r>
        <w:trPr>
          <w:cantSplit/>
          <w:trHeight w:val="391"/>
        </w:trPr>
        <w:tc>
          <w:tcPr>
            <w:tcW w:w="533" w:type="dxa"/>
            <w:vMerge/>
            <w:tcBorders>
              <w:top w:val="nil"/>
              <w:left w:val="single" w:sz="8" w:space="0" w:color="auto"/>
              <w:bottom w:val="single" w:sz="8" w:space="0" w:color="auto"/>
              <w:right w:val="single" w:sz="8" w:space="0" w:color="auto"/>
            </w:tcBorders>
            <w:vAlign w:val="center"/>
          </w:tcPr>
          <w:p>
            <w:pPr>
              <w:jc w:val="left"/>
              <w:rPr>
                <w:szCs w:val="21"/>
              </w:rPr>
            </w:pPr>
          </w:p>
        </w:tc>
        <w:tc>
          <w:tcPr>
            <w:tcW w:w="1015" w:type="dxa"/>
            <w:gridSpan w:val="2"/>
            <w:tcBorders>
              <w:top w:val="nil"/>
              <w:left w:val="nil"/>
              <w:bottom w:val="single" w:sz="8" w:space="0" w:color="auto"/>
              <w:right w:val="single" w:sz="8" w:space="0" w:color="auto"/>
            </w:tcBorders>
            <w:vAlign w:val="center"/>
          </w:tcPr>
          <w:p>
            <w:pPr>
              <w:rPr>
                <w:szCs w:val="21"/>
              </w:rPr>
            </w:pPr>
          </w:p>
        </w:tc>
        <w:tc>
          <w:tcPr>
            <w:tcW w:w="715" w:type="dxa"/>
            <w:gridSpan w:val="3"/>
            <w:tcBorders>
              <w:top w:val="nil"/>
              <w:left w:val="nil"/>
              <w:bottom w:val="single" w:sz="8" w:space="0" w:color="auto"/>
              <w:right w:val="single" w:sz="4" w:space="0" w:color="auto"/>
            </w:tcBorders>
            <w:vAlign w:val="center"/>
          </w:tcPr>
          <w:p>
            <w:pPr>
              <w:rPr>
                <w:szCs w:val="21"/>
              </w:rPr>
            </w:pPr>
          </w:p>
        </w:tc>
        <w:tc>
          <w:tcPr>
            <w:tcW w:w="638" w:type="dxa"/>
            <w:tcBorders>
              <w:top w:val="nil"/>
              <w:left w:val="single" w:sz="4" w:space="0" w:color="auto"/>
              <w:bottom w:val="single" w:sz="8" w:space="0" w:color="auto"/>
              <w:right w:val="single" w:sz="8" w:space="0" w:color="auto"/>
            </w:tcBorders>
            <w:vAlign w:val="center"/>
          </w:tcPr>
          <w:p>
            <w:pPr>
              <w:rPr>
                <w:szCs w:val="21"/>
              </w:rPr>
            </w:pPr>
          </w:p>
        </w:tc>
        <w:tc>
          <w:tcPr>
            <w:tcW w:w="793" w:type="dxa"/>
            <w:gridSpan w:val="3"/>
            <w:tcBorders>
              <w:top w:val="nil"/>
              <w:left w:val="nil"/>
              <w:bottom w:val="single" w:sz="8" w:space="0" w:color="auto"/>
              <w:right w:val="single" w:sz="4" w:space="0" w:color="auto"/>
            </w:tcBorders>
            <w:vAlign w:val="center"/>
          </w:tcPr>
          <w:p>
            <w:pPr>
              <w:rPr>
                <w:szCs w:val="21"/>
              </w:rPr>
            </w:pPr>
          </w:p>
        </w:tc>
        <w:tc>
          <w:tcPr>
            <w:tcW w:w="1274" w:type="dxa"/>
            <w:gridSpan w:val="5"/>
            <w:tcBorders>
              <w:top w:val="nil"/>
              <w:left w:val="single" w:sz="4" w:space="0" w:color="auto"/>
              <w:bottom w:val="single" w:sz="8" w:space="0" w:color="auto"/>
              <w:right w:val="single" w:sz="8" w:space="0" w:color="auto"/>
            </w:tcBorders>
            <w:vAlign w:val="center"/>
          </w:tcPr>
          <w:p>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pPr>
              <w:rPr>
                <w:szCs w:val="21"/>
              </w:rPr>
            </w:pPr>
          </w:p>
        </w:tc>
      </w:tr>
    </w:tbl>
    <w:p>
      <w:pPr>
        <w:jc w:val="center"/>
      </w:pPr>
    </w:p>
    <w:p>
      <w:pPr>
        <w:jc w:val="center"/>
      </w:pPr>
    </w:p>
    <w:p>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trPr>
          <w:trHeight w:val="454"/>
        </w:trPr>
        <w:tc>
          <w:tcPr>
            <w:tcW w:w="8522" w:type="dxa"/>
            <w:tcBorders>
              <w:top w:val="single" w:sz="4" w:space="0" w:color="auto"/>
              <w:left w:val="single" w:sz="4" w:space="0" w:color="auto"/>
              <w:bottom w:val="single" w:sz="4" w:space="0" w:color="auto"/>
              <w:right w:val="single" w:sz="4" w:space="0" w:color="auto"/>
            </w:tcBorders>
            <w:vAlign w:val="center"/>
          </w:tcPr>
          <w:p>
            <w:pPr>
              <w:rPr>
                <w:sz w:val="24"/>
                <w:szCs w:val="24"/>
              </w:rPr>
            </w:pPr>
            <w:r>
              <w:rPr>
                <w:rFonts w:eastAsia="黑体"/>
                <w:b/>
                <w:bCs/>
                <w:sz w:val="28"/>
              </w:rPr>
              <w:lastRenderedPageBreak/>
              <w:t>十、审批情况。</w:t>
            </w:r>
          </w:p>
        </w:tc>
      </w:tr>
      <w:tr>
        <w:trPr>
          <w:trHeight w:val="146"/>
        </w:trPr>
        <w:tc>
          <w:tcPr>
            <w:tcW w:w="8522" w:type="dxa"/>
            <w:tcBorders>
              <w:top w:val="single" w:sz="4" w:space="0" w:color="auto"/>
              <w:left w:val="single" w:sz="4" w:space="0" w:color="auto"/>
              <w:bottom w:val="single" w:sz="4" w:space="0" w:color="auto"/>
              <w:right w:val="single" w:sz="4" w:space="0" w:color="auto"/>
            </w:tcBorders>
          </w:tcPr>
          <w:p>
            <w:pPr>
              <w:jc w:val="center"/>
            </w:pPr>
            <w:r>
              <w:rPr>
                <w:rFonts w:eastAsia="华文中宋"/>
                <w:sz w:val="28"/>
                <w:szCs w:val="24"/>
              </w:rPr>
              <w:t>项</w:t>
            </w:r>
            <w:r>
              <w:rPr>
                <w:rFonts w:eastAsia="华文中宋"/>
                <w:sz w:val="28"/>
                <w:szCs w:val="24"/>
              </w:rPr>
              <w:t xml:space="preserve"> </w:t>
            </w:r>
            <w:r>
              <w:rPr>
                <w:rFonts w:eastAsia="华文中宋"/>
                <w:sz w:val="28"/>
                <w:szCs w:val="24"/>
              </w:rPr>
              <w:t>目</w:t>
            </w:r>
            <w:r>
              <w:rPr>
                <w:rFonts w:eastAsia="华文中宋"/>
                <w:sz w:val="28"/>
                <w:szCs w:val="24"/>
              </w:rPr>
              <w:t xml:space="preserve"> </w:t>
            </w:r>
            <w:r>
              <w:rPr>
                <w:rFonts w:eastAsia="华文中宋"/>
                <w:sz w:val="28"/>
                <w:szCs w:val="24"/>
              </w:rPr>
              <w:t>申</w:t>
            </w:r>
            <w:r>
              <w:rPr>
                <w:rFonts w:eastAsia="华文中宋"/>
                <w:sz w:val="28"/>
                <w:szCs w:val="24"/>
              </w:rPr>
              <w:t xml:space="preserve"> </w:t>
            </w:r>
            <w:r>
              <w:rPr>
                <w:rFonts w:eastAsia="华文中宋"/>
                <w:sz w:val="28"/>
                <w:szCs w:val="24"/>
              </w:rPr>
              <w:t>报</w:t>
            </w:r>
            <w:r>
              <w:rPr>
                <w:rFonts w:eastAsia="华文中宋"/>
                <w:sz w:val="28"/>
                <w:szCs w:val="24"/>
              </w:rPr>
              <w:t xml:space="preserve"> </w:t>
            </w:r>
            <w:r>
              <w:rPr>
                <w:rFonts w:eastAsia="华文中宋"/>
                <w:sz w:val="28"/>
                <w:szCs w:val="24"/>
              </w:rPr>
              <w:t>单</w:t>
            </w:r>
            <w:r>
              <w:rPr>
                <w:rFonts w:eastAsia="华文中宋"/>
                <w:sz w:val="28"/>
                <w:szCs w:val="24"/>
              </w:rPr>
              <w:t xml:space="preserve"> </w:t>
            </w:r>
            <w:r>
              <w:rPr>
                <w:rFonts w:eastAsia="华文中宋"/>
                <w:sz w:val="28"/>
                <w:szCs w:val="24"/>
              </w:rPr>
              <w:t>位</w:t>
            </w:r>
            <w:r>
              <w:rPr>
                <w:rFonts w:eastAsia="华文中宋"/>
                <w:sz w:val="28"/>
                <w:szCs w:val="24"/>
              </w:rPr>
              <w:t xml:space="preserve"> </w:t>
            </w:r>
            <w:r>
              <w:rPr>
                <w:rFonts w:eastAsia="华文中宋"/>
                <w:sz w:val="28"/>
                <w:szCs w:val="24"/>
              </w:rPr>
              <w:t>意</w:t>
            </w:r>
            <w:r>
              <w:rPr>
                <w:rFonts w:eastAsia="华文中宋"/>
                <w:sz w:val="28"/>
                <w:szCs w:val="24"/>
              </w:rPr>
              <w:t xml:space="preserve"> </w:t>
            </w:r>
            <w:r>
              <w:rPr>
                <w:rFonts w:eastAsia="华文中宋"/>
                <w:sz w:val="28"/>
                <w:szCs w:val="24"/>
              </w:rPr>
              <w:t>见</w:t>
            </w:r>
          </w:p>
        </w:tc>
      </w:tr>
      <w:tr>
        <w:trPr>
          <w:trHeight w:hRule="exact" w:val="4820"/>
        </w:trPr>
        <w:tc>
          <w:tcPr>
            <w:tcW w:w="8522" w:type="dxa"/>
            <w:tcBorders>
              <w:top w:val="single" w:sz="4" w:space="0" w:color="auto"/>
              <w:left w:val="single" w:sz="4" w:space="0" w:color="auto"/>
              <w:bottom w:val="single" w:sz="4" w:space="0" w:color="auto"/>
              <w:right w:val="single" w:sz="4" w:space="0" w:color="auto"/>
            </w:tcBorders>
          </w:tcPr>
          <w:p/>
          <w:p/>
          <w:p/>
          <w:p/>
          <w:p/>
          <w:p/>
          <w:p/>
          <w:p/>
          <w:p/>
          <w:p>
            <w:pPr>
              <w:jc w:val="right"/>
              <w:rPr>
                <w:spacing w:val="20"/>
                <w:sz w:val="24"/>
              </w:rPr>
            </w:pPr>
          </w:p>
          <w:p>
            <w:pPr>
              <w:jc w:val="right"/>
              <w:rPr>
                <w:spacing w:val="20"/>
                <w:sz w:val="24"/>
              </w:rPr>
            </w:pPr>
          </w:p>
          <w:p>
            <w:pPr>
              <w:jc w:val="right"/>
              <w:rPr>
                <w:spacing w:val="20"/>
                <w:sz w:val="24"/>
              </w:rPr>
            </w:pPr>
          </w:p>
          <w:p>
            <w:pPr>
              <w:jc w:val="right"/>
              <w:rPr>
                <w:spacing w:val="20"/>
                <w:sz w:val="24"/>
              </w:rPr>
            </w:pPr>
            <w:r>
              <w:rPr>
                <w:spacing w:val="20"/>
                <w:sz w:val="24"/>
              </w:rPr>
              <w:t>领导签字</w:t>
            </w:r>
            <w:r>
              <w:rPr>
                <w:spacing w:val="20"/>
                <w:sz w:val="24"/>
              </w:rPr>
              <w:t xml:space="preserve">       </w:t>
            </w:r>
            <w:r>
              <w:rPr>
                <w:spacing w:val="20"/>
                <w:sz w:val="24"/>
              </w:rPr>
              <w:t>（盖章）</w:t>
            </w:r>
          </w:p>
          <w:p>
            <w:pPr>
              <w:jc w:val="right"/>
            </w:pPr>
          </w:p>
        </w:tc>
      </w:tr>
      <w:tr>
        <w:trPr>
          <w:trHeight w:val="454"/>
        </w:trPr>
        <w:tc>
          <w:tcPr>
            <w:tcW w:w="8522" w:type="dxa"/>
            <w:tcBorders>
              <w:top w:val="single" w:sz="4" w:space="0" w:color="auto"/>
              <w:left w:val="single" w:sz="4" w:space="0" w:color="auto"/>
              <w:bottom w:val="single" w:sz="4" w:space="0" w:color="auto"/>
              <w:right w:val="single" w:sz="4" w:space="0" w:color="auto"/>
            </w:tcBorders>
            <w:vAlign w:val="center"/>
          </w:tcPr>
          <w:p>
            <w:pPr>
              <w:jc w:val="center"/>
              <w:rPr>
                <w:rFonts w:eastAsia="华文中宋"/>
                <w:sz w:val="28"/>
                <w:szCs w:val="24"/>
              </w:rPr>
            </w:pPr>
            <w:r>
              <w:rPr>
                <w:rFonts w:eastAsia="华文中宋"/>
                <w:sz w:val="28"/>
                <w:szCs w:val="24"/>
              </w:rPr>
              <w:t>归</w:t>
            </w:r>
            <w:r>
              <w:rPr>
                <w:rFonts w:eastAsia="华文中宋"/>
                <w:sz w:val="28"/>
                <w:szCs w:val="24"/>
              </w:rPr>
              <w:t xml:space="preserve">  </w:t>
            </w:r>
            <w:r>
              <w:rPr>
                <w:rFonts w:eastAsia="华文中宋"/>
                <w:sz w:val="28"/>
                <w:szCs w:val="24"/>
              </w:rPr>
              <w:t>口</w:t>
            </w:r>
            <w:r>
              <w:rPr>
                <w:rFonts w:eastAsia="华文中宋"/>
                <w:sz w:val="28"/>
                <w:szCs w:val="24"/>
              </w:rPr>
              <w:t xml:space="preserve">  </w:t>
            </w:r>
            <w:r>
              <w:rPr>
                <w:rFonts w:eastAsia="华文中宋"/>
                <w:sz w:val="28"/>
                <w:szCs w:val="24"/>
              </w:rPr>
              <w:t>部</w:t>
            </w:r>
            <w:r>
              <w:rPr>
                <w:rFonts w:eastAsia="华文中宋"/>
                <w:sz w:val="28"/>
                <w:szCs w:val="24"/>
              </w:rPr>
              <w:t xml:space="preserve">  </w:t>
            </w:r>
            <w:r>
              <w:rPr>
                <w:rFonts w:eastAsia="华文中宋"/>
                <w:sz w:val="28"/>
                <w:szCs w:val="24"/>
              </w:rPr>
              <w:t>门</w:t>
            </w:r>
            <w:r>
              <w:rPr>
                <w:rFonts w:eastAsia="华文中宋"/>
                <w:sz w:val="28"/>
                <w:szCs w:val="24"/>
              </w:rPr>
              <w:t xml:space="preserve"> </w:t>
            </w:r>
            <w:r>
              <w:rPr>
                <w:rFonts w:eastAsia="华文中宋"/>
                <w:sz w:val="28"/>
                <w:szCs w:val="24"/>
              </w:rPr>
              <w:t>意</w:t>
            </w:r>
            <w:r>
              <w:rPr>
                <w:rFonts w:eastAsia="华文中宋"/>
                <w:sz w:val="28"/>
                <w:szCs w:val="24"/>
              </w:rPr>
              <w:t xml:space="preserve"> </w:t>
            </w:r>
            <w:r>
              <w:rPr>
                <w:rFonts w:eastAsia="华文中宋"/>
                <w:sz w:val="28"/>
                <w:szCs w:val="24"/>
              </w:rPr>
              <w:t>见</w:t>
            </w:r>
          </w:p>
        </w:tc>
      </w:tr>
      <w:tr>
        <w:trPr>
          <w:trHeight w:hRule="exact" w:val="4820"/>
        </w:trPr>
        <w:tc>
          <w:tcPr>
            <w:tcW w:w="8522" w:type="dxa"/>
            <w:tcBorders>
              <w:top w:val="single" w:sz="4" w:space="0" w:color="auto"/>
              <w:left w:val="single" w:sz="4" w:space="0" w:color="auto"/>
              <w:bottom w:val="single" w:sz="4" w:space="0" w:color="auto"/>
              <w:right w:val="single" w:sz="4" w:space="0" w:color="auto"/>
            </w:tcBorders>
            <w:vAlign w:val="center"/>
          </w:tcPr>
          <w:p/>
          <w:p/>
          <w:p/>
          <w:p/>
          <w:p/>
          <w:p/>
          <w:p/>
          <w:p>
            <w:pPr>
              <w:jc w:val="right"/>
              <w:rPr>
                <w:spacing w:val="20"/>
                <w:sz w:val="24"/>
              </w:rPr>
            </w:pPr>
          </w:p>
          <w:p>
            <w:pPr>
              <w:jc w:val="right"/>
              <w:rPr>
                <w:spacing w:val="20"/>
                <w:sz w:val="24"/>
              </w:rPr>
            </w:pPr>
          </w:p>
          <w:p>
            <w:pPr>
              <w:jc w:val="right"/>
              <w:rPr>
                <w:spacing w:val="20"/>
                <w:sz w:val="24"/>
              </w:rPr>
            </w:pPr>
          </w:p>
          <w:p>
            <w:pPr>
              <w:jc w:val="right"/>
            </w:pPr>
            <w:r>
              <w:rPr>
                <w:spacing w:val="20"/>
                <w:sz w:val="24"/>
              </w:rPr>
              <w:t>领导签字</w:t>
            </w:r>
            <w:r>
              <w:rPr>
                <w:spacing w:val="20"/>
                <w:sz w:val="24"/>
              </w:rPr>
              <w:t xml:space="preserve">       </w:t>
            </w:r>
            <w:r>
              <w:rPr>
                <w:spacing w:val="20"/>
                <w:sz w:val="24"/>
              </w:rPr>
              <w:t>（盖章）</w:t>
            </w:r>
          </w:p>
        </w:tc>
      </w:tr>
    </w:tbl>
    <w:p/>
    <w:sectPr>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11</w:t>
    </w:r>
    <w:r>
      <w:rPr>
        <w:rStyle w:val="a5"/>
      </w:rPr>
      <w:fldChar w:fldCharType="end"/>
    </w:r>
  </w:p>
  <w:p>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6C9"/>
    <w:multiLevelType w:val="singleLevel"/>
    <w:tmpl w:val="D0828F86"/>
    <w:lvl w:ilvl="0">
      <w:start w:val="1"/>
      <w:numFmt w:val="decimal"/>
      <w:lvlText w:val="%1、"/>
      <w:lvlJc w:val="left"/>
      <w:pPr>
        <w:tabs>
          <w:tab w:val="num" w:pos="450"/>
        </w:tabs>
        <w:ind w:left="450" w:hanging="450"/>
      </w:pPr>
      <w:rPr>
        <w:rFonts w:hint="eastAsia"/>
      </w:rPr>
    </w:lvl>
  </w:abstractNum>
  <w:abstractNum w:abstractNumId="1">
    <w:nsid w:val="082239E0"/>
    <w:multiLevelType w:val="singleLevel"/>
    <w:tmpl w:val="001EE492"/>
    <w:lvl w:ilvl="0">
      <w:start w:val="1"/>
      <w:numFmt w:val="japaneseCounting"/>
      <w:lvlText w:val="%1、"/>
      <w:lvlJc w:val="left"/>
      <w:pPr>
        <w:tabs>
          <w:tab w:val="num" w:pos="2260"/>
        </w:tabs>
        <w:ind w:left="2260" w:hanging="660"/>
      </w:pPr>
      <w:rPr>
        <w:rFonts w:hint="eastAsia"/>
      </w:rPr>
    </w:lvl>
  </w:abstractNum>
  <w:abstractNum w:abstractNumId="2">
    <w:nsid w:val="0A255857"/>
    <w:multiLevelType w:val="singleLevel"/>
    <w:tmpl w:val="6FE07280"/>
    <w:lvl w:ilvl="0">
      <w:start w:val="8"/>
      <w:numFmt w:val="japaneseCounting"/>
      <w:lvlText w:val="第%1条"/>
      <w:lvlJc w:val="left"/>
      <w:pPr>
        <w:tabs>
          <w:tab w:val="num" w:pos="1815"/>
        </w:tabs>
        <w:ind w:left="1815" w:hanging="1215"/>
      </w:pPr>
      <w:rPr>
        <w:rFonts w:hint="eastAsia"/>
        <w:b/>
      </w:rPr>
    </w:lvl>
  </w:abstractNum>
  <w:abstractNum w:abstractNumId="3">
    <w:nsid w:val="0B1E40BE"/>
    <w:multiLevelType w:val="hybridMultilevel"/>
    <w:tmpl w:val="ACA00EE0"/>
    <w:lvl w:ilvl="0" w:tplc="86CA5E00">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DDE7E69"/>
    <w:multiLevelType w:val="singleLevel"/>
    <w:tmpl w:val="B1A0E4AE"/>
    <w:lvl w:ilvl="0">
      <w:start w:val="1"/>
      <w:numFmt w:val="japaneseCounting"/>
      <w:lvlText w:val="%1、"/>
      <w:lvlJc w:val="left"/>
      <w:pPr>
        <w:tabs>
          <w:tab w:val="num" w:pos="420"/>
        </w:tabs>
        <w:ind w:left="420" w:hanging="420"/>
      </w:pPr>
      <w:rPr>
        <w:rFonts w:hint="eastAsia"/>
      </w:rPr>
    </w:lvl>
  </w:abstractNum>
  <w:abstractNum w:abstractNumId="5">
    <w:nsid w:val="228751B9"/>
    <w:multiLevelType w:val="singleLevel"/>
    <w:tmpl w:val="DA06CED2"/>
    <w:lvl w:ilvl="0">
      <w:start w:val="4"/>
      <w:numFmt w:val="japaneseCounting"/>
      <w:lvlText w:val="%1"/>
      <w:lvlJc w:val="left"/>
      <w:pPr>
        <w:tabs>
          <w:tab w:val="num" w:pos="360"/>
        </w:tabs>
        <w:ind w:left="360" w:hanging="360"/>
      </w:pPr>
      <w:rPr>
        <w:rFonts w:hint="eastAsia"/>
      </w:rPr>
    </w:lvl>
  </w:abstractNum>
  <w:abstractNum w:abstractNumId="6">
    <w:nsid w:val="22CA697A"/>
    <w:multiLevelType w:val="multilevel"/>
    <w:tmpl w:val="88C8D1AC"/>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nsid w:val="258D426F"/>
    <w:multiLevelType w:val="multilevel"/>
    <w:tmpl w:val="A07ADA12"/>
    <w:lvl w:ilvl="0">
      <w:start w:val="1"/>
      <w:numFmt w:val="decimal"/>
      <w:lvlText w:val="%1"/>
      <w:lvlJc w:val="left"/>
      <w:pPr>
        <w:tabs>
          <w:tab w:val="num" w:pos="510"/>
        </w:tabs>
        <w:ind w:left="510" w:hanging="510"/>
      </w:pPr>
      <w:rPr>
        <w:rFonts w:hint="eastAsia"/>
      </w:rPr>
    </w:lvl>
    <w:lvl w:ilvl="1">
      <w:start w:val="5"/>
      <w:numFmt w:val="decimal"/>
      <w:lvlText w:val="%1-%2"/>
      <w:lvlJc w:val="left"/>
      <w:pPr>
        <w:tabs>
          <w:tab w:val="num" w:pos="930"/>
        </w:tabs>
        <w:ind w:left="930" w:hanging="510"/>
      </w:pPr>
      <w:rPr>
        <w:rFonts w:hint="eastAsia"/>
      </w:rPr>
    </w:lvl>
    <w:lvl w:ilvl="2">
      <w:start w:val="1"/>
      <w:numFmt w:val="decimal"/>
      <w:lvlText w:val="%1-%2.%3"/>
      <w:lvlJc w:val="left"/>
      <w:pPr>
        <w:tabs>
          <w:tab w:val="num" w:pos="1350"/>
        </w:tabs>
        <w:ind w:left="1350" w:hanging="510"/>
      </w:pPr>
      <w:rPr>
        <w:rFonts w:hint="eastAsia"/>
      </w:rPr>
    </w:lvl>
    <w:lvl w:ilvl="3">
      <w:start w:val="1"/>
      <w:numFmt w:val="decimal"/>
      <w:lvlText w:val="%1-%2.%3.%4"/>
      <w:lvlJc w:val="left"/>
      <w:pPr>
        <w:tabs>
          <w:tab w:val="num" w:pos="1770"/>
        </w:tabs>
        <w:ind w:left="1770" w:hanging="510"/>
      </w:pPr>
      <w:rPr>
        <w:rFonts w:hint="eastAsia"/>
      </w:rPr>
    </w:lvl>
    <w:lvl w:ilvl="4">
      <w:start w:val="1"/>
      <w:numFmt w:val="decimal"/>
      <w:lvlText w:val="%1-%2.%3.%4.%5"/>
      <w:lvlJc w:val="left"/>
      <w:pPr>
        <w:tabs>
          <w:tab w:val="num" w:pos="2190"/>
        </w:tabs>
        <w:ind w:left="2190" w:hanging="510"/>
      </w:pPr>
      <w:rPr>
        <w:rFonts w:hint="eastAsia"/>
      </w:rPr>
    </w:lvl>
    <w:lvl w:ilvl="5">
      <w:start w:val="1"/>
      <w:numFmt w:val="decimal"/>
      <w:lvlText w:val="%1-%2.%3.%4.%5.%6"/>
      <w:lvlJc w:val="left"/>
      <w:pPr>
        <w:tabs>
          <w:tab w:val="num" w:pos="2610"/>
        </w:tabs>
        <w:ind w:left="2610" w:hanging="510"/>
      </w:pPr>
      <w:rPr>
        <w:rFonts w:hint="eastAsia"/>
      </w:rPr>
    </w:lvl>
    <w:lvl w:ilvl="6">
      <w:start w:val="1"/>
      <w:numFmt w:val="decimal"/>
      <w:lvlText w:val="%1-%2.%3.%4.%5.%6.%7"/>
      <w:lvlJc w:val="left"/>
      <w:pPr>
        <w:tabs>
          <w:tab w:val="num" w:pos="3030"/>
        </w:tabs>
        <w:ind w:left="3030" w:hanging="510"/>
      </w:pPr>
      <w:rPr>
        <w:rFonts w:hint="eastAsia"/>
      </w:rPr>
    </w:lvl>
    <w:lvl w:ilvl="7">
      <w:start w:val="1"/>
      <w:numFmt w:val="decimal"/>
      <w:lvlText w:val="%1-%2.%3.%4.%5.%6.%7.%8"/>
      <w:lvlJc w:val="left"/>
      <w:pPr>
        <w:tabs>
          <w:tab w:val="num" w:pos="3450"/>
        </w:tabs>
        <w:ind w:left="3450" w:hanging="510"/>
      </w:pPr>
      <w:rPr>
        <w:rFonts w:hint="eastAsia"/>
      </w:rPr>
    </w:lvl>
    <w:lvl w:ilvl="8">
      <w:start w:val="1"/>
      <w:numFmt w:val="decimal"/>
      <w:lvlText w:val="%1-%2.%3.%4.%5.%6.%7.%8.%9"/>
      <w:lvlJc w:val="left"/>
      <w:pPr>
        <w:tabs>
          <w:tab w:val="num" w:pos="3870"/>
        </w:tabs>
        <w:ind w:left="3870" w:hanging="510"/>
      </w:pPr>
      <w:rPr>
        <w:rFonts w:hint="eastAsia"/>
      </w:rPr>
    </w:lvl>
  </w:abstractNum>
  <w:abstractNum w:abstractNumId="8">
    <w:nsid w:val="273425E4"/>
    <w:multiLevelType w:val="hybridMultilevel"/>
    <w:tmpl w:val="A93C0C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0BA79FE"/>
    <w:multiLevelType w:val="singleLevel"/>
    <w:tmpl w:val="953EF1A8"/>
    <w:lvl w:ilvl="0">
      <w:start w:val="1"/>
      <w:numFmt w:val="japaneseCounting"/>
      <w:lvlText w:val="%1、"/>
      <w:lvlJc w:val="left"/>
      <w:pPr>
        <w:tabs>
          <w:tab w:val="num" w:pos="420"/>
        </w:tabs>
        <w:ind w:left="420" w:hanging="420"/>
      </w:pPr>
      <w:rPr>
        <w:rFonts w:hint="eastAsia"/>
      </w:rPr>
    </w:lvl>
  </w:abstractNum>
  <w:abstractNum w:abstractNumId="10">
    <w:nsid w:val="313743B4"/>
    <w:multiLevelType w:val="multilevel"/>
    <w:tmpl w:val="48903716"/>
    <w:lvl w:ilvl="0">
      <w:start w:val="3"/>
      <w:numFmt w:val="decimal"/>
      <w:lvlText w:val="%1"/>
      <w:lvlJc w:val="left"/>
      <w:pPr>
        <w:tabs>
          <w:tab w:val="num" w:pos="510"/>
        </w:tabs>
        <w:ind w:left="510" w:hanging="510"/>
      </w:pPr>
      <w:rPr>
        <w:rFonts w:hint="eastAsia"/>
      </w:rPr>
    </w:lvl>
    <w:lvl w:ilvl="1">
      <w:start w:val="3"/>
      <w:numFmt w:val="decimal"/>
      <w:lvlText w:val="%1-%2"/>
      <w:lvlJc w:val="left"/>
      <w:pPr>
        <w:tabs>
          <w:tab w:val="num" w:pos="510"/>
        </w:tabs>
        <w:ind w:left="510" w:hanging="510"/>
      </w:pPr>
      <w:rPr>
        <w:rFonts w:hint="eastAsia"/>
      </w:rPr>
    </w:lvl>
    <w:lvl w:ilvl="2">
      <w:start w:val="1"/>
      <w:numFmt w:val="decimal"/>
      <w:lvlText w:val="%1-%2.%3"/>
      <w:lvlJc w:val="left"/>
      <w:pPr>
        <w:tabs>
          <w:tab w:val="num" w:pos="510"/>
        </w:tabs>
        <w:ind w:left="510" w:hanging="510"/>
      </w:pPr>
      <w:rPr>
        <w:rFonts w:hint="eastAsia"/>
      </w:rPr>
    </w:lvl>
    <w:lvl w:ilvl="3">
      <w:start w:val="1"/>
      <w:numFmt w:val="decimal"/>
      <w:lvlText w:val="%1-%2.%3.%4"/>
      <w:lvlJc w:val="left"/>
      <w:pPr>
        <w:tabs>
          <w:tab w:val="num" w:pos="510"/>
        </w:tabs>
        <w:ind w:left="510" w:hanging="510"/>
      </w:pPr>
      <w:rPr>
        <w:rFonts w:hint="eastAsia"/>
      </w:rPr>
    </w:lvl>
    <w:lvl w:ilvl="4">
      <w:start w:val="1"/>
      <w:numFmt w:val="decimal"/>
      <w:lvlText w:val="%1-%2.%3.%4.%5"/>
      <w:lvlJc w:val="left"/>
      <w:pPr>
        <w:tabs>
          <w:tab w:val="num" w:pos="510"/>
        </w:tabs>
        <w:ind w:left="510" w:hanging="510"/>
      </w:pPr>
      <w:rPr>
        <w:rFonts w:hint="eastAsia"/>
      </w:rPr>
    </w:lvl>
    <w:lvl w:ilvl="5">
      <w:start w:val="1"/>
      <w:numFmt w:val="decimal"/>
      <w:lvlText w:val="%1-%2.%3.%4.%5.%6"/>
      <w:lvlJc w:val="left"/>
      <w:pPr>
        <w:tabs>
          <w:tab w:val="num" w:pos="510"/>
        </w:tabs>
        <w:ind w:left="510" w:hanging="510"/>
      </w:pPr>
      <w:rPr>
        <w:rFonts w:hint="eastAsia"/>
      </w:rPr>
    </w:lvl>
    <w:lvl w:ilvl="6">
      <w:start w:val="1"/>
      <w:numFmt w:val="decimal"/>
      <w:lvlText w:val="%1-%2.%3.%4.%5.%6.%7"/>
      <w:lvlJc w:val="left"/>
      <w:pPr>
        <w:tabs>
          <w:tab w:val="num" w:pos="510"/>
        </w:tabs>
        <w:ind w:left="510" w:hanging="510"/>
      </w:pPr>
      <w:rPr>
        <w:rFonts w:hint="eastAsia"/>
      </w:rPr>
    </w:lvl>
    <w:lvl w:ilvl="7">
      <w:start w:val="1"/>
      <w:numFmt w:val="decimal"/>
      <w:lvlText w:val="%1-%2.%3.%4.%5.%6.%7.%8"/>
      <w:lvlJc w:val="left"/>
      <w:pPr>
        <w:tabs>
          <w:tab w:val="num" w:pos="510"/>
        </w:tabs>
        <w:ind w:left="510" w:hanging="510"/>
      </w:pPr>
      <w:rPr>
        <w:rFonts w:hint="eastAsia"/>
      </w:rPr>
    </w:lvl>
    <w:lvl w:ilvl="8">
      <w:start w:val="1"/>
      <w:numFmt w:val="decimal"/>
      <w:lvlText w:val="%1-%2.%3.%4.%5.%6.%7.%8.%9"/>
      <w:lvlJc w:val="left"/>
      <w:pPr>
        <w:tabs>
          <w:tab w:val="num" w:pos="510"/>
        </w:tabs>
        <w:ind w:left="510" w:hanging="510"/>
      </w:pPr>
      <w:rPr>
        <w:rFonts w:hint="eastAsia"/>
      </w:rPr>
    </w:lvl>
  </w:abstractNum>
  <w:abstractNum w:abstractNumId="11">
    <w:nsid w:val="32BE5361"/>
    <w:multiLevelType w:val="multilevel"/>
    <w:tmpl w:val="FCEA280E"/>
    <w:lvl w:ilvl="0">
      <w:start w:val="3"/>
      <w:numFmt w:val="decimal"/>
      <w:lvlText w:val="%1"/>
      <w:lvlJc w:val="left"/>
      <w:pPr>
        <w:tabs>
          <w:tab w:val="num" w:pos="510"/>
        </w:tabs>
        <w:ind w:left="510" w:hanging="510"/>
      </w:pPr>
      <w:rPr>
        <w:rFonts w:hint="eastAsia"/>
      </w:rPr>
    </w:lvl>
    <w:lvl w:ilvl="1">
      <w:start w:val="2"/>
      <w:numFmt w:val="decimal"/>
      <w:lvlText w:val="%1-%2"/>
      <w:lvlJc w:val="left"/>
      <w:pPr>
        <w:tabs>
          <w:tab w:val="num" w:pos="720"/>
        </w:tabs>
        <w:ind w:left="720" w:hanging="510"/>
      </w:pPr>
      <w:rPr>
        <w:rFonts w:hint="eastAsia"/>
      </w:rPr>
    </w:lvl>
    <w:lvl w:ilvl="2">
      <w:start w:val="1"/>
      <w:numFmt w:val="decimal"/>
      <w:lvlText w:val="%1-%2.%3"/>
      <w:lvlJc w:val="left"/>
      <w:pPr>
        <w:tabs>
          <w:tab w:val="num" w:pos="930"/>
        </w:tabs>
        <w:ind w:left="930" w:hanging="510"/>
      </w:pPr>
      <w:rPr>
        <w:rFonts w:hint="eastAsia"/>
      </w:rPr>
    </w:lvl>
    <w:lvl w:ilvl="3">
      <w:start w:val="1"/>
      <w:numFmt w:val="decimal"/>
      <w:lvlText w:val="%1-%2.%3.%4"/>
      <w:lvlJc w:val="left"/>
      <w:pPr>
        <w:tabs>
          <w:tab w:val="num" w:pos="1140"/>
        </w:tabs>
        <w:ind w:left="1140" w:hanging="510"/>
      </w:pPr>
      <w:rPr>
        <w:rFonts w:hint="eastAsia"/>
      </w:rPr>
    </w:lvl>
    <w:lvl w:ilvl="4">
      <w:start w:val="1"/>
      <w:numFmt w:val="decimal"/>
      <w:lvlText w:val="%1-%2.%3.%4.%5"/>
      <w:lvlJc w:val="left"/>
      <w:pPr>
        <w:tabs>
          <w:tab w:val="num" w:pos="1350"/>
        </w:tabs>
        <w:ind w:left="1350" w:hanging="510"/>
      </w:pPr>
      <w:rPr>
        <w:rFonts w:hint="eastAsia"/>
      </w:rPr>
    </w:lvl>
    <w:lvl w:ilvl="5">
      <w:start w:val="1"/>
      <w:numFmt w:val="decimal"/>
      <w:lvlText w:val="%1-%2.%3.%4.%5.%6"/>
      <w:lvlJc w:val="left"/>
      <w:pPr>
        <w:tabs>
          <w:tab w:val="num" w:pos="1560"/>
        </w:tabs>
        <w:ind w:left="1560" w:hanging="510"/>
      </w:pPr>
      <w:rPr>
        <w:rFonts w:hint="eastAsia"/>
      </w:rPr>
    </w:lvl>
    <w:lvl w:ilvl="6">
      <w:start w:val="1"/>
      <w:numFmt w:val="decimal"/>
      <w:lvlText w:val="%1-%2.%3.%4.%5.%6.%7"/>
      <w:lvlJc w:val="left"/>
      <w:pPr>
        <w:tabs>
          <w:tab w:val="num" w:pos="1770"/>
        </w:tabs>
        <w:ind w:left="1770" w:hanging="510"/>
      </w:pPr>
      <w:rPr>
        <w:rFonts w:hint="eastAsia"/>
      </w:rPr>
    </w:lvl>
    <w:lvl w:ilvl="7">
      <w:start w:val="1"/>
      <w:numFmt w:val="decimal"/>
      <w:lvlText w:val="%1-%2.%3.%4.%5.%6.%7.%8"/>
      <w:lvlJc w:val="left"/>
      <w:pPr>
        <w:tabs>
          <w:tab w:val="num" w:pos="1980"/>
        </w:tabs>
        <w:ind w:left="1980" w:hanging="510"/>
      </w:pPr>
      <w:rPr>
        <w:rFonts w:hint="eastAsia"/>
      </w:rPr>
    </w:lvl>
    <w:lvl w:ilvl="8">
      <w:start w:val="1"/>
      <w:numFmt w:val="decimal"/>
      <w:lvlText w:val="%1-%2.%3.%4.%5.%6.%7.%8.%9"/>
      <w:lvlJc w:val="left"/>
      <w:pPr>
        <w:tabs>
          <w:tab w:val="num" w:pos="2190"/>
        </w:tabs>
        <w:ind w:left="2190" w:hanging="510"/>
      </w:pPr>
      <w:rPr>
        <w:rFonts w:hint="eastAsia"/>
      </w:rPr>
    </w:lvl>
  </w:abstractNum>
  <w:abstractNum w:abstractNumId="12">
    <w:nsid w:val="360D48B9"/>
    <w:multiLevelType w:val="multilevel"/>
    <w:tmpl w:val="4CFCB15E"/>
    <w:lvl w:ilvl="0">
      <w:start w:val="3"/>
      <w:numFmt w:val="decimal"/>
      <w:lvlText w:val="%1"/>
      <w:lvlJc w:val="left"/>
      <w:pPr>
        <w:tabs>
          <w:tab w:val="num" w:pos="510"/>
        </w:tabs>
        <w:ind w:left="510" w:hanging="510"/>
      </w:pPr>
      <w:rPr>
        <w:rFonts w:hint="eastAsia"/>
      </w:rPr>
    </w:lvl>
    <w:lvl w:ilvl="1">
      <w:start w:val="2"/>
      <w:numFmt w:val="decimal"/>
      <w:lvlText w:val="%1-%2"/>
      <w:lvlJc w:val="left"/>
      <w:pPr>
        <w:tabs>
          <w:tab w:val="num" w:pos="930"/>
        </w:tabs>
        <w:ind w:left="930" w:hanging="510"/>
      </w:pPr>
      <w:rPr>
        <w:rFonts w:hint="eastAsia"/>
      </w:rPr>
    </w:lvl>
    <w:lvl w:ilvl="2">
      <w:start w:val="1"/>
      <w:numFmt w:val="decimal"/>
      <w:lvlText w:val="%1-%2.%3"/>
      <w:lvlJc w:val="left"/>
      <w:pPr>
        <w:tabs>
          <w:tab w:val="num" w:pos="1350"/>
        </w:tabs>
        <w:ind w:left="1350" w:hanging="510"/>
      </w:pPr>
      <w:rPr>
        <w:rFonts w:hint="eastAsia"/>
      </w:rPr>
    </w:lvl>
    <w:lvl w:ilvl="3">
      <w:start w:val="1"/>
      <w:numFmt w:val="decimal"/>
      <w:lvlText w:val="%1-%2.%3.%4"/>
      <w:lvlJc w:val="left"/>
      <w:pPr>
        <w:tabs>
          <w:tab w:val="num" w:pos="1770"/>
        </w:tabs>
        <w:ind w:left="1770" w:hanging="510"/>
      </w:pPr>
      <w:rPr>
        <w:rFonts w:hint="eastAsia"/>
      </w:rPr>
    </w:lvl>
    <w:lvl w:ilvl="4">
      <w:start w:val="1"/>
      <w:numFmt w:val="decimal"/>
      <w:lvlText w:val="%1-%2.%3.%4.%5"/>
      <w:lvlJc w:val="left"/>
      <w:pPr>
        <w:tabs>
          <w:tab w:val="num" w:pos="2190"/>
        </w:tabs>
        <w:ind w:left="2190" w:hanging="510"/>
      </w:pPr>
      <w:rPr>
        <w:rFonts w:hint="eastAsia"/>
      </w:rPr>
    </w:lvl>
    <w:lvl w:ilvl="5">
      <w:start w:val="1"/>
      <w:numFmt w:val="decimal"/>
      <w:lvlText w:val="%1-%2.%3.%4.%5.%6"/>
      <w:lvlJc w:val="left"/>
      <w:pPr>
        <w:tabs>
          <w:tab w:val="num" w:pos="2610"/>
        </w:tabs>
        <w:ind w:left="2610" w:hanging="510"/>
      </w:pPr>
      <w:rPr>
        <w:rFonts w:hint="eastAsia"/>
      </w:rPr>
    </w:lvl>
    <w:lvl w:ilvl="6">
      <w:start w:val="1"/>
      <w:numFmt w:val="decimal"/>
      <w:lvlText w:val="%1-%2.%3.%4.%5.%6.%7"/>
      <w:lvlJc w:val="left"/>
      <w:pPr>
        <w:tabs>
          <w:tab w:val="num" w:pos="3030"/>
        </w:tabs>
        <w:ind w:left="3030" w:hanging="510"/>
      </w:pPr>
      <w:rPr>
        <w:rFonts w:hint="eastAsia"/>
      </w:rPr>
    </w:lvl>
    <w:lvl w:ilvl="7">
      <w:start w:val="1"/>
      <w:numFmt w:val="decimal"/>
      <w:lvlText w:val="%1-%2.%3.%4.%5.%6.%7.%8"/>
      <w:lvlJc w:val="left"/>
      <w:pPr>
        <w:tabs>
          <w:tab w:val="num" w:pos="3450"/>
        </w:tabs>
        <w:ind w:left="3450" w:hanging="510"/>
      </w:pPr>
      <w:rPr>
        <w:rFonts w:hint="eastAsia"/>
      </w:rPr>
    </w:lvl>
    <w:lvl w:ilvl="8">
      <w:start w:val="1"/>
      <w:numFmt w:val="decimal"/>
      <w:lvlText w:val="%1-%2.%3.%4.%5.%6.%7.%8.%9"/>
      <w:lvlJc w:val="left"/>
      <w:pPr>
        <w:tabs>
          <w:tab w:val="num" w:pos="3870"/>
        </w:tabs>
        <w:ind w:left="3870" w:hanging="510"/>
      </w:pPr>
      <w:rPr>
        <w:rFonts w:hint="eastAsia"/>
      </w:rPr>
    </w:lvl>
  </w:abstractNum>
  <w:abstractNum w:abstractNumId="13">
    <w:nsid w:val="360E0246"/>
    <w:multiLevelType w:val="hybridMultilevel"/>
    <w:tmpl w:val="077A2F58"/>
    <w:lvl w:ilvl="0" w:tplc="3B30FE5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653F0C"/>
    <w:multiLevelType w:val="singleLevel"/>
    <w:tmpl w:val="C540E4BA"/>
    <w:lvl w:ilvl="0">
      <w:start w:val="1"/>
      <w:numFmt w:val="decimal"/>
      <w:lvlText w:val="%1-"/>
      <w:lvlJc w:val="left"/>
      <w:pPr>
        <w:tabs>
          <w:tab w:val="num" w:pos="360"/>
        </w:tabs>
        <w:ind w:left="360" w:hanging="360"/>
      </w:pPr>
      <w:rPr>
        <w:rFonts w:hint="eastAsia"/>
      </w:rPr>
    </w:lvl>
  </w:abstractNum>
  <w:abstractNum w:abstractNumId="15">
    <w:nsid w:val="407E699B"/>
    <w:multiLevelType w:val="singleLevel"/>
    <w:tmpl w:val="503C6032"/>
    <w:lvl w:ilvl="0">
      <w:start w:val="1"/>
      <w:numFmt w:val="decimal"/>
      <w:lvlText w:val="%1."/>
      <w:lvlJc w:val="left"/>
      <w:pPr>
        <w:tabs>
          <w:tab w:val="num" w:pos="940"/>
        </w:tabs>
        <w:ind w:left="940" w:hanging="300"/>
      </w:pPr>
      <w:rPr>
        <w:rFonts w:hint="default"/>
      </w:rPr>
    </w:lvl>
  </w:abstractNum>
  <w:abstractNum w:abstractNumId="16">
    <w:nsid w:val="430978DE"/>
    <w:multiLevelType w:val="hybridMultilevel"/>
    <w:tmpl w:val="5FB6540E"/>
    <w:lvl w:ilvl="0" w:tplc="7A86C54C">
      <w:start w:val="1"/>
      <w:numFmt w:val="decimal"/>
      <w:lvlText w:val="%1)"/>
      <w:lvlJc w:val="left"/>
      <w:pPr>
        <w:tabs>
          <w:tab w:val="num" w:pos="705"/>
        </w:tabs>
        <w:ind w:left="705" w:hanging="42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7">
    <w:nsid w:val="47401FCD"/>
    <w:multiLevelType w:val="hybridMultilevel"/>
    <w:tmpl w:val="3ABC8D1A"/>
    <w:lvl w:ilvl="0" w:tplc="6E0C20CA">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791457A"/>
    <w:multiLevelType w:val="multilevel"/>
    <w:tmpl w:val="5CACA91A"/>
    <w:lvl w:ilvl="0">
      <w:start w:val="4"/>
      <w:numFmt w:val="decimal"/>
      <w:lvlText w:val="%1"/>
      <w:lvlJc w:val="left"/>
      <w:pPr>
        <w:tabs>
          <w:tab w:val="num" w:pos="510"/>
        </w:tabs>
        <w:ind w:left="510" w:hanging="510"/>
      </w:pPr>
      <w:rPr>
        <w:rFonts w:hint="eastAsia"/>
      </w:rPr>
    </w:lvl>
    <w:lvl w:ilvl="1">
      <w:start w:val="3"/>
      <w:numFmt w:val="decimal"/>
      <w:lvlText w:val="%1-%2"/>
      <w:lvlJc w:val="left"/>
      <w:pPr>
        <w:tabs>
          <w:tab w:val="num" w:pos="510"/>
        </w:tabs>
        <w:ind w:left="510" w:hanging="510"/>
      </w:pPr>
      <w:rPr>
        <w:rFonts w:hint="eastAsia"/>
      </w:rPr>
    </w:lvl>
    <w:lvl w:ilvl="2">
      <w:start w:val="1"/>
      <w:numFmt w:val="decimal"/>
      <w:lvlText w:val="%1-%2.%3"/>
      <w:lvlJc w:val="left"/>
      <w:pPr>
        <w:tabs>
          <w:tab w:val="num" w:pos="510"/>
        </w:tabs>
        <w:ind w:left="510" w:hanging="510"/>
      </w:pPr>
      <w:rPr>
        <w:rFonts w:hint="eastAsia"/>
      </w:rPr>
    </w:lvl>
    <w:lvl w:ilvl="3">
      <w:start w:val="1"/>
      <w:numFmt w:val="decimal"/>
      <w:lvlText w:val="%1-%2.%3.%4"/>
      <w:lvlJc w:val="left"/>
      <w:pPr>
        <w:tabs>
          <w:tab w:val="num" w:pos="510"/>
        </w:tabs>
        <w:ind w:left="510" w:hanging="510"/>
      </w:pPr>
      <w:rPr>
        <w:rFonts w:hint="eastAsia"/>
      </w:rPr>
    </w:lvl>
    <w:lvl w:ilvl="4">
      <w:start w:val="1"/>
      <w:numFmt w:val="decimal"/>
      <w:lvlText w:val="%1-%2.%3.%4.%5"/>
      <w:lvlJc w:val="left"/>
      <w:pPr>
        <w:tabs>
          <w:tab w:val="num" w:pos="510"/>
        </w:tabs>
        <w:ind w:left="510" w:hanging="510"/>
      </w:pPr>
      <w:rPr>
        <w:rFonts w:hint="eastAsia"/>
      </w:rPr>
    </w:lvl>
    <w:lvl w:ilvl="5">
      <w:start w:val="1"/>
      <w:numFmt w:val="decimal"/>
      <w:lvlText w:val="%1-%2.%3.%4.%5.%6"/>
      <w:lvlJc w:val="left"/>
      <w:pPr>
        <w:tabs>
          <w:tab w:val="num" w:pos="510"/>
        </w:tabs>
        <w:ind w:left="510" w:hanging="510"/>
      </w:pPr>
      <w:rPr>
        <w:rFonts w:hint="eastAsia"/>
      </w:rPr>
    </w:lvl>
    <w:lvl w:ilvl="6">
      <w:start w:val="1"/>
      <w:numFmt w:val="decimal"/>
      <w:lvlText w:val="%1-%2.%3.%4.%5.%6.%7"/>
      <w:lvlJc w:val="left"/>
      <w:pPr>
        <w:tabs>
          <w:tab w:val="num" w:pos="510"/>
        </w:tabs>
        <w:ind w:left="510" w:hanging="510"/>
      </w:pPr>
      <w:rPr>
        <w:rFonts w:hint="eastAsia"/>
      </w:rPr>
    </w:lvl>
    <w:lvl w:ilvl="7">
      <w:start w:val="1"/>
      <w:numFmt w:val="decimal"/>
      <w:lvlText w:val="%1-%2.%3.%4.%5.%6.%7.%8"/>
      <w:lvlJc w:val="left"/>
      <w:pPr>
        <w:tabs>
          <w:tab w:val="num" w:pos="510"/>
        </w:tabs>
        <w:ind w:left="510" w:hanging="510"/>
      </w:pPr>
      <w:rPr>
        <w:rFonts w:hint="eastAsia"/>
      </w:rPr>
    </w:lvl>
    <w:lvl w:ilvl="8">
      <w:start w:val="1"/>
      <w:numFmt w:val="decimal"/>
      <w:lvlText w:val="%1-%2.%3.%4.%5.%6.%7.%8.%9"/>
      <w:lvlJc w:val="left"/>
      <w:pPr>
        <w:tabs>
          <w:tab w:val="num" w:pos="510"/>
        </w:tabs>
        <w:ind w:left="510" w:hanging="510"/>
      </w:pPr>
      <w:rPr>
        <w:rFonts w:hint="eastAsia"/>
      </w:rPr>
    </w:lvl>
  </w:abstractNum>
  <w:abstractNum w:abstractNumId="19">
    <w:nsid w:val="4862229C"/>
    <w:multiLevelType w:val="singleLevel"/>
    <w:tmpl w:val="DA94ECC8"/>
    <w:lvl w:ilvl="0">
      <w:start w:val="2"/>
      <w:numFmt w:val="japaneseCounting"/>
      <w:lvlText w:val="第%1章"/>
      <w:lvlJc w:val="left"/>
      <w:pPr>
        <w:tabs>
          <w:tab w:val="num" w:pos="1305"/>
        </w:tabs>
        <w:ind w:left="1305" w:hanging="1305"/>
      </w:pPr>
      <w:rPr>
        <w:rFonts w:hint="eastAsia"/>
      </w:rPr>
    </w:lvl>
  </w:abstractNum>
  <w:abstractNum w:abstractNumId="20">
    <w:nsid w:val="487D1FD9"/>
    <w:multiLevelType w:val="singleLevel"/>
    <w:tmpl w:val="13842AA0"/>
    <w:lvl w:ilvl="0">
      <w:start w:val="1"/>
      <w:numFmt w:val="decimal"/>
      <w:lvlText w:val="%1."/>
      <w:lvlJc w:val="left"/>
      <w:pPr>
        <w:tabs>
          <w:tab w:val="num" w:pos="940"/>
        </w:tabs>
        <w:ind w:left="940" w:hanging="300"/>
      </w:pPr>
      <w:rPr>
        <w:rFonts w:hint="default"/>
      </w:rPr>
    </w:lvl>
  </w:abstractNum>
  <w:abstractNum w:abstractNumId="21">
    <w:nsid w:val="494E03E7"/>
    <w:multiLevelType w:val="hybridMultilevel"/>
    <w:tmpl w:val="9D927106"/>
    <w:lvl w:ilvl="0" w:tplc="BD68D262">
      <w:start w:val="4"/>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D9E68B4"/>
    <w:multiLevelType w:val="singleLevel"/>
    <w:tmpl w:val="0E7ADA42"/>
    <w:lvl w:ilvl="0">
      <w:start w:val="1"/>
      <w:numFmt w:val="decimal"/>
      <w:lvlText w:val="%1、"/>
      <w:lvlJc w:val="left"/>
      <w:pPr>
        <w:tabs>
          <w:tab w:val="num" w:pos="450"/>
        </w:tabs>
        <w:ind w:left="450" w:hanging="450"/>
      </w:pPr>
      <w:rPr>
        <w:rFonts w:hint="eastAsia"/>
      </w:rPr>
    </w:lvl>
  </w:abstractNum>
  <w:abstractNum w:abstractNumId="23">
    <w:nsid w:val="4EB247BD"/>
    <w:multiLevelType w:val="singleLevel"/>
    <w:tmpl w:val="ACAE1D52"/>
    <w:lvl w:ilvl="0">
      <w:start w:val="18"/>
      <w:numFmt w:val="japaneseCounting"/>
      <w:lvlText w:val="第%1条"/>
      <w:lvlJc w:val="left"/>
      <w:pPr>
        <w:tabs>
          <w:tab w:val="num" w:pos="2100"/>
        </w:tabs>
        <w:ind w:left="2100" w:hanging="1500"/>
      </w:pPr>
      <w:rPr>
        <w:rFonts w:hint="eastAsia"/>
      </w:rPr>
    </w:lvl>
  </w:abstractNum>
  <w:abstractNum w:abstractNumId="24">
    <w:nsid w:val="55FE2CF4"/>
    <w:multiLevelType w:val="singleLevel"/>
    <w:tmpl w:val="8CB46160"/>
    <w:lvl w:ilvl="0">
      <w:start w:val="21"/>
      <w:numFmt w:val="japaneseCounting"/>
      <w:lvlText w:val="第%1条"/>
      <w:lvlJc w:val="left"/>
      <w:pPr>
        <w:tabs>
          <w:tab w:val="num" w:pos="2520"/>
        </w:tabs>
        <w:ind w:left="2520" w:hanging="1920"/>
      </w:pPr>
      <w:rPr>
        <w:rFonts w:hint="eastAsia"/>
        <w:b/>
      </w:rPr>
    </w:lvl>
  </w:abstractNum>
  <w:abstractNum w:abstractNumId="25">
    <w:nsid w:val="57924C34"/>
    <w:multiLevelType w:val="multilevel"/>
    <w:tmpl w:val="62D8546A"/>
    <w:lvl w:ilvl="0">
      <w:start w:val="1"/>
      <w:numFmt w:val="decimal"/>
      <w:lvlText w:val="%1"/>
      <w:lvlJc w:val="left"/>
      <w:pPr>
        <w:tabs>
          <w:tab w:val="num" w:pos="360"/>
        </w:tabs>
        <w:ind w:left="360" w:hanging="360"/>
      </w:pPr>
      <w:rPr>
        <w:rFonts w:hint="eastAsia"/>
      </w:rPr>
    </w:lvl>
    <w:lvl w:ilvl="1">
      <w:start w:val="4"/>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26">
    <w:nsid w:val="5CBC5288"/>
    <w:multiLevelType w:val="singleLevel"/>
    <w:tmpl w:val="D85034F2"/>
    <w:lvl w:ilvl="0">
      <w:start w:val="1"/>
      <w:numFmt w:val="japaneseCounting"/>
      <w:lvlText w:val="%1、"/>
      <w:lvlJc w:val="left"/>
      <w:pPr>
        <w:tabs>
          <w:tab w:val="num" w:pos="420"/>
        </w:tabs>
        <w:ind w:left="420" w:hanging="420"/>
      </w:pPr>
      <w:rPr>
        <w:rFonts w:hint="eastAsia"/>
      </w:rPr>
    </w:lvl>
  </w:abstractNum>
  <w:abstractNum w:abstractNumId="27">
    <w:nsid w:val="5D804382"/>
    <w:multiLevelType w:val="singleLevel"/>
    <w:tmpl w:val="4E5E00DC"/>
    <w:lvl w:ilvl="0">
      <w:start w:val="1"/>
      <w:numFmt w:val="japaneseCounting"/>
      <w:lvlText w:val="%1、"/>
      <w:lvlJc w:val="left"/>
      <w:pPr>
        <w:tabs>
          <w:tab w:val="num" w:pos="525"/>
        </w:tabs>
        <w:ind w:left="525" w:hanging="420"/>
      </w:pPr>
      <w:rPr>
        <w:rFonts w:hint="eastAsia"/>
      </w:rPr>
    </w:lvl>
  </w:abstractNum>
  <w:abstractNum w:abstractNumId="28">
    <w:nsid w:val="5FA74516"/>
    <w:multiLevelType w:val="hybridMultilevel"/>
    <w:tmpl w:val="F43C3DBA"/>
    <w:lvl w:ilvl="0" w:tplc="38626C46">
      <w:start w:val="1"/>
      <w:numFmt w:val="japaneseCounting"/>
      <w:pStyle w:val="1"/>
      <w:lvlText w:val="%1、"/>
      <w:lvlJc w:val="left"/>
      <w:pPr>
        <w:tabs>
          <w:tab w:val="num" w:pos="885"/>
        </w:tabs>
        <w:ind w:left="885" w:hanging="885"/>
      </w:pPr>
      <w:rPr>
        <w:rFonts w:hint="eastAsia"/>
        <w:b/>
        <w:sz w:val="44"/>
      </w:rPr>
    </w:lvl>
    <w:lvl w:ilvl="1" w:tplc="1F8A572A">
      <w:start w:val="1"/>
      <w:numFmt w:val="decimal"/>
      <w:lvlText w:val="%2、"/>
      <w:lvlJc w:val="left"/>
      <w:pPr>
        <w:tabs>
          <w:tab w:val="num" w:pos="780"/>
        </w:tabs>
        <w:ind w:left="780" w:hanging="360"/>
      </w:pPr>
      <w:rPr>
        <w:rFonts w:hint="eastAsia"/>
      </w:rPr>
    </w:lvl>
    <w:lvl w:ilvl="2" w:tplc="4FA27AFC">
      <w:start w:val="1"/>
      <w:numFmt w:val="bullet"/>
      <w:lvlText w:val=""/>
      <w:lvlJc w:val="left"/>
      <w:pPr>
        <w:tabs>
          <w:tab w:val="num" w:pos="1260"/>
        </w:tabs>
        <w:ind w:left="1260" w:hanging="420"/>
      </w:pPr>
      <w:rPr>
        <w:rFonts w:ascii="Wingdings" w:hAnsi="Wingdings" w:hint="default"/>
        <w:b/>
        <w:sz w:val="44"/>
      </w:rPr>
    </w:lvl>
    <w:lvl w:ilvl="3" w:tplc="B2A613C8" w:tentative="1">
      <w:start w:val="1"/>
      <w:numFmt w:val="decimal"/>
      <w:lvlText w:val="%4."/>
      <w:lvlJc w:val="left"/>
      <w:pPr>
        <w:tabs>
          <w:tab w:val="num" w:pos="1680"/>
        </w:tabs>
        <w:ind w:left="1680" w:hanging="420"/>
      </w:pPr>
    </w:lvl>
    <w:lvl w:ilvl="4" w:tplc="1CAA0C9C" w:tentative="1">
      <w:start w:val="1"/>
      <w:numFmt w:val="lowerLetter"/>
      <w:lvlText w:val="%5)"/>
      <w:lvlJc w:val="left"/>
      <w:pPr>
        <w:tabs>
          <w:tab w:val="num" w:pos="2100"/>
        </w:tabs>
        <w:ind w:left="2100" w:hanging="420"/>
      </w:pPr>
    </w:lvl>
    <w:lvl w:ilvl="5" w:tplc="0E7E566A" w:tentative="1">
      <w:start w:val="1"/>
      <w:numFmt w:val="lowerRoman"/>
      <w:lvlText w:val="%6."/>
      <w:lvlJc w:val="right"/>
      <w:pPr>
        <w:tabs>
          <w:tab w:val="num" w:pos="2520"/>
        </w:tabs>
        <w:ind w:left="2520" w:hanging="420"/>
      </w:pPr>
    </w:lvl>
    <w:lvl w:ilvl="6" w:tplc="B6148EDC" w:tentative="1">
      <w:start w:val="1"/>
      <w:numFmt w:val="decimal"/>
      <w:lvlText w:val="%7."/>
      <w:lvlJc w:val="left"/>
      <w:pPr>
        <w:tabs>
          <w:tab w:val="num" w:pos="2940"/>
        </w:tabs>
        <w:ind w:left="2940" w:hanging="420"/>
      </w:pPr>
    </w:lvl>
    <w:lvl w:ilvl="7" w:tplc="FC8AC776" w:tentative="1">
      <w:start w:val="1"/>
      <w:numFmt w:val="lowerLetter"/>
      <w:lvlText w:val="%8)"/>
      <w:lvlJc w:val="left"/>
      <w:pPr>
        <w:tabs>
          <w:tab w:val="num" w:pos="3360"/>
        </w:tabs>
        <w:ind w:left="3360" w:hanging="420"/>
      </w:pPr>
    </w:lvl>
    <w:lvl w:ilvl="8" w:tplc="B080A016" w:tentative="1">
      <w:start w:val="1"/>
      <w:numFmt w:val="lowerRoman"/>
      <w:lvlText w:val="%9."/>
      <w:lvlJc w:val="right"/>
      <w:pPr>
        <w:tabs>
          <w:tab w:val="num" w:pos="3780"/>
        </w:tabs>
        <w:ind w:left="3780" w:hanging="420"/>
      </w:pPr>
    </w:lvl>
  </w:abstractNum>
  <w:abstractNum w:abstractNumId="29">
    <w:nsid w:val="665766BC"/>
    <w:multiLevelType w:val="singleLevel"/>
    <w:tmpl w:val="1A929C70"/>
    <w:lvl w:ilvl="0">
      <w:start w:val="1"/>
      <w:numFmt w:val="japaneseCounting"/>
      <w:lvlText w:val="%1、"/>
      <w:lvlJc w:val="left"/>
      <w:pPr>
        <w:tabs>
          <w:tab w:val="num" w:pos="600"/>
        </w:tabs>
        <w:ind w:left="600" w:hanging="600"/>
      </w:pPr>
      <w:rPr>
        <w:rFonts w:hint="eastAsia"/>
      </w:rPr>
    </w:lvl>
  </w:abstractNum>
  <w:abstractNum w:abstractNumId="30">
    <w:nsid w:val="687D5866"/>
    <w:multiLevelType w:val="singleLevel"/>
    <w:tmpl w:val="0409000F"/>
    <w:lvl w:ilvl="0">
      <w:start w:val="1"/>
      <w:numFmt w:val="decimal"/>
      <w:lvlText w:val="%1."/>
      <w:lvlJc w:val="left"/>
      <w:pPr>
        <w:tabs>
          <w:tab w:val="num" w:pos="425"/>
        </w:tabs>
        <w:ind w:left="425" w:hanging="425"/>
      </w:pPr>
    </w:lvl>
  </w:abstractNum>
  <w:abstractNum w:abstractNumId="31">
    <w:nsid w:val="6C8B6B11"/>
    <w:multiLevelType w:val="multilevel"/>
    <w:tmpl w:val="5EF0B110"/>
    <w:lvl w:ilvl="0">
      <w:start w:val="1"/>
      <w:numFmt w:val="decimal"/>
      <w:lvlText w:val="%1"/>
      <w:lvlJc w:val="left"/>
      <w:pPr>
        <w:tabs>
          <w:tab w:val="num" w:pos="510"/>
        </w:tabs>
        <w:ind w:left="510" w:hanging="510"/>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510"/>
        </w:tabs>
        <w:ind w:left="510" w:hanging="510"/>
      </w:pPr>
      <w:rPr>
        <w:rFonts w:hint="eastAsia"/>
      </w:rPr>
    </w:lvl>
    <w:lvl w:ilvl="3">
      <w:start w:val="1"/>
      <w:numFmt w:val="decimal"/>
      <w:lvlText w:val="%1-%2.%3.%4"/>
      <w:lvlJc w:val="left"/>
      <w:pPr>
        <w:tabs>
          <w:tab w:val="num" w:pos="510"/>
        </w:tabs>
        <w:ind w:left="510" w:hanging="510"/>
      </w:pPr>
      <w:rPr>
        <w:rFonts w:hint="eastAsia"/>
      </w:rPr>
    </w:lvl>
    <w:lvl w:ilvl="4">
      <w:start w:val="1"/>
      <w:numFmt w:val="decimal"/>
      <w:lvlText w:val="%1-%2.%3.%4.%5"/>
      <w:lvlJc w:val="left"/>
      <w:pPr>
        <w:tabs>
          <w:tab w:val="num" w:pos="510"/>
        </w:tabs>
        <w:ind w:left="510" w:hanging="510"/>
      </w:pPr>
      <w:rPr>
        <w:rFonts w:hint="eastAsia"/>
      </w:rPr>
    </w:lvl>
    <w:lvl w:ilvl="5">
      <w:start w:val="1"/>
      <w:numFmt w:val="decimal"/>
      <w:lvlText w:val="%1-%2.%3.%4.%5.%6"/>
      <w:lvlJc w:val="left"/>
      <w:pPr>
        <w:tabs>
          <w:tab w:val="num" w:pos="510"/>
        </w:tabs>
        <w:ind w:left="510" w:hanging="510"/>
      </w:pPr>
      <w:rPr>
        <w:rFonts w:hint="eastAsia"/>
      </w:rPr>
    </w:lvl>
    <w:lvl w:ilvl="6">
      <w:start w:val="1"/>
      <w:numFmt w:val="decimal"/>
      <w:lvlText w:val="%1-%2.%3.%4.%5.%6.%7"/>
      <w:lvlJc w:val="left"/>
      <w:pPr>
        <w:tabs>
          <w:tab w:val="num" w:pos="510"/>
        </w:tabs>
        <w:ind w:left="510" w:hanging="510"/>
      </w:pPr>
      <w:rPr>
        <w:rFonts w:hint="eastAsia"/>
      </w:rPr>
    </w:lvl>
    <w:lvl w:ilvl="7">
      <w:start w:val="1"/>
      <w:numFmt w:val="decimal"/>
      <w:lvlText w:val="%1-%2.%3.%4.%5.%6.%7.%8"/>
      <w:lvlJc w:val="left"/>
      <w:pPr>
        <w:tabs>
          <w:tab w:val="num" w:pos="510"/>
        </w:tabs>
        <w:ind w:left="510" w:hanging="510"/>
      </w:pPr>
      <w:rPr>
        <w:rFonts w:hint="eastAsia"/>
      </w:rPr>
    </w:lvl>
    <w:lvl w:ilvl="8">
      <w:start w:val="1"/>
      <w:numFmt w:val="decimal"/>
      <w:lvlText w:val="%1-%2.%3.%4.%5.%6.%7.%8.%9"/>
      <w:lvlJc w:val="left"/>
      <w:pPr>
        <w:tabs>
          <w:tab w:val="num" w:pos="510"/>
        </w:tabs>
        <w:ind w:left="510" w:hanging="510"/>
      </w:pPr>
      <w:rPr>
        <w:rFonts w:hint="eastAsia"/>
      </w:rPr>
    </w:lvl>
  </w:abstractNum>
  <w:abstractNum w:abstractNumId="32">
    <w:nsid w:val="6CA24574"/>
    <w:multiLevelType w:val="singleLevel"/>
    <w:tmpl w:val="83C0C95A"/>
    <w:lvl w:ilvl="0">
      <w:start w:val="1"/>
      <w:numFmt w:val="japaneseCounting"/>
      <w:lvlText w:val="%1、"/>
      <w:lvlJc w:val="left"/>
      <w:pPr>
        <w:tabs>
          <w:tab w:val="num" w:pos="1125"/>
        </w:tabs>
        <w:ind w:left="1125" w:hanging="570"/>
      </w:pPr>
      <w:rPr>
        <w:rFonts w:hint="eastAsia"/>
      </w:rPr>
    </w:lvl>
  </w:abstractNum>
  <w:abstractNum w:abstractNumId="33">
    <w:nsid w:val="6DFA5613"/>
    <w:multiLevelType w:val="hybridMultilevel"/>
    <w:tmpl w:val="BEB0ED90"/>
    <w:lvl w:ilvl="0" w:tplc="D6E81EB4">
      <w:start w:val="1"/>
      <w:numFmt w:val="decimal"/>
      <w:lvlText w:val="%1)"/>
      <w:lvlJc w:val="left"/>
      <w:pPr>
        <w:tabs>
          <w:tab w:val="num" w:pos="420"/>
        </w:tabs>
        <w:ind w:left="420" w:hanging="420"/>
      </w:pPr>
    </w:lvl>
    <w:lvl w:ilvl="1" w:tplc="5C16476C" w:tentative="1">
      <w:start w:val="1"/>
      <w:numFmt w:val="lowerLetter"/>
      <w:lvlText w:val="%2)"/>
      <w:lvlJc w:val="left"/>
      <w:pPr>
        <w:tabs>
          <w:tab w:val="num" w:pos="840"/>
        </w:tabs>
        <w:ind w:left="840" w:hanging="420"/>
      </w:pPr>
    </w:lvl>
    <w:lvl w:ilvl="2" w:tplc="576EB2EE" w:tentative="1">
      <w:start w:val="1"/>
      <w:numFmt w:val="lowerRoman"/>
      <w:lvlText w:val="%3."/>
      <w:lvlJc w:val="right"/>
      <w:pPr>
        <w:tabs>
          <w:tab w:val="num" w:pos="1260"/>
        </w:tabs>
        <w:ind w:left="1260" w:hanging="420"/>
      </w:pPr>
    </w:lvl>
    <w:lvl w:ilvl="3" w:tplc="E5E65F8E" w:tentative="1">
      <w:start w:val="1"/>
      <w:numFmt w:val="decimal"/>
      <w:lvlText w:val="%4."/>
      <w:lvlJc w:val="left"/>
      <w:pPr>
        <w:tabs>
          <w:tab w:val="num" w:pos="1680"/>
        </w:tabs>
        <w:ind w:left="1680" w:hanging="420"/>
      </w:pPr>
    </w:lvl>
    <w:lvl w:ilvl="4" w:tplc="2EDE5748" w:tentative="1">
      <w:start w:val="1"/>
      <w:numFmt w:val="lowerLetter"/>
      <w:lvlText w:val="%5)"/>
      <w:lvlJc w:val="left"/>
      <w:pPr>
        <w:tabs>
          <w:tab w:val="num" w:pos="2100"/>
        </w:tabs>
        <w:ind w:left="2100" w:hanging="420"/>
      </w:pPr>
    </w:lvl>
    <w:lvl w:ilvl="5" w:tplc="CC2C7286" w:tentative="1">
      <w:start w:val="1"/>
      <w:numFmt w:val="lowerRoman"/>
      <w:lvlText w:val="%6."/>
      <w:lvlJc w:val="right"/>
      <w:pPr>
        <w:tabs>
          <w:tab w:val="num" w:pos="2520"/>
        </w:tabs>
        <w:ind w:left="2520" w:hanging="420"/>
      </w:pPr>
    </w:lvl>
    <w:lvl w:ilvl="6" w:tplc="082A95D8" w:tentative="1">
      <w:start w:val="1"/>
      <w:numFmt w:val="decimal"/>
      <w:lvlText w:val="%7."/>
      <w:lvlJc w:val="left"/>
      <w:pPr>
        <w:tabs>
          <w:tab w:val="num" w:pos="2940"/>
        </w:tabs>
        <w:ind w:left="2940" w:hanging="420"/>
      </w:pPr>
    </w:lvl>
    <w:lvl w:ilvl="7" w:tplc="F404FB02" w:tentative="1">
      <w:start w:val="1"/>
      <w:numFmt w:val="lowerLetter"/>
      <w:lvlText w:val="%8)"/>
      <w:lvlJc w:val="left"/>
      <w:pPr>
        <w:tabs>
          <w:tab w:val="num" w:pos="3360"/>
        </w:tabs>
        <w:ind w:left="3360" w:hanging="420"/>
      </w:pPr>
    </w:lvl>
    <w:lvl w:ilvl="8" w:tplc="0CC07570" w:tentative="1">
      <w:start w:val="1"/>
      <w:numFmt w:val="lowerRoman"/>
      <w:lvlText w:val="%9."/>
      <w:lvlJc w:val="right"/>
      <w:pPr>
        <w:tabs>
          <w:tab w:val="num" w:pos="3780"/>
        </w:tabs>
        <w:ind w:left="3780" w:hanging="420"/>
      </w:pPr>
    </w:lvl>
  </w:abstractNum>
  <w:abstractNum w:abstractNumId="34">
    <w:nsid w:val="7177373C"/>
    <w:multiLevelType w:val="multilevel"/>
    <w:tmpl w:val="F5CE9994"/>
    <w:lvl w:ilvl="0">
      <w:start w:val="5"/>
      <w:numFmt w:val="japaneseCounting"/>
      <w:lvlText w:val="%1、"/>
      <w:lvlJc w:val="left"/>
      <w:pPr>
        <w:tabs>
          <w:tab w:val="num" w:pos="405"/>
        </w:tabs>
        <w:ind w:left="405" w:hanging="405"/>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5">
    <w:nsid w:val="727C3F01"/>
    <w:multiLevelType w:val="multilevel"/>
    <w:tmpl w:val="E40C3460"/>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1140"/>
        </w:tabs>
        <w:ind w:left="1140" w:hanging="72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6">
    <w:nsid w:val="77B773D9"/>
    <w:multiLevelType w:val="singleLevel"/>
    <w:tmpl w:val="2A567F06"/>
    <w:lvl w:ilvl="0">
      <w:start w:val="1"/>
      <w:numFmt w:val="decimal"/>
      <w:lvlText w:val="%1."/>
      <w:lvlJc w:val="left"/>
      <w:pPr>
        <w:tabs>
          <w:tab w:val="num" w:pos="1020"/>
        </w:tabs>
        <w:ind w:left="1020" w:hanging="330"/>
      </w:pPr>
      <w:rPr>
        <w:rFonts w:hint="eastAsia"/>
      </w:rPr>
    </w:lvl>
  </w:abstractNum>
  <w:abstractNum w:abstractNumId="37">
    <w:nsid w:val="78D84CAA"/>
    <w:multiLevelType w:val="multilevel"/>
    <w:tmpl w:val="B2EC89B4"/>
    <w:lvl w:ilvl="0">
      <w:start w:val="4"/>
      <w:numFmt w:val="decimal"/>
      <w:lvlText w:val="%1"/>
      <w:lvlJc w:val="left"/>
      <w:pPr>
        <w:tabs>
          <w:tab w:val="num" w:pos="510"/>
        </w:tabs>
        <w:ind w:left="510" w:hanging="510"/>
      </w:pPr>
      <w:rPr>
        <w:rFonts w:hint="eastAsia"/>
      </w:rPr>
    </w:lvl>
    <w:lvl w:ilvl="1">
      <w:start w:val="2"/>
      <w:numFmt w:val="decimal"/>
      <w:lvlText w:val="%1-%2"/>
      <w:lvlJc w:val="left"/>
      <w:pPr>
        <w:tabs>
          <w:tab w:val="num" w:pos="930"/>
        </w:tabs>
        <w:ind w:left="930" w:hanging="510"/>
      </w:pPr>
      <w:rPr>
        <w:rFonts w:hint="eastAsia"/>
      </w:rPr>
    </w:lvl>
    <w:lvl w:ilvl="2">
      <w:start w:val="1"/>
      <w:numFmt w:val="decimal"/>
      <w:lvlText w:val="%1-%2.%3"/>
      <w:lvlJc w:val="left"/>
      <w:pPr>
        <w:tabs>
          <w:tab w:val="num" w:pos="1350"/>
        </w:tabs>
        <w:ind w:left="1350" w:hanging="510"/>
      </w:pPr>
      <w:rPr>
        <w:rFonts w:hint="eastAsia"/>
      </w:rPr>
    </w:lvl>
    <w:lvl w:ilvl="3">
      <w:start w:val="1"/>
      <w:numFmt w:val="decimal"/>
      <w:lvlText w:val="%1-%2.%3.%4"/>
      <w:lvlJc w:val="left"/>
      <w:pPr>
        <w:tabs>
          <w:tab w:val="num" w:pos="1770"/>
        </w:tabs>
        <w:ind w:left="1770" w:hanging="510"/>
      </w:pPr>
      <w:rPr>
        <w:rFonts w:hint="eastAsia"/>
      </w:rPr>
    </w:lvl>
    <w:lvl w:ilvl="4">
      <w:start w:val="1"/>
      <w:numFmt w:val="decimal"/>
      <w:lvlText w:val="%1-%2.%3.%4.%5"/>
      <w:lvlJc w:val="left"/>
      <w:pPr>
        <w:tabs>
          <w:tab w:val="num" w:pos="2190"/>
        </w:tabs>
        <w:ind w:left="2190" w:hanging="510"/>
      </w:pPr>
      <w:rPr>
        <w:rFonts w:hint="eastAsia"/>
      </w:rPr>
    </w:lvl>
    <w:lvl w:ilvl="5">
      <w:start w:val="1"/>
      <w:numFmt w:val="decimal"/>
      <w:lvlText w:val="%1-%2.%3.%4.%5.%6"/>
      <w:lvlJc w:val="left"/>
      <w:pPr>
        <w:tabs>
          <w:tab w:val="num" w:pos="2610"/>
        </w:tabs>
        <w:ind w:left="2610" w:hanging="510"/>
      </w:pPr>
      <w:rPr>
        <w:rFonts w:hint="eastAsia"/>
      </w:rPr>
    </w:lvl>
    <w:lvl w:ilvl="6">
      <w:start w:val="1"/>
      <w:numFmt w:val="decimal"/>
      <w:lvlText w:val="%1-%2.%3.%4.%5.%6.%7"/>
      <w:lvlJc w:val="left"/>
      <w:pPr>
        <w:tabs>
          <w:tab w:val="num" w:pos="3030"/>
        </w:tabs>
        <w:ind w:left="3030" w:hanging="510"/>
      </w:pPr>
      <w:rPr>
        <w:rFonts w:hint="eastAsia"/>
      </w:rPr>
    </w:lvl>
    <w:lvl w:ilvl="7">
      <w:start w:val="1"/>
      <w:numFmt w:val="decimal"/>
      <w:lvlText w:val="%1-%2.%3.%4.%5.%6.%7.%8"/>
      <w:lvlJc w:val="left"/>
      <w:pPr>
        <w:tabs>
          <w:tab w:val="num" w:pos="3450"/>
        </w:tabs>
        <w:ind w:left="3450" w:hanging="510"/>
      </w:pPr>
      <w:rPr>
        <w:rFonts w:hint="eastAsia"/>
      </w:rPr>
    </w:lvl>
    <w:lvl w:ilvl="8">
      <w:start w:val="1"/>
      <w:numFmt w:val="decimal"/>
      <w:lvlText w:val="%1-%2.%3.%4.%5.%6.%7.%8.%9"/>
      <w:lvlJc w:val="left"/>
      <w:pPr>
        <w:tabs>
          <w:tab w:val="num" w:pos="3870"/>
        </w:tabs>
        <w:ind w:left="3870" w:hanging="510"/>
      </w:pPr>
      <w:rPr>
        <w:rFonts w:hint="eastAsia"/>
      </w:rPr>
    </w:lvl>
  </w:abstractNum>
  <w:abstractNum w:abstractNumId="38">
    <w:nsid w:val="7AA0196E"/>
    <w:multiLevelType w:val="hybridMultilevel"/>
    <w:tmpl w:val="6A082B50"/>
    <w:lvl w:ilvl="0" w:tplc="EFA4FFB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AB262C5"/>
    <w:multiLevelType w:val="singleLevel"/>
    <w:tmpl w:val="0409000F"/>
    <w:lvl w:ilvl="0">
      <w:start w:val="1"/>
      <w:numFmt w:val="decimal"/>
      <w:lvlText w:val="%1."/>
      <w:lvlJc w:val="left"/>
      <w:pPr>
        <w:tabs>
          <w:tab w:val="num" w:pos="425"/>
        </w:tabs>
        <w:ind w:left="425" w:hanging="425"/>
      </w:pPr>
    </w:lvl>
  </w:abstractNum>
  <w:abstractNum w:abstractNumId="40">
    <w:nsid w:val="7BAE219A"/>
    <w:multiLevelType w:val="singleLevel"/>
    <w:tmpl w:val="A648A97C"/>
    <w:lvl w:ilvl="0">
      <w:start w:val="1"/>
      <w:numFmt w:val="decimal"/>
      <w:lvlText w:val="%1、"/>
      <w:lvlJc w:val="left"/>
      <w:pPr>
        <w:tabs>
          <w:tab w:val="num" w:pos="1095"/>
        </w:tabs>
        <w:ind w:left="1095" w:hanging="465"/>
      </w:pPr>
      <w:rPr>
        <w:rFonts w:hint="eastAsia"/>
      </w:rPr>
    </w:lvl>
  </w:abstractNum>
  <w:abstractNum w:abstractNumId="41">
    <w:nsid w:val="7DE50062"/>
    <w:multiLevelType w:val="singleLevel"/>
    <w:tmpl w:val="B9B01044"/>
    <w:lvl w:ilvl="0">
      <w:start w:val="3"/>
      <w:numFmt w:val="japaneseCounting"/>
      <w:lvlText w:val="第%1章"/>
      <w:lvlJc w:val="left"/>
      <w:pPr>
        <w:tabs>
          <w:tab w:val="num" w:pos="1590"/>
        </w:tabs>
        <w:ind w:left="1590" w:hanging="1590"/>
      </w:pPr>
      <w:rPr>
        <w:rFonts w:hint="eastAsia"/>
      </w:rPr>
    </w:lvl>
  </w:abstractNum>
  <w:num w:numId="1">
    <w:abstractNumId w:val="36"/>
  </w:num>
  <w:num w:numId="2">
    <w:abstractNumId w:val="19"/>
  </w:num>
  <w:num w:numId="3">
    <w:abstractNumId w:val="20"/>
  </w:num>
  <w:num w:numId="4">
    <w:abstractNumId w:val="15"/>
  </w:num>
  <w:num w:numId="5">
    <w:abstractNumId w:val="23"/>
  </w:num>
  <w:num w:numId="6">
    <w:abstractNumId w:val="5"/>
  </w:num>
  <w:num w:numId="7">
    <w:abstractNumId w:val="2"/>
  </w:num>
  <w:num w:numId="8">
    <w:abstractNumId w:val="40"/>
  </w:num>
  <w:num w:numId="9">
    <w:abstractNumId w:val="24"/>
  </w:num>
  <w:num w:numId="10">
    <w:abstractNumId w:val="30"/>
  </w:num>
  <w:num w:numId="11">
    <w:abstractNumId w:val="9"/>
  </w:num>
  <w:num w:numId="12">
    <w:abstractNumId w:val="4"/>
  </w:num>
  <w:num w:numId="13">
    <w:abstractNumId w:val="14"/>
  </w:num>
  <w:num w:numId="14">
    <w:abstractNumId w:val="7"/>
  </w:num>
  <w:num w:numId="15">
    <w:abstractNumId w:val="10"/>
  </w:num>
  <w:num w:numId="16">
    <w:abstractNumId w:val="18"/>
  </w:num>
  <w:num w:numId="17">
    <w:abstractNumId w:val="26"/>
  </w:num>
  <w:num w:numId="18">
    <w:abstractNumId w:val="25"/>
  </w:num>
  <w:num w:numId="19">
    <w:abstractNumId w:val="31"/>
  </w:num>
  <w:num w:numId="20">
    <w:abstractNumId w:val="12"/>
  </w:num>
  <w:num w:numId="21">
    <w:abstractNumId w:val="37"/>
  </w:num>
  <w:num w:numId="22">
    <w:abstractNumId w:val="11"/>
  </w:num>
  <w:num w:numId="23">
    <w:abstractNumId w:val="27"/>
  </w:num>
  <w:num w:numId="24">
    <w:abstractNumId w:val="6"/>
  </w:num>
  <w:num w:numId="25">
    <w:abstractNumId w:val="34"/>
  </w:num>
  <w:num w:numId="26">
    <w:abstractNumId w:val="32"/>
  </w:num>
  <w:num w:numId="27">
    <w:abstractNumId w:val="1"/>
  </w:num>
  <w:num w:numId="28">
    <w:abstractNumId w:val="35"/>
  </w:num>
  <w:num w:numId="29">
    <w:abstractNumId w:val="29"/>
  </w:num>
  <w:num w:numId="30">
    <w:abstractNumId w:val="0"/>
  </w:num>
  <w:num w:numId="31">
    <w:abstractNumId w:val="22"/>
  </w:num>
  <w:num w:numId="32">
    <w:abstractNumId w:val="41"/>
  </w:num>
  <w:num w:numId="33">
    <w:abstractNumId w:val="39"/>
  </w:num>
  <w:num w:numId="34">
    <w:abstractNumId w:val="21"/>
  </w:num>
  <w:num w:numId="35">
    <w:abstractNumId w:val="13"/>
  </w:num>
  <w:num w:numId="36">
    <w:abstractNumId w:val="17"/>
  </w:num>
  <w:num w:numId="37">
    <w:abstractNumId w:val="33"/>
  </w:num>
  <w:num w:numId="38">
    <w:abstractNumId w:val="28"/>
  </w:num>
  <w:num w:numId="39">
    <w:abstractNumId w:val="16"/>
  </w:num>
  <w:num w:numId="40">
    <w:abstractNumId w:val="8"/>
  </w:num>
  <w:num w:numId="41">
    <w:abstractNumId w:val="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numPr>
        <w:numId w:val="38"/>
      </w:numPr>
      <w:ind w:left="0" w:firstLine="0"/>
      <w:jc w:val="center"/>
      <w:outlineLvl w:val="0"/>
    </w:pPr>
    <w:rPr>
      <w:b/>
      <w:bCs/>
      <w:sz w:val="44"/>
    </w:rPr>
  </w:style>
  <w:style w:type="paragraph" w:styleId="2">
    <w:name w:val="heading 2"/>
    <w:basedOn w:val="a"/>
    <w:next w:val="a"/>
    <w:autoRedefine/>
    <w:qFormat/>
    <w:pPr>
      <w:outlineLvl w:val="1"/>
    </w:pPr>
    <w:rPr>
      <w:rFonts w:eastAsia="黑体"/>
      <w:sz w:val="28"/>
      <w:szCs w:val="28"/>
    </w:rPr>
  </w:style>
  <w:style w:type="paragraph" w:styleId="3">
    <w:name w:val="heading 3"/>
    <w:basedOn w:val="a"/>
    <w:next w:val="a"/>
    <w:qFormat/>
    <w:pPr>
      <w:adjustRightInd w:val="0"/>
      <w:snapToGrid w:val="0"/>
      <w:spacing w:beforeLines="40" w:afterLines="40"/>
      <w:outlineLvl w:val="2"/>
    </w:pPr>
    <w:rPr>
      <w:rFonts w:eastAsia="黑体"/>
      <w:sz w:val="24"/>
      <w:szCs w:val="24"/>
    </w:rPr>
  </w:style>
  <w:style w:type="paragraph" w:styleId="4">
    <w:name w:val="heading 4"/>
    <w:basedOn w:val="a"/>
    <w:next w:val="a"/>
    <w:autoRedefine/>
    <w:qFormat/>
    <w:pPr>
      <w:keepNext/>
      <w:keepLines/>
      <w:adjustRightInd w:val="0"/>
      <w:snapToGrid w:val="0"/>
      <w:spacing w:before="100" w:after="100"/>
      <w:ind w:firstLineChars="200" w:firstLine="480"/>
      <w:outlineLvl w:val="3"/>
    </w:pPr>
    <w:rPr>
      <w:rFonts w:eastAsia="黑体"/>
      <w:bCs/>
      <w:sz w:val="24"/>
      <w:szCs w:val="24"/>
    </w:rPr>
  </w:style>
  <w:style w:type="paragraph" w:styleId="5">
    <w:name w:val="heading 5"/>
    <w:basedOn w:val="a"/>
    <w:next w:val="a"/>
    <w:autoRedefine/>
    <w:qFormat/>
    <w:pPr>
      <w:keepNext/>
      <w:keepLines/>
      <w:tabs>
        <w:tab w:val="num" w:pos="1008"/>
      </w:tabs>
      <w:adjustRightInd w:val="0"/>
      <w:snapToGrid w:val="0"/>
      <w:spacing w:beforeLines="75" w:afterLines="75"/>
      <w:ind w:left="1008" w:hanging="1008"/>
      <w:outlineLvl w:val="4"/>
    </w:pPr>
    <w:rPr>
      <w:rFonts w:eastAsia="黑体"/>
      <w:bCs/>
      <w:sz w:val="24"/>
      <w:szCs w:val="24"/>
    </w:rPr>
  </w:style>
  <w:style w:type="paragraph" w:styleId="6">
    <w:name w:val="heading 6"/>
    <w:basedOn w:val="a"/>
    <w:next w:val="a"/>
    <w:qFormat/>
    <w:pPr>
      <w:keepNext/>
      <w:keepLines/>
      <w:tabs>
        <w:tab w:val="num" w:pos="1152"/>
      </w:tabs>
      <w:spacing w:before="240" w:after="64" w:line="320" w:lineRule="auto"/>
      <w:ind w:left="1152" w:hanging="1152"/>
      <w:outlineLvl w:val="5"/>
    </w:pPr>
    <w:rPr>
      <w:rFonts w:ascii="Arial" w:eastAsia="黑体" w:hAnsi="Arial"/>
      <w:b/>
      <w:bCs/>
      <w:sz w:val="24"/>
      <w:szCs w:val="24"/>
    </w:rPr>
  </w:style>
  <w:style w:type="paragraph" w:styleId="7">
    <w:name w:val="heading 7"/>
    <w:basedOn w:val="a"/>
    <w:next w:val="a"/>
    <w:qFormat/>
    <w:pPr>
      <w:keepNext/>
      <w:keepLines/>
      <w:tabs>
        <w:tab w:val="num" w:pos="1296"/>
      </w:tabs>
      <w:spacing w:before="240" w:after="64" w:line="320" w:lineRule="auto"/>
      <w:ind w:left="1296" w:hanging="1296"/>
      <w:outlineLvl w:val="6"/>
    </w:pPr>
    <w:rPr>
      <w:b/>
      <w:bCs/>
      <w:sz w:val="24"/>
      <w:szCs w:val="24"/>
    </w:rPr>
  </w:style>
  <w:style w:type="paragraph" w:styleId="8">
    <w:name w:val="heading 8"/>
    <w:basedOn w:val="a"/>
    <w:next w:val="a"/>
    <w:qFormat/>
    <w:pPr>
      <w:keepNext/>
      <w:keepLines/>
      <w:tabs>
        <w:tab w:val="num" w:pos="1440"/>
      </w:tabs>
      <w:spacing w:before="240" w:after="64" w:line="320" w:lineRule="auto"/>
      <w:ind w:left="1440" w:hanging="1440"/>
      <w:outlineLvl w:val="7"/>
    </w:pPr>
    <w:rPr>
      <w:rFonts w:ascii="Arial" w:eastAsia="黑体" w:hAnsi="Arial"/>
      <w:sz w:val="24"/>
      <w:szCs w:val="24"/>
    </w:rPr>
  </w:style>
  <w:style w:type="paragraph" w:styleId="9">
    <w:name w:val="heading 9"/>
    <w:basedOn w:val="a"/>
    <w:next w:val="a"/>
    <w:qFormat/>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30">
    <w:name w:val="Body Text Indent 3"/>
    <w:basedOn w:val="a"/>
    <w:pPr>
      <w:spacing w:line="360" w:lineRule="auto"/>
      <w:ind w:firstLine="527"/>
    </w:pPr>
    <w:rPr>
      <w:rFonts w:ascii="宋体"/>
      <w:sz w:val="24"/>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Normal (Web)"/>
    <w:basedOn w:val="a"/>
    <w:pPr>
      <w:widowControl/>
      <w:spacing w:before="100" w:beforeAutospacing="1" w:after="100" w:afterAutospacing="1"/>
      <w:jc w:val="left"/>
    </w:pPr>
    <w:rPr>
      <w:rFonts w:ascii="宋体" w:hAnsi="宋体"/>
      <w:kern w:val="0"/>
      <w:sz w:val="24"/>
      <w:szCs w:val="24"/>
    </w:rPr>
  </w:style>
  <w:style w:type="paragraph" w:customStyle="1" w:styleId="a7">
    <w:name w:val="正文样式"/>
    <w:basedOn w:val="a"/>
    <w:pPr>
      <w:adjustRightInd w:val="0"/>
      <w:snapToGrid w:val="0"/>
      <w:spacing w:line="360" w:lineRule="auto"/>
      <w:ind w:firstLineChars="200" w:firstLine="480"/>
    </w:pPr>
    <w:rPr>
      <w:sz w:val="24"/>
      <w:szCs w:val="24"/>
    </w:rPr>
  </w:style>
  <w:style w:type="paragraph" w:styleId="a8">
    <w:name w:val="annotation text"/>
    <w:basedOn w:val="a"/>
    <w:semiHidden/>
    <w:pPr>
      <w:jc w:val="left"/>
    </w:pPr>
  </w:style>
  <w:style w:type="paragraph" w:customStyle="1" w:styleId="CharCharCharChar">
    <w:name w:val="Char Char Char Char"/>
    <w:basedOn w:val="a"/>
    <w:autoRedefine/>
    <w:pPr>
      <w:tabs>
        <w:tab w:val="num" w:pos="1305"/>
      </w:tabs>
      <w:ind w:left="454" w:firstLine="425"/>
    </w:pPr>
    <w:rPr>
      <w:rFonts w:ascii="Tahoma" w:hAnsi="Tahoma"/>
      <w:sz w:val="24"/>
    </w:rPr>
  </w:style>
  <w:style w:type="paragraph" w:customStyle="1" w:styleId="a9">
    <w:name w:val="图表标题"/>
    <w:basedOn w:val="a"/>
    <w:autoRedefine/>
    <w:pPr>
      <w:spacing w:beforeLines="50" w:afterLines="50"/>
      <w:jc w:val="center"/>
    </w:pPr>
    <w:rPr>
      <w:rFonts w:eastAsia="黑体"/>
      <w:sz w:val="24"/>
      <w:szCs w:val="24"/>
    </w:rPr>
  </w:style>
  <w:style w:type="paragraph" w:customStyle="1" w:styleId="Char">
    <w:name w:val="Char"/>
    <w:basedOn w:val="a"/>
    <w:next w:val="a"/>
    <w:autoRedefine/>
    <w:pPr>
      <w:spacing w:line="240" w:lineRule="atLeast"/>
      <w:ind w:left="420" w:firstLine="420"/>
      <w:jc w:val="left"/>
    </w:pPr>
    <w:rPr>
      <w:kern w:val="0"/>
      <w:szCs w:val="21"/>
    </w:rPr>
  </w:style>
  <w:style w:type="paragraph" w:customStyle="1" w:styleId="Char1">
    <w:name w:val="Char1"/>
    <w:basedOn w:val="a"/>
    <w:autoRedefine/>
    <w:pPr>
      <w:tabs>
        <w:tab w:val="num" w:pos="360"/>
      </w:tabs>
    </w:pPr>
    <w:rPr>
      <w:sz w:val="24"/>
      <w:szCs w:val="24"/>
    </w:rPr>
  </w:style>
  <w:style w:type="paragraph" w:styleId="aa">
    <w:name w:val="Balloon Text"/>
    <w:basedOn w:val="a"/>
    <w:link w:val="Char0"/>
    <w:rPr>
      <w:sz w:val="18"/>
      <w:szCs w:val="18"/>
    </w:rPr>
  </w:style>
  <w:style w:type="character" w:customStyle="1" w:styleId="Char0">
    <w:name w:val="批注框文本 Char"/>
    <w:basedOn w:val="a0"/>
    <w:link w:val="aa"/>
    <w:rPr>
      <w:kern w:val="2"/>
      <w:sz w:val="18"/>
      <w:szCs w:val="18"/>
    </w:rPr>
  </w:style>
  <w:style w:type="paragraph" w:styleId="40">
    <w:name w:val="toc 4"/>
    <w:basedOn w:val="a"/>
    <w:next w:val="a"/>
    <w:autoRedefine/>
    <w:pPr>
      <w:ind w:leftChars="600" w:left="1260"/>
    </w:pPr>
    <w:rPr>
      <w:szCs w:val="24"/>
    </w:rPr>
  </w:style>
  <w:style w:type="paragraph" w:styleId="ab">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numPr>
        <w:numId w:val="38"/>
      </w:numPr>
      <w:ind w:left="0" w:firstLine="0"/>
      <w:jc w:val="center"/>
      <w:outlineLvl w:val="0"/>
    </w:pPr>
    <w:rPr>
      <w:b/>
      <w:bCs/>
      <w:sz w:val="44"/>
    </w:rPr>
  </w:style>
  <w:style w:type="paragraph" w:styleId="2">
    <w:name w:val="heading 2"/>
    <w:basedOn w:val="a"/>
    <w:next w:val="a"/>
    <w:autoRedefine/>
    <w:qFormat/>
    <w:pPr>
      <w:outlineLvl w:val="1"/>
    </w:pPr>
    <w:rPr>
      <w:rFonts w:eastAsia="黑体"/>
      <w:sz w:val="28"/>
      <w:szCs w:val="28"/>
    </w:rPr>
  </w:style>
  <w:style w:type="paragraph" w:styleId="3">
    <w:name w:val="heading 3"/>
    <w:basedOn w:val="a"/>
    <w:next w:val="a"/>
    <w:qFormat/>
    <w:pPr>
      <w:adjustRightInd w:val="0"/>
      <w:snapToGrid w:val="0"/>
      <w:spacing w:beforeLines="40" w:before="124" w:afterLines="40" w:after="124"/>
      <w:outlineLvl w:val="2"/>
    </w:pPr>
    <w:rPr>
      <w:rFonts w:eastAsia="黑体"/>
      <w:sz w:val="24"/>
      <w:szCs w:val="24"/>
    </w:rPr>
  </w:style>
  <w:style w:type="paragraph" w:styleId="4">
    <w:name w:val="heading 4"/>
    <w:basedOn w:val="a"/>
    <w:next w:val="a"/>
    <w:autoRedefine/>
    <w:qFormat/>
    <w:pPr>
      <w:keepNext/>
      <w:keepLines/>
      <w:adjustRightInd w:val="0"/>
      <w:snapToGrid w:val="0"/>
      <w:spacing w:before="100" w:after="100"/>
      <w:ind w:firstLineChars="200" w:firstLine="480"/>
      <w:outlineLvl w:val="3"/>
    </w:pPr>
    <w:rPr>
      <w:rFonts w:eastAsia="黑体"/>
      <w:bCs/>
      <w:sz w:val="24"/>
      <w:szCs w:val="24"/>
    </w:rPr>
  </w:style>
  <w:style w:type="paragraph" w:styleId="5">
    <w:name w:val="heading 5"/>
    <w:basedOn w:val="a"/>
    <w:next w:val="a"/>
    <w:autoRedefine/>
    <w:qFormat/>
    <w:pPr>
      <w:keepNext/>
      <w:keepLines/>
      <w:tabs>
        <w:tab w:val="num" w:pos="1008"/>
      </w:tabs>
      <w:adjustRightInd w:val="0"/>
      <w:snapToGrid w:val="0"/>
      <w:spacing w:beforeLines="75" w:before="180" w:afterLines="75" w:after="180"/>
      <w:ind w:left="1008" w:hanging="1008"/>
      <w:outlineLvl w:val="4"/>
    </w:pPr>
    <w:rPr>
      <w:rFonts w:eastAsia="黑体"/>
      <w:bCs/>
      <w:sz w:val="24"/>
      <w:szCs w:val="24"/>
    </w:rPr>
  </w:style>
  <w:style w:type="paragraph" w:styleId="6">
    <w:name w:val="heading 6"/>
    <w:basedOn w:val="a"/>
    <w:next w:val="a"/>
    <w:qFormat/>
    <w:pPr>
      <w:keepNext/>
      <w:keepLines/>
      <w:tabs>
        <w:tab w:val="num" w:pos="1152"/>
      </w:tabs>
      <w:spacing w:before="240" w:after="64" w:line="320" w:lineRule="auto"/>
      <w:ind w:left="1152" w:hanging="1152"/>
      <w:outlineLvl w:val="5"/>
    </w:pPr>
    <w:rPr>
      <w:rFonts w:ascii="Arial" w:eastAsia="黑体" w:hAnsi="Arial"/>
      <w:b/>
      <w:bCs/>
      <w:sz w:val="24"/>
      <w:szCs w:val="24"/>
    </w:rPr>
  </w:style>
  <w:style w:type="paragraph" w:styleId="7">
    <w:name w:val="heading 7"/>
    <w:basedOn w:val="a"/>
    <w:next w:val="a"/>
    <w:qFormat/>
    <w:pPr>
      <w:keepNext/>
      <w:keepLines/>
      <w:tabs>
        <w:tab w:val="num" w:pos="1296"/>
      </w:tabs>
      <w:spacing w:before="240" w:after="64" w:line="320" w:lineRule="auto"/>
      <w:ind w:left="1296" w:hanging="1296"/>
      <w:outlineLvl w:val="6"/>
    </w:pPr>
    <w:rPr>
      <w:b/>
      <w:bCs/>
      <w:sz w:val="24"/>
      <w:szCs w:val="24"/>
    </w:rPr>
  </w:style>
  <w:style w:type="paragraph" w:styleId="8">
    <w:name w:val="heading 8"/>
    <w:basedOn w:val="a"/>
    <w:next w:val="a"/>
    <w:qFormat/>
    <w:pPr>
      <w:keepNext/>
      <w:keepLines/>
      <w:tabs>
        <w:tab w:val="num" w:pos="1440"/>
      </w:tabs>
      <w:spacing w:before="240" w:after="64" w:line="320" w:lineRule="auto"/>
      <w:ind w:left="1440" w:hanging="1440"/>
      <w:outlineLvl w:val="7"/>
    </w:pPr>
    <w:rPr>
      <w:rFonts w:ascii="Arial" w:eastAsia="黑体" w:hAnsi="Arial"/>
      <w:sz w:val="24"/>
      <w:szCs w:val="24"/>
    </w:rPr>
  </w:style>
  <w:style w:type="paragraph" w:styleId="9">
    <w:name w:val="heading 9"/>
    <w:basedOn w:val="a"/>
    <w:next w:val="a"/>
    <w:qFormat/>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30">
    <w:name w:val="Body Text Indent 3"/>
    <w:basedOn w:val="a"/>
    <w:pPr>
      <w:spacing w:line="360" w:lineRule="auto"/>
      <w:ind w:firstLine="527"/>
    </w:pPr>
    <w:rPr>
      <w:rFonts w:ascii="宋体"/>
      <w:sz w:val="24"/>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Normal (Web)"/>
    <w:basedOn w:val="a"/>
    <w:pPr>
      <w:widowControl/>
      <w:spacing w:before="100" w:beforeAutospacing="1" w:after="100" w:afterAutospacing="1"/>
      <w:jc w:val="left"/>
    </w:pPr>
    <w:rPr>
      <w:rFonts w:ascii="宋体" w:hAnsi="宋体"/>
      <w:kern w:val="0"/>
      <w:sz w:val="24"/>
      <w:szCs w:val="24"/>
    </w:rPr>
  </w:style>
  <w:style w:type="paragraph" w:customStyle="1" w:styleId="a7">
    <w:name w:val="正文样式"/>
    <w:basedOn w:val="a"/>
    <w:pPr>
      <w:adjustRightInd w:val="0"/>
      <w:snapToGrid w:val="0"/>
      <w:spacing w:line="360" w:lineRule="auto"/>
      <w:ind w:firstLineChars="200" w:firstLine="480"/>
    </w:pPr>
    <w:rPr>
      <w:sz w:val="24"/>
      <w:szCs w:val="24"/>
    </w:rPr>
  </w:style>
  <w:style w:type="paragraph" w:styleId="a8">
    <w:name w:val="annotation text"/>
    <w:basedOn w:val="a"/>
    <w:semiHidden/>
    <w:pPr>
      <w:jc w:val="left"/>
    </w:pPr>
  </w:style>
  <w:style w:type="paragraph" w:customStyle="1" w:styleId="CharCharCharChar">
    <w:name w:val="Char Char Char Char"/>
    <w:basedOn w:val="a"/>
    <w:autoRedefine/>
    <w:pPr>
      <w:tabs>
        <w:tab w:val="num" w:pos="1305"/>
      </w:tabs>
      <w:ind w:left="454" w:firstLine="425"/>
    </w:pPr>
    <w:rPr>
      <w:rFonts w:ascii="Tahoma" w:hAnsi="Tahoma"/>
      <w:sz w:val="24"/>
    </w:rPr>
  </w:style>
  <w:style w:type="paragraph" w:customStyle="1" w:styleId="a9">
    <w:name w:val="图表标题"/>
    <w:basedOn w:val="a"/>
    <w:autoRedefine/>
    <w:pPr>
      <w:spacing w:beforeLines="50" w:before="156" w:afterLines="50" w:after="156"/>
      <w:jc w:val="center"/>
    </w:pPr>
    <w:rPr>
      <w:rFonts w:eastAsia="黑体"/>
      <w:sz w:val="24"/>
      <w:szCs w:val="24"/>
    </w:rPr>
  </w:style>
  <w:style w:type="paragraph" w:customStyle="1" w:styleId="Char">
    <w:name w:val="Char"/>
    <w:basedOn w:val="a"/>
    <w:next w:val="a"/>
    <w:autoRedefine/>
    <w:pPr>
      <w:spacing w:line="240" w:lineRule="atLeast"/>
      <w:ind w:left="420" w:firstLine="420"/>
      <w:jc w:val="left"/>
    </w:pPr>
    <w:rPr>
      <w:kern w:val="0"/>
      <w:szCs w:val="21"/>
    </w:rPr>
  </w:style>
  <w:style w:type="paragraph" w:customStyle="1" w:styleId="Char1">
    <w:name w:val="Char1"/>
    <w:basedOn w:val="a"/>
    <w:autoRedefine/>
    <w:pPr>
      <w:tabs>
        <w:tab w:val="num" w:pos="360"/>
      </w:tabs>
    </w:pPr>
    <w:rPr>
      <w:sz w:val="24"/>
      <w:szCs w:val="24"/>
    </w:rPr>
  </w:style>
  <w:style w:type="paragraph" w:styleId="aa">
    <w:name w:val="Balloon Text"/>
    <w:basedOn w:val="a"/>
    <w:link w:val="Char0"/>
    <w:rPr>
      <w:sz w:val="18"/>
      <w:szCs w:val="18"/>
    </w:rPr>
  </w:style>
  <w:style w:type="character" w:customStyle="1" w:styleId="Char0">
    <w:name w:val="批注框文本 Char"/>
    <w:basedOn w:val="a0"/>
    <w:link w:val="aa"/>
    <w:rPr>
      <w:kern w:val="2"/>
      <w:sz w:val="18"/>
      <w:szCs w:val="18"/>
    </w:rPr>
  </w:style>
  <w:style w:type="paragraph" w:styleId="40">
    <w:name w:val="toc 4"/>
    <w:basedOn w:val="a"/>
    <w:next w:val="a"/>
    <w:autoRedefine/>
    <w:pPr>
      <w:ind w:leftChars="600" w:left="1260"/>
    </w:pPr>
    <w:rPr>
      <w:szCs w:val="24"/>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611438">
      <w:bodyDiv w:val="1"/>
      <w:marLeft w:val="0"/>
      <w:marRight w:val="0"/>
      <w:marTop w:val="0"/>
      <w:marBottom w:val="0"/>
      <w:divBdr>
        <w:top w:val="none" w:sz="0" w:space="0" w:color="auto"/>
        <w:left w:val="none" w:sz="0" w:space="0" w:color="auto"/>
        <w:bottom w:val="none" w:sz="0" w:space="0" w:color="auto"/>
        <w:right w:val="none" w:sz="0" w:space="0" w:color="auto"/>
      </w:divBdr>
    </w:div>
    <w:div w:id="196348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EF03F-0B19-4B0C-9BBC-20F04A4D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18</Pages>
  <Words>1947</Words>
  <Characters>11104</Characters>
  <Application>Microsoft Office Word</Application>
  <DocSecurity>0</DocSecurity>
  <Lines>92</Lines>
  <Paragraphs>26</Paragraphs>
  <ScaleCrop>false</ScaleCrop>
  <Company>sstic</Company>
  <LinksUpToDate>false</LinksUpToDate>
  <CharactersWithSpaces>13025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 研 项 目 验 收 申 请 表</dc:title>
  <dc:subject/>
  <dc:creator>ming</dc:creator>
  <cp:keywords/>
  <dc:description/>
  <cp:lastModifiedBy>liuan</cp:lastModifiedBy>
  <cp:revision>75</cp:revision>
  <cp:lastPrinted>2007-06-28T03:30:00Z</cp:lastPrinted>
  <dcterms:created xsi:type="dcterms:W3CDTF">2010-09-07T07:34:00Z</dcterms:created>
  <dcterms:modified xsi:type="dcterms:W3CDTF">2010-09-13T12:36:00Z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274557698</vt:i4>
  </property>
  <property fmtid="{D5CDD505-2E9C-101B-9397-08002B2CF9AE}" pid="3" name="_EmailSubject">
    <vt:lpwstr>四川省科技支撑计划项目申报书</vt:lpwstr>
  </property>
  <property fmtid="{D5CDD505-2E9C-101B-9397-08002B2CF9AE}" pid="4" name="_AuthorEmail">
    <vt:lpwstr>cyh@mail.scst.gov.cn</vt:lpwstr>
  </property>
  <property fmtid="{D5CDD505-2E9C-101B-9397-08002B2CF9AE}" pid="5" name="_AuthorEmailDisplayName">
    <vt:lpwstr>陈元华</vt:lpwstr>
  </property>
  <property fmtid="{D5CDD505-2E9C-101B-9397-08002B2CF9AE}" pid="6" name="_ReviewingToolsShownOnce">
    <vt:lpwstr/>
  </property>
</Properties>
</file>