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词灵对决完整项目升级计划</w:t>
      </w:r>
    </w:p>
    <w:p>
      <w:r>
        <w:t>版本 3.2  ·  2026年10月7日  ·  浏览器游戏与可迁移本地服务端</w:t>
      </w:r>
    </w:p>
    <w:p>
      <w:r>
        <w:t>本版在3.1基础上，新增原创动态森林大厅与开始前设置，放大实体手牌并补齐详情，将礼盒演出扩展至整个应用视口。保留432项英语练习、24张基础卡、适应性电脑、免费奖励与旧存档。本文说明完整产品、技术范围和验收标准；实际完成情况、公开版本及待验证项另见交付与测试说明。</w:t>
      </w:r>
    </w:p>
    <w:p>
      <w:pPr>
        <w:pStyle w:val="Heading1"/>
      </w:pPr>
      <w:r>
        <w:rPr>
          <w:color w:val="000000"/>
        </w:rPr>
        <w:t>一 产品目标与完整流程</w:t>
      </w:r>
    </w:p>
    <w:p>
      <w:r>
        <w:t>面向小学一至六年级，以有战术选择的卡牌对战促进短时、持续英语练习。普通召唤和攻击保持连贯，英语出现在玩家主动使用词灵仪式时：先选抽牌、伤害或治疗，再作答。答错有纠正与解释，并保留基础护甲，不因一次错误失去整个回合。</w:t>
      </w:r>
    </w:p>
    <w:p>
      <w:r>
        <w:t>从独立森林大厅进入游戏，开始对战或匹配前选择年级、册次与单元、预组或自选套牌和电脑挑战强度。进入对局后换起手、召唤伙伴、安排攻击、使用仪式，结束时保存真实本机成绩和学习记录。词灵手册支持独立复习；图鉴解释每张卡如何使用；学习礼盒把有效学习日转成收藏奖励。</w:t>
      </w:r>
    </w:p>
    <w:p>
      <w:r>
        <w:t>继续维护两个入口：公开三维试玩在当前浏览器进行电脑对战，可直接体验；本地完整服务端提供真实双会话匹配与权威战斗，等待同年级、同学习范围、同规则的另一会话，无人时自动进入电脑挑战。公开试玩不连接临时开发服务器。电脑角色使用英文名，自主决策，对手资料中说明身份。</w:t>
      </w:r>
    </w:p>
    <w:p>
      <w:pPr>
        <w:pStyle w:val="Heading1"/>
      </w:pPr>
      <w:r>
        <w:rPr>
          <w:color w:val="000000"/>
        </w:rPr>
        <w:t>二 六级学习内容与来源</w:t>
      </w:r>
    </w:p>
    <w:p>
      <w:r>
        <w:t>题库共432项原创练习，覆盖人教版一年级起点英语的一至六年级12册、72单元，每单元6项。每级72项；一年级48项词语、24项表达与语境，其余各级36项词语、36项表达与语境。保留教材纸质页码、PDF页码和目标知识覆盖表，公开游戏不含教材扫描页或整书转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80"/>
        <w:gridCol w:w="6576"/>
        <w:gridCol w:w="2381"/>
      </w:tblGrid>
      <w:tr>
        <w:trPr>
          <w:cantSplit/>
          <w:tblHeader/>
        </w:trPr>
        <w:tc>
          <w:tcPr>
            <w:tcW w:type="dxa" w:w="680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年级</w:t>
            </w:r>
          </w:p>
        </w:tc>
        <w:tc>
          <w:tcPr>
            <w:tcW w:type="dxa" w:w="6576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内容重点与题型</w:t>
            </w:r>
          </w:p>
        </w:tc>
        <w:tc>
          <w:tcPr>
            <w:tcW w:type="dxa" w:w="2381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每级覆盖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校园、五官、动物、数与色、食物衣物；图片词义、听读和短口语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家庭朋友、社区、公园、节日、天气季节、时间；词语和简单情境表达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三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身体、宠物、生日、课程、家庭活动；完整简单句与搭配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四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运动、交通、职业、城市旅行、爱好国家；任务情境、询问与表达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五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人物、购物、健康、联系、周末旅行；时态线索和短语境补全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六</w:t>
            </w:r>
          </w:p>
        </w:tc>
        <w:tc>
          <w:tcPr>
            <w:tcW w:type="dxa" w:w="6576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世界、自然、心情、日常生活与假期；上下文理解和更完整的表达</w:t>
            </w:r>
          </w:p>
        </w:tc>
        <w:tc>
          <w:tcPr>
            <w:tcW w:type="dxa" w:w="2381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2册12单元72项</w:t>
            </w:r>
          </w:p>
        </w:tc>
      </w:tr>
    </w:tbl>
    <w:p/>
    <w:p>
      <w:r>
        <w:t>难度体现在知识主题、句子长度、语境和干扰项，不只改变倒计时。一二年级避免生硬语法术语；高年级增加时间和上下文线索。答案后给出正确表达与具体解释，配有本地英语音频。题目、答案和来源覆盖已有独立审校，本轮保持内容稳定，仅修经实证确认的问题。</w:t>
      </w:r>
    </w:p>
    <w:p>
      <w:r>
        <w:t>学习掌握与战斗评级分开。复习考虑作答与历史掌握，避免同日反复点同题刷熟练度；礼盒参与资格另行计算，不改变英语是否掌握的判定。后续内容扩充须逐题检查单一答案、自然表达、年龄适配、提示泄题、解释和朗读一致性。</w:t>
      </w:r>
    </w:p>
    <w:p>
      <w:pPr>
        <w:pStyle w:val="Heading1"/>
      </w:pPr>
      <w:r>
        <w:rPr>
          <w:color w:val="000000"/>
        </w:rPr>
        <w:t>三 卡牌与战术深度</w:t>
      </w:r>
    </w:p>
    <w:p>
      <w:r>
        <w:t>卡池由12张扩展至24张：18种伙伴、6种法术。每张保留能量、攻击、生命等少量数据和最多一个关键词。新增9种伙伴为刺猬、水獭、萤火虫、狼、鹤、野猪、熊、独角兽、凤凰；新增寒霜、晨露与灯笼法术。原12张的数值保持稳定。</w:t>
      </w:r>
    </w:p>
    <w:p>
      <w:r>
        <w:t>护盾挡住第一次正数伤害，鼓舞在登场时提高其他友方伙伴攻击；它们与守卫、迅捷、成长、治疗、抽牌形成交换、站场和出牌次序选择。四种元素用于视觉语义，不暗中增加元素克制系数。英雄18生命，起手可换至多2张；每回合能量上限加1并回满，最多6点，同时抽1张。每方4个伙伴槽，手牌上限7张，三套20张预组牌库可直接开玩。伙伴通常从下个回合起行动，仪式每局4次、每回合最多1次。</w:t>
      </w:r>
    </w:p>
    <w:p>
      <w:r>
        <w:t>自选套牌必须恰好20张，每种至多3张，服务端再次验证并在开局锁定。图鉴与对局详情说明费用、攻击与生命、效果、关键词、合法目标、使用时机和具体例子；关闭详情后保留选中状态。数值从卡牌规则数据生成，避免牌面、讲解和实际结算不一致。24张基础战斗卡起步全部可用，收藏稀有度不提高战斗数值。</w:t>
      </w:r>
    </w:p>
    <w:p>
      <w:pPr/>
      <w:r>
        <w:t>详情必须把后果讲清：普通伙伴等到自己的下一回合才能攻击，迅捷可在登场当回合行动，每回合均至多攻击一次；伙伴交战同时造成各自攻击值的伤害，攻击英雄不受反击。普通攻击须先选守卫，伤害法术可以越过守卫；满生命时不能使用治疗法术。空牌库继续抽牌会依次造成1、2、3点递增疲劳伤害。</w:t>
      </w:r>
    </w:p>
    <w:p>
      <w:pPr/>
      <w:r>
        <w:t>算例以真实出牌顺序计算。月之启示消耗3点能量并抽2张牌：若手里原有这张法术和另外1张牌，先用掉法术，再抽2张，最后共有3张手牌。手牌上限7张，超出的新牌消失；空牌库抽2张会连续触发两次疲劳。</w:t>
      </w:r>
    </w:p>
    <w:p>
      <w:pPr>
        <w:pStyle w:val="Heading1"/>
      </w:pPr>
      <w:r>
        <w:rPr>
          <w:color w:val="000000"/>
        </w:rPr>
        <w:t>四 新手难度与局间适应</w:t>
      </w:r>
    </w:p>
    <w:p>
      <w:r>
        <w:t>默认从本机参考值700开始。自适应前3场保持轻松，前5场标记定位；提供主动选择轻松或标准。轻松电脑采用固定基础套牌、简单单步策略和较低仪式频率；标准使用完整套牌和单步择优；进阶增加进攻、防守和多步搜索。对手只使用可见场面与自身合法信息，不读取玩家隐藏手牌或未来抽牌。</w:t>
      </w:r>
    </w:p>
    <w:p>
      <w:r>
        <w:t>借鉴Elo形式计算本机表现，固定电脑档位参考值为700、950、1200，前5场K为48，之后为24，范围400至1600。相同结果永久去重；仅自然结束且没有托管的电脑局计入。退出、错误、超时托管和真人局不改这个参考值；英语正确率不进入公式。连续两次失利降低下一局档位，强度在开局确定，中途不改血量、伤害或抽牌。</w:t>
      </w:r>
    </w:p>
    <w:p>
      <w:r>
        <w:t>这些数值是产品调参用的本地指标，并非经过真实玩家群体校准的全球Elo。重点验收是初学者能理解基本操作并有获胜机会，以及轻松升到标准时没有突兀挫败。用固定种子、两种先后手和多套牌比较弱策略与中等策略，再由独立试玩判断；模拟不能代替学生或成人新手体验。</w:t>
      </w:r>
    </w:p>
    <w:p>
      <w:pPr>
        <w:pStyle w:val="Heading1"/>
      </w:pPr>
      <w:r>
        <w:rPr>
          <w:color w:val="000000"/>
        </w:rPr>
        <w:t>五 独立森林大厅与开局设置</w:t>
      </w:r>
    </w:p>
    <w:p>
      <w:pPr/>
      <w:r>
        <w:t>首页采用独立Three.js森林营地：魔法树、书台、树根与小径形成空间纵深，灯笼和少量伙伴构成近景，延续苔绿、木色与暖金。树、地形、书台和伙伴均为实际三维几何，灯火、叶片及伙伴保留适量动态；不能以整张静态背景或对局演示代替大厅。</w:t>
      </w:r>
    </w:p>
    <w:p>
      <w:pPr/>
      <w:r>
        <w:t>学习、礼盒、图鉴与组牌入口布置在画面四周，开始对战或开始匹配置于下方明确位置。中央留出主树与书台观赏区，设置收在角落，排行榜作为侧边入口，记录与备份放在底边；所有原有功能仍可到达。桌面、平板、横屏和竖屏分别安排主体投影与菜单安全区域，避免按钮遮住场景中心。</w:t>
      </w:r>
    </w:p>
    <w:p>
      <w:pPr/>
      <w:r>
        <w:t>点击开始后再展示学习范围、套牌和挑战强度，保留最近选择；关闭设置不丢配置，键盘焦点返回入口。CPU兼容模式缓存静态地形、主树和书台，只重绘必要动态；正常WebGL路径保留同一世界与温和视差。页面隐藏或开启减少动态时及时停下不必要的动画。</w:t>
      </w:r>
    </w:p>
    <w:p>
      <w:pPr>
        <w:pStyle w:val="Heading1"/>
      </w:pPr>
      <w:r>
        <w:rPr>
          <w:color w:val="000000"/>
        </w:rPr>
        <w:t>六 实体战场与直接手牌交互</w:t>
      </w:r>
    </w:p>
    <w:p>
      <w:r>
        <w:t>战场保留真实Three.js相机、木质棋盘厚度、实体卡牌和18种伙伴模型。改进轮廓、眼睛面部、肢体连接、配饰、材质与柔和曲面明暗。低精度模型与简化光照服务CPU兼容路径，正常WebGL路径保留同一模型与动画语义；不以贴满全屏特效掩盖模型问题。</w:t>
      </w:r>
    </w:p>
    <w:p>
      <w:r>
        <w:t>火、水、自然、奥术各有蓄力、发射、空间轨迹、命中和消散。火系使用火团与尾焰，水系使用弧形水流、水滴和涟漪；自然系叶片、奥术系星晶保持可区分。近战真实向目标冲撞后归位，护盾、治疗、召唤、死亡和胜负各有反馈。命中只结算一次，取消、切页和失去渲染时仍以权威结果完成对局。</w:t>
      </w:r>
    </w:p>
    <w:p>
      <w:r>
        <w:t>声音用原创合成音与已有游戏音乐，首次用户操作后解锁，音量、静音和减少动态设置可用。减少动态保留清晰目标、颜色与数值，不强制观看大幅位移或闪光；不使用高强度反复全屏闪烁。</w:t>
      </w:r>
    </w:p>
    <w:p>
      <w:r>
        <w:t>手牌采用独立近景相机与渲染区域，与棋盘相机解耦，让实体卡牌保持足够大的屏幕投影；移除常规底部重复名字排。桌面和横屏优先使用大卡扇形或轻叠放，竖屏可横向浏览大卡，全部7张手牌均可到达。可以温和建议横屏，但不强制锁定方向，也不阻止竖屏继续游戏。</w:t>
      </w:r>
    </w:p>
    <w:p>
      <w:pPr/>
      <w:r>
        <w:t>牌面保留费用、攻击与生命及准确的简短效果。以常态名称约16px、简短效果约14px、费用20px以上，选中大卡名称20px以上、正文约18px作为设计目标；按实际屏幕投影与无遮挡可见区域验收，不能把贴图字号或卡牌总矩形当成可读性证明。详情与题目不得依靠整体缩字才能放下。</w:t>
      </w:r>
    </w:p>
    <w:p>
      <w:pPr/>
      <w:r>
        <w:t>轻点选择，按住420ms打开详情；移动超过10px、指针取消或切离页面时取消长按，松手后不得再次选牌或误出牌。桌面可悬停放大、右键查看；键盘和屏幕阅读器保留等效路径，明确选择、确认、打开详情与Escape退出，关闭后恢复焦点。不能因横向滚牌、重复点击或长按与右键相继触发而重复执行。</w:t>
      </w:r>
    </w:p>
    <w:p>
      <w:pPr/>
      <w:r>
        <w:t>生命、能量、战场、指令和手牌分区适配。验收320、360、390、430宽度竖屏，以及740×360、844×390横屏，并覆盖平板和桌面；主要按钮至少44px。逐一检查手牌、出牌目标、仪式、回合按钮、详情及英语反馈的遮挡。CSS窄视口、触控仿真和物理手机触控分别记录，不相互替代。</w:t>
      </w:r>
    </w:p>
    <w:p>
      <w:r>
        <w:t>CPU兼容以实际对局约24至30fps为优化目标，大屏画布限制约72万内部像素，CSS点击坐标保持原尺寸；弹窗遮挡战场时暂停不必要的后台渲染。超出预算先减少装饰、透明覆盖和像素工作。性能验收分别记录浏览器环境、CPU或WebGL路径、视口、场景、模型数和采样窗口；区分普通顶级页面与嵌入视口，单个约30fps样本不能证明全程流畅，低帧样本也应保留并说明条件。</w:t>
      </w:r>
    </w:p>
    <w:p>
      <w:pPr>
        <w:pStyle w:val="Heading1"/>
      </w:pPr>
      <w:r>
        <w:rPr>
          <w:color w:val="000000"/>
        </w:rPr>
        <w:t>七 免费学习礼盒与收藏</w:t>
      </w:r>
    </w:p>
    <w:p>
      <w:r>
        <w:t>累计5个有效学习日获得一次十连。一天完成6个不同知识点、读题作答并阅读解释即计入，答错也可以；题面前台停留至少2秒、反馈至少1.2秒，后台时间不计，同题反复点击不重复累计。日期使用本机学习档案时区，漏日不清零。没有付费、限时购买或丢失连续天数的压力。</w:t>
      </w:r>
    </w:p>
    <w:p>
      <w:r>
        <w:t>当前提供明确标注的无限体验十连，测试收藏、叶屑与正式学习钱包隔离。正式奖励按真实新学习参与积累，不把无限测试所得转成正式财富。每次随机先生成并可靠保存10个结果，再开始演出；保存失败隐藏结果并提示重试。刷新、退出、继续和重复点击均使用同一批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35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/>
                <w:sz w:val="18"/>
              </w:rPr>
              <w:t>外观</w:t>
            </w:r>
          </w:p>
        </w:tc>
        <w:tc>
          <w:tcPr>
            <w:tcW w:type="dxa" w:w="2268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/>
                <w:sz w:val="18"/>
              </w:rPr>
              <w:t>独立概率</w:t>
            </w:r>
          </w:p>
        </w:tc>
        <w:tc>
          <w:tcPr>
            <w:tcW w:type="dxa" w:w="2268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/>
                <w:sz w:val="18"/>
              </w:rPr>
              <w:t>重复叶屑</w:t>
            </w:r>
          </w:p>
        </w:tc>
        <w:tc>
          <w:tcPr>
            <w:tcW w:type="dxa" w:w="2268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/>
                <w:sz w:val="18"/>
              </w:rPr>
              <w:t>定向兑换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翠叶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银光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24%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星辉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60" w:line="276" w:lineRule="auto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晨金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268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125</w:t>
            </w:r>
          </w:p>
        </w:tc>
      </w:tr>
    </w:tbl>
    <w:p/>
    <w:p>
      <w:r>
        <w:t>24张基础卡等概率，外观独立抽取，无隐藏概率调整或额外保底。重复外观自动变叶屑，可在对应钱包定向兑换。外观只改变卡框和收藏表现，不增加攻击、生命、效果或匹配优势。</w:t>
      </w:r>
    </w:p>
    <w:p>
      <w:r>
        <w:t>开包进入独立全视口场景，让原创立体礼盒、可分离盖子和十张厚卡占据主要画面，缩减标题与导航，只保留必要的退出、静音与跳过入口；不依赖浏览器系统全屏权限。点击或向上拖动启动，依次呈现近景礼盒、蓄光、封印释放、开盖、空间卡阵、逐张或全部揭晓，再进入全十张总览与收藏。材质、叶纹、金属边缘、粒子与声音保持原创。</w:t>
      </w:r>
    </w:p>
    <w:p>
      <w:pPr/>
      <w:r>
        <w:t>退出只离开演出，未完成批次可保存后续开；提示应清楚说明同批结果保留且不重复扣奖励。刷新、跳过、重复点按、退出重入和横竖重排均不重抽。支持卡面放大、键盘、减少动态与静音；减少动态直接到稳定卡阵。结果事务与演出分离，关闭时释放模型、纹理和动画任务，CPU路径控制粒子和透明叠层数量。</w:t>
      </w:r>
    </w:p>
    <w:p>
      <w:pPr>
        <w:pStyle w:val="Heading1"/>
      </w:pPr>
      <w:r>
        <w:rPr>
          <w:color w:val="000000"/>
        </w:rPr>
        <w:t>八 架构 存档与迁移</w:t>
      </w:r>
    </w:p>
    <w:p>
      <w:r>
        <w:t>前端采用JavaScript模块、Three.js与应用自有CPU深度缓冲兼容渲染；静态电脑试玩与真实联网客户端分别构建。本地Node服务端通过WebSocket维护权威房间、隐藏手牌、合法动作、题目判定、事件顺序、超时与断线重连。真实联网客户端不打包完整答案库；公开电脑练习为本页判题而包含题库。</w:t>
      </w:r>
    </w:p>
    <w:p>
      <w:r>
        <w:t>战斗规则升级为2.2，网络规则net-1.1。保留旧规则与旧存档验证，新字段包括战斗表现、挑战选项、自选套牌、学习日、收藏钱包与未完成十连。老档缺省迁移，已有英语与成绩保持。排行榜仅收真实本机完成局，按年级、范围、规则区分；退出和协助局按各自规则处理，不制造真人、在线人数或全球排名。</w:t>
      </w:r>
    </w:p>
    <w:p>
      <w:r>
        <w:t>学习历史、收藏与备份保存在浏览器，采用短事务、跨页锁、回执去重与恢复前副本。备份恢复后结束旧临时会话并清除旧注意力计时，避免混入新档；配额不足或读取失败明确显示未保存。无需真实姓名、儿童账号或联系方式，服务器只保存短期匿名会话和房间，不公开个人学习数据。</w:t>
      </w:r>
    </w:p>
    <w:p>
      <w:r>
        <w:t>本地完整服务端按开发与迁移用途交付，重启会结束未完联网房间，不承诺长期在线。源码含完整素材、音频、部署说明与迁移模板；以后移至正式服务器还需HTTPS与WSS、正确来源白名单、容量、监控和备份策略。此轮不部署用户服务器或购买服务。旧2.7.5网址与离线交付继续保留。</w:t>
      </w:r>
    </w:p>
    <w:p>
      <w:pPr>
        <w:pStyle w:val="Heading1"/>
      </w:pPr>
      <w:r>
        <w:rPr>
          <w:color w:val="000000"/>
        </w:rPr>
        <w:t>九 实施与验收安排</w:t>
      </w:r>
    </w:p>
    <w:p>
      <w:r>
        <w:t>实施顺序以可审查的完整体验为单位：先建立独立大厅与开始前设置，再接入大手牌、详情和输入规则，随后整合全视口礼盒与保存续开，最后集中修正可读性、遮挡、性能、存档及交付一致性。每项重大改动都需真实界面复看，并完成一条从配置、自然对局、英语讲解到结算的流程。原有内容、模型、元素动作、难度、奖励和迁移要求继续有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检查层</w:t>
            </w:r>
          </w:p>
        </w:tc>
        <w:tc>
          <w:tcPr>
            <w:tcW w:type="dxa" w:w="7824"/>
            <w:shd w:fill="F1F2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必须证明的结果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规则与协议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新卡合法性、护盾与鼓舞、费用与目标、互伤与疲劳、隐藏信息、卡组验证、局间评级；两真实WebSocket会话匹配同步、断线与幂等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学习与奖励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同日与跨日、错误参与、后台时间、保存失败、并页写入、恢复档案；先保存后演出、刷新续开、钱包隔离与重复兑换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大厅与手牌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独立几何森林、四周入口、开始前设置保留；实体手牌投影、7牌可达、横竖无遮挡、420ms长按、移动取消、右键、键盘与关闭回焦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完整体验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自然完成局并理解卡牌与英语反馈；可辨模型和元素动作；十连逐张、全部、跳过、退出续开与全十张总览；减少动态与静音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性能与稳定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按环境与场景记录帧率；资源释放、连续对局、浏览器异常、快速点按和切页恢复；CPU兼容与正常WebGL分别验证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迁移与交付</w:t>
            </w:r>
          </w:p>
        </w:tc>
        <w:tc>
          <w:tcPr>
            <w:tcW w:type="dxa" w:w="7824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旧存档、可恢复备份、素材与音频完整；源码解压重建、包与公开版本对应；双浏览器真人流程、物理手机及未验范围明确披露</w:t>
            </w:r>
          </w:p>
        </w:tc>
      </w:tr>
    </w:tbl>
    <w:p/>
    <w:p>
      <w:r>
        <w:t>实现、自动检查、离线像素、真实浏览器和发布分别记录对应版本，避免把较早版本的截图作为最新补丁的实图验证。自然完成一局只能证明该次流程，不能直接证明游戏已足够有趣。WebGL不可用、物理手机触控、双浏览器真人对局及任何异常均在交付与测试说明中披露；没有完成的体验检查保持待确认，不以测试数量代替好玩、好看和流畅。</w:t>
      </w:r>
    </w:p>
    <w:p>
      <w:r>
        <w:t>最终交付沿用现有源码、计划、交付与测试说明的文件身份并保留版本历史；同一试玩地址展示对应公开版本，若与最新候选不同，清楚标明差异。源码包以完整本地资源为前提，图片仅作尺寸保持的合理编码优化，不能将资源替换为在线地址后仍称为离线完整。</w:t>
      </w:r>
    </w:p>
    <w:p>
      <w:pPr>
        <w:pStyle w:val="Heading1"/>
      </w:pPr>
      <w:r>
        <w:rPr>
          <w:color w:val="000000"/>
        </w:rPr>
        <w:t>参考与资料边界</w:t>
      </w:r>
    </w:p>
    <w:p>
      <w:r>
        <w:t>教材索引：TapXWorld/ChinaTextbook 的小学英语人教版一年级起点目录。源码content目录提供12册与72单元的覆盖及页码记录；游戏题目为原创表达。</w:t>
      </w:r>
    </w:p>
    <w:p>
      <w:r>
        <w:t>空间和动作参考：暴雪炉石传说官网对局片段及官方文章 Introducing Mass Pack Opening，参考蓄力、打开、卡背排布和总览节奏。森林大厅、礼盒、卡面、模型、粒子和声音保持原创，不复制其角色、素材、音乐或卡背。</w:t>
      </w:r>
    </w:p>
    <w:p>
      <w:pPr>
        <w:keepLines/>
      </w:pPr>
      <w:r>
        <w:t xml:space="preserve">参考链接  </w:t>
      </w:r>
      <w:hyperlink r:id="rId9">
        <w:r>
          <w:rPr>
            <w:rFonts w:ascii="Noto Sans CJK SC" w:hAnsi="Noto Sans CJK SC" w:eastAsia="Noto Sans CJK SC"/>
            <w:color w:val="000000"/>
            <w:u w:val="single"/>
          </w:rPr>
          <w:t>炉石传说官网</w:t>
        </w:r>
      </w:hyperlink>
      <w:r>
        <w:t xml:space="preserve">  ·  </w:t>
      </w:r>
      <w:hyperlink r:id="rId10">
        <w:r>
          <w:rPr>
            <w:rFonts w:ascii="Noto Sans CJK SC" w:hAnsi="Noto Sans CJK SC" w:eastAsia="Noto Sans CJK SC"/>
            <w:color w:val="000000"/>
            <w:u w:val="single"/>
          </w:rPr>
          <w:t>开包机制官方文章</w:t>
        </w:r>
      </w:hyperlink>
      <w:r>
        <w:t xml:space="preserve">  ·  </w:t>
      </w:r>
      <w:hyperlink r:id="rId11">
        <w:r>
          <w:rPr>
            <w:rFonts w:ascii="Noto Sans CJK SC" w:hAnsi="Noto Sans CJK SC" w:eastAsia="Noto Sans CJK SC"/>
            <w:color w:val="000000"/>
            <w:u w:val="single"/>
          </w:rPr>
          <w:t>教材目录索引</w:t>
        </w:r>
      </w:hyperlink>
      <w:r>
        <w:t xml:space="preserve">  ·  </w:t>
      </w:r>
      <w:hyperlink r:id="rId12">
        <w:r>
          <w:rPr>
            <w:rFonts w:ascii="Noto Sans CJK SC" w:hAnsi="Noto Sans CJK SC" w:eastAsia="Noto Sans CJK SC"/>
            <w:color w:val="000000"/>
            <w:u w:val="single"/>
          </w:rPr>
          <w:t>Three.js与MIT许可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arthstone.blizzard.com/" TargetMode="External"/><Relationship Id="rId10" Type="http://schemas.openxmlformats.org/officeDocument/2006/relationships/hyperlink" Target="https://news.blizzard.com/en-gb/article/23999067/introducing-mass-pack-opening-the-new-way-to-open-your-pre-purchase-bundles" TargetMode="External"/><Relationship Id="rId11" Type="http://schemas.openxmlformats.org/officeDocument/2006/relationships/hyperlink" Target="https://github.com/TapXWorld/ChinaTextbook" TargetMode="External"/><Relationship Id="rId12" Type="http://schemas.openxmlformats.org/officeDocument/2006/relationships/hyperlink" Target="https://github.com/mrdoob/thre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词灵对决完整项目升级计划</dc:title>
  <dc:subject>3.2 产品范围与验收标准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