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3C1D70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Style w:val="9"/>
          <w:rFonts w:hint="default" w:ascii="Times New Roman" w:hAnsi="Times New Roman" w:eastAsia="宋体" w:cs="Times New Roman"/>
          <w:sz w:val="32"/>
          <w:szCs w:val="28"/>
        </w:rPr>
      </w:pPr>
    </w:p>
    <w:p w14:paraId="615F14BF">
      <w:pPr>
        <w:spacing w:line="360" w:lineRule="auto"/>
        <w:jc w:val="center"/>
        <w:rPr>
          <w:rFonts w:hint="default" w:ascii="Times New Roman" w:hAnsi="Times New Roman" w:eastAsia="宋体" w:cs="Times New Roman"/>
          <w:b/>
          <w:bCs/>
          <w:sz w:val="40"/>
          <w:szCs w:val="40"/>
          <w:lang w:val="en-US" w:eastAsia="zh-CN"/>
          <w14:ligatures w14:val="standardContextual"/>
        </w:rPr>
      </w:pPr>
      <w:r>
        <w:rPr>
          <w:rFonts w:hint="default" w:ascii="Times New Roman" w:hAnsi="Times New Roman" w:eastAsia="宋体" w:cs="Times New Roman"/>
          <w:b/>
          <w:bCs/>
          <w:sz w:val="40"/>
          <w:szCs w:val="40"/>
          <w14:ligatures w14:val="standardContextual"/>
        </w:rPr>
        <w:t>秸秆焚烧覆盖地物分类算法</w:t>
      </w:r>
      <w:r>
        <w:rPr>
          <w:rFonts w:hint="eastAsia" w:ascii="Times New Roman" w:hAnsi="Times New Roman" w:eastAsia="宋体" w:cs="Times New Roman"/>
          <w:b/>
          <w:bCs/>
          <w:sz w:val="40"/>
          <w:szCs w:val="40"/>
          <w:lang w:val="en-US" w:eastAsia="zh-CN"/>
          <w14:ligatures w14:val="standardContextual"/>
        </w:rPr>
        <w:t>实施</w:t>
      </w:r>
      <w:r>
        <w:rPr>
          <w:rFonts w:hint="default" w:ascii="Times New Roman" w:hAnsi="Times New Roman" w:eastAsia="宋体" w:cs="Times New Roman"/>
          <w:b/>
          <w:bCs/>
          <w:sz w:val="40"/>
          <w:szCs w:val="40"/>
          <w:lang w:val="en-US" w:eastAsia="zh-CN"/>
          <w14:ligatures w14:val="standardContextual"/>
        </w:rPr>
        <w:t>方案</w:t>
      </w:r>
    </w:p>
    <w:p w14:paraId="0D00EDCF">
      <w:pPr>
        <w:spacing w:line="360" w:lineRule="auto"/>
        <w:jc w:val="both"/>
        <w:rPr>
          <w:rFonts w:hint="default" w:ascii="Times New Roman" w:hAnsi="Times New Roman" w:eastAsia="宋体" w:cs="Times New Roman"/>
          <w:b w:val="0"/>
          <w:bCs w:val="0"/>
          <w:sz w:val="40"/>
          <w:szCs w:val="40"/>
          <w14:ligatures w14:val="standardContextual"/>
        </w:rPr>
      </w:pPr>
    </w:p>
    <w:p w14:paraId="1FABDBA4">
      <w:pPr>
        <w:spacing w:line="360" w:lineRule="auto"/>
        <w:jc w:val="both"/>
        <w:rPr>
          <w:rFonts w:hint="eastAsia" w:ascii="Times New Roman" w:hAnsi="Times New Roman" w:eastAsia="宋体" w:cs="Times New Roman"/>
          <w:b w:val="0"/>
          <w:bCs w:val="0"/>
          <w:sz w:val="28"/>
          <w:szCs w:val="28"/>
          <w:lang w:val="en-US" w:eastAsia="zh-CN"/>
          <w14:ligatures w14:val="standardContextual"/>
        </w:rPr>
      </w:pPr>
      <w:r>
        <w:rPr>
          <w:rFonts w:hint="eastAsia" w:ascii="Times New Roman" w:hAnsi="Times New Roman" w:eastAsia="宋体" w:cs="Times New Roman"/>
          <w:b w:val="0"/>
          <w:bCs w:val="0"/>
          <w:sz w:val="28"/>
          <w:szCs w:val="28"/>
          <w:lang w:val="en-US" w:eastAsia="zh-CN"/>
          <w14:ligatures w14:val="standardContextual"/>
        </w:rPr>
        <w:t>引言</w:t>
      </w:r>
    </w:p>
    <w:p w14:paraId="3759629E">
      <w:pPr>
        <w:spacing w:line="360" w:lineRule="auto"/>
        <w:ind w:firstLine="420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京津冀及周边地区秸秆焚烧屡禁难止，已成为影响区域空气质量的重要因素。相较以往，当前的秸秆焚烧呈现小型化、离散化、隐蔽化等新特点，对现有基于卫星遥感技术的监测手段构成挑战。小型化焚烧因面积小，遥感影像分辨率不足以精准识别；离散化焚烧地点分散，增加了卫星巡查的难度；隐蔽化焚烧多在人为遮蔽或夜间进行，进一步加剧了遥感监测的复杂性。这些问题导致秸秆焚烧监管滞后，难以实时发现和制止焚烧行为，严重影响污染防治效果。同时，由于缺乏精细的农情信息，如秸秆覆盖地物具体类型（例如小麦茬、玉米茬、水稻茬等），无法针对性地制定秸秆综合利用方案。</w:t>
      </w:r>
    </w:p>
    <w:p w14:paraId="52B1A51A">
      <w:pPr>
        <w:pBdr>
          <w:bottom w:val="single" w:color="auto" w:sz="4" w:space="0"/>
        </w:pBdr>
        <w:spacing w:line="360" w:lineRule="auto"/>
        <w:ind w:firstLine="420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因此，亟需开发一种能够克服上述挑战的分类算法方案，精准识别秸秆焚烧覆盖地物类型，提升监测的精度和时效性，为秸秆焚烧及综合利用的全周期监管提供有力技术支持。</w:t>
      </w:r>
    </w:p>
    <w:p w14:paraId="5AC316B0">
      <w:pPr>
        <w:pBdr>
          <w:bottom w:val="single" w:color="auto" w:sz="4" w:space="0"/>
        </w:pBdr>
        <w:spacing w:line="360" w:lineRule="auto"/>
        <w:ind w:firstLine="420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19BC28C0">
      <w:pPr>
        <w:spacing w:line="360" w:lineRule="auto"/>
        <w:ind w:firstLine="420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  <w:lang w:val="en-US" w:eastAsia="zh-CN"/>
        </w:rPr>
      </w:pPr>
    </w:p>
    <w:p w14:paraId="369E3BCE">
      <w:pPr>
        <w:spacing w:line="360" w:lineRule="auto"/>
        <w:ind w:firstLine="420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1193C46A">
      <w:pPr>
        <w:spacing w:line="360" w:lineRule="auto"/>
        <w:jc w:val="left"/>
        <w:rPr>
          <w:rFonts w:hint="default" w:ascii="Times New Roman" w:hAnsi="Times New Roman" w:eastAsia="仿宋_GB2312" w:cs="Times New Roman"/>
          <w:b/>
          <w:bCs/>
          <w:sz w:val="24"/>
        </w:rPr>
      </w:pPr>
      <w:r>
        <w:rPr>
          <w:rFonts w:hint="default" w:ascii="Times New Roman" w:hAnsi="Times New Roman" w:eastAsia="仿宋_GB2312" w:cs="Times New Roman"/>
          <w:b/>
          <w:bCs/>
          <w:sz w:val="24"/>
        </w:rPr>
        <w:t>一、数据源</w:t>
      </w:r>
    </w:p>
    <w:p w14:paraId="57548F9A">
      <w:pPr>
        <w:spacing w:line="360" w:lineRule="auto"/>
        <w:ind w:firstLine="420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拟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利用多源卫星数据，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实现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研究区的高时空分辨率监测需求。数据源包括以下部分：</w:t>
      </w:r>
    </w:p>
    <w:p w14:paraId="1681A09C"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HJ-2A/B：16m空间分辨率，4波段（可见光+近红外），重访周期2-3天，适合大尺度地物监测，提供光谱信息。</w:t>
      </w:r>
    </w:p>
    <w:p w14:paraId="0D74434D"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高分六号：16m分辨率，4波段，与HJ-2A/B互补，增强覆盖频率。</w:t>
      </w:r>
    </w:p>
    <w:p w14:paraId="6636661D"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高分一号：2m分辨率，提供高空间细节，用于样本标注、火烧迹地边界验证和纹理特征提取。</w:t>
      </w:r>
    </w:p>
    <w:p w14:paraId="0E6D1AB8"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  <w:u w:val="single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  <w:u w:val="single"/>
        </w:rPr>
        <w:t>Landsat-8/9：30m分辨率，7-11波段（包括热红外），重访周期16天，提供光谱和热异常信息，辅助火烧迹地检测。</w:t>
      </w:r>
    </w:p>
    <w:p w14:paraId="58102712"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  <w:u w:val="single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  <w:u w:val="single"/>
        </w:rPr>
        <w:t>哨兵-2A/B：10m（B2、B3、B4、B8）与20m（B11、B12）分辨率，13波段，重访周期5天（双星），提供高光谱分辨率，计算NDVI、NBR、BSI指数，核心数据源。</w:t>
      </w:r>
    </w:p>
    <w:p w14:paraId="513B380B">
      <w:pPr>
        <w:spacing w:line="360" w:lineRule="auto"/>
        <w:ind w:firstLine="420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  <w:u w:val="single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  <w:u w:val="single"/>
        </w:rPr>
        <w:t>热异常火灾点数据：</w:t>
      </w:r>
    </w:p>
    <w:p w14:paraId="4756B6D6"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MODIS（MOD14/MYD14，1km分辨率）、VIIRS（VNP14，375m分辨率）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以及哨兵2火点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，提供火灾点经纬度、发生时间。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（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用于确定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火烧迹地高发区域，生成100-200m缓冲区掩膜，辅助样本标注和时间序列分析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）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。</w:t>
      </w:r>
    </w:p>
    <w:p w14:paraId="7E12BCC9">
      <w:pPr>
        <w:spacing w:line="360" w:lineRule="auto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1C52F996">
      <w:pPr>
        <w:spacing w:line="360" w:lineRule="auto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4CAA5EEA">
      <w:pPr>
        <w:spacing w:line="360" w:lineRule="auto"/>
        <w:jc w:val="left"/>
        <w:rPr>
          <w:rFonts w:hint="default" w:ascii="Times New Roman" w:hAnsi="Times New Roman" w:eastAsia="仿宋_GB2312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仿宋_GB2312" w:cs="Times New Roman"/>
          <w:b/>
          <w:bCs/>
          <w:sz w:val="24"/>
          <w:lang w:val="en-US" w:eastAsia="zh-CN"/>
        </w:rPr>
        <w:t>二</w:t>
      </w:r>
      <w:r>
        <w:rPr>
          <w:rFonts w:hint="default" w:ascii="Times New Roman" w:hAnsi="Times New Roman" w:eastAsia="仿宋_GB2312" w:cs="Times New Roman"/>
          <w:b/>
          <w:bCs/>
          <w:sz w:val="24"/>
        </w:rPr>
        <w:t>、</w:t>
      </w:r>
      <w:r>
        <w:rPr>
          <w:rFonts w:hint="eastAsia" w:ascii="Times New Roman" w:hAnsi="Times New Roman" w:eastAsia="仿宋_GB2312" w:cs="Times New Roman"/>
          <w:b/>
          <w:bCs/>
          <w:sz w:val="24"/>
          <w:lang w:val="en-US" w:eastAsia="zh-CN"/>
        </w:rPr>
        <w:t>研究路线</w:t>
      </w:r>
    </w:p>
    <w:p w14:paraId="067BC71C">
      <w:pPr>
        <w:spacing w:line="360" w:lineRule="auto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4098EC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  <w:lang w:val="en-US" w:eastAsia="zh-CN"/>
        </w:rPr>
      </w:pP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1.数据处理</w:t>
      </w:r>
    </w:p>
    <w:p w14:paraId="7B3DB2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利用哨兵-2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/landsat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的10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/30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m分辨率波段（B2、B3、B4、B8、B11、B12）计算NDVI、NBR、BSI光谱指数，计算光谱指数NDVI（(B8-B4)/(B8+B4)）、NBR（(B8-B12)/(B8+B12)利用近红外与短波红外2的比值评估植被燃烧程度，值越低表示燃烧越严重）、BSI（((B11+B4)-(B8+B2))/((B11+B4)+(B8+B2))通过红光、短波红外1、近红外和蓝光波段组合检测裸土和荒漠化区域，值越高表示裸露土壤越多），及dNBR（火灾</w:t>
      </w:r>
      <w:r>
        <w:rPr>
          <w:rFonts w:hint="default" w:ascii="Times New Roman" w:hAnsi="Times New Roman" w:eastAsia="仿宋_GB2312" w:cs="Times New Roman"/>
          <w:b/>
          <w:bCs/>
          <w:sz w:val="24"/>
        </w:rPr>
        <w:t>前后</w:t>
      </w:r>
      <w:r>
        <w:rPr>
          <w:rFonts w:hint="eastAsia" w:ascii="Times New Roman" w:hAnsi="Times New Roman" w:eastAsia="仿宋_GB2312" w:cs="Times New Roman"/>
          <w:b/>
          <w:bCs/>
          <w:sz w:val="24"/>
          <w:lang w:val="en-US" w:eastAsia="zh-CN"/>
        </w:rPr>
        <w:t>卫星过境</w:t>
      </w:r>
      <w:r>
        <w:rPr>
          <w:rFonts w:hint="default" w:ascii="Times New Roman" w:hAnsi="Times New Roman" w:eastAsia="仿宋_GB2312" w:cs="Times New Roman"/>
          <w:b/>
          <w:bCs/>
          <w:sz w:val="24"/>
        </w:rPr>
        <w:t>NBR差值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）</w:t>
      </w:r>
    </w:p>
    <w:p w14:paraId="31ECB1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高分一号2m影像用于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辅助标注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验证，热异常火灾点数据（MODIS/VIIRS）生成100-200m缓冲区掩膜，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确定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火烧迹地高发区。在GEE中进行辐射校正、云检测、指数计算，导出10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/30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m分辨率GeoTIFF，确保时间序列（5-6天重访）与火灾点时间匹配（±5天），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实现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一周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至少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一次全域覆盖。</w:t>
      </w:r>
    </w:p>
    <w:p w14:paraId="7D5F67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2.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样本制作</w:t>
      </w:r>
    </w:p>
    <w:p w14:paraId="581B2F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基于哨兵-2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/landsat/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高分一号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以及Googlearth等高分辨率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影像和热异常点数据，制作标准化语义分割样本（包含原始图像和像素级标签），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初步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覆盖植被、火烧迹地、裸土三类别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，（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对于秸秆覆盖区分，需在植被类别中依据覆盖度进一步细分)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。焚烧季（9-11月）通过高分影像验证，确保样本质量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(宁缺毋滥）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。</w:t>
      </w:r>
    </w:p>
    <w:p w14:paraId="7307CB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6CD2D819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分类算法</w:t>
      </w:r>
    </w:p>
    <w:p w14:paraId="07E59D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首先采用中国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土地覆盖产品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或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中国土地利用数据库，初步筛选农田等目标区域，排除城市、建筑、水体等非相关地类，优化分类范围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。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之后，计划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采用两阶段分类框架以加速预测并确保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模型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精度。</w:t>
      </w:r>
    </w:p>
    <w:p w14:paraId="4E22E12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</w:pPr>
    </w:p>
    <w:p w14:paraId="4E9FD5C2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1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光谱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规则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快速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筛选：基于NDVI（&gt;0.6，植被）、NBR（&lt;0，火烧迹地，结合火烧掩膜）、BSI（&gt;0.2，裸土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指数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）阈值，初步分类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5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0%-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7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0%像素，覆盖植被和裸土</w:t>
      </w:r>
      <w:r>
        <w:rPr>
          <w:rFonts w:hint="eastAsia" w:ascii="Times New Roman" w:hAnsi="Times New Roman" w:eastAsia="仿宋_GB2312" w:cs="Times New Roman"/>
          <w:b/>
          <w:bCs/>
          <w:color w:val="0000FF"/>
          <w:sz w:val="24"/>
          <w:lang w:val="en-US" w:eastAsia="zh-CN"/>
        </w:rPr>
        <w:t>显著</w:t>
      </w:r>
      <w:r>
        <w:rPr>
          <w:rFonts w:hint="default" w:ascii="Times New Roman" w:hAnsi="Times New Roman" w:eastAsia="仿宋_GB2312" w:cs="Times New Roman"/>
          <w:b/>
          <w:bCs/>
          <w:color w:val="0000FF"/>
          <w:sz w:val="24"/>
        </w:rPr>
        <w:t>主导区域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，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此外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由热异常点缓冲区（100-200m）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确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定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火烧地潜在位置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，减少深度学习预测范围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，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以加速整体结果计算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。</w:t>
      </w:r>
    </w:p>
    <w:p w14:paraId="3668D7E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left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36CBC296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2深度学习精分类：对未分类像素和火烧掩膜区域，应用DeepLabv3+（MobileNetV2骨干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网络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）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模型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，输入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9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通道（B2、B3、B4、B8、B11、B12、NDVI、NBR、BSI），使用Focal Loss（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额外设置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火烧迹地较</w:t>
      </w:r>
      <w:r>
        <w:rPr>
          <w:rFonts w:hint="default" w:ascii="Times New Roman" w:hAnsi="Times New Roman" w:eastAsia="仿宋_GB2312" w:cs="Times New Roman"/>
          <w:b/>
          <w:bCs/>
          <w:sz w:val="24"/>
        </w:rPr>
        <w:t>高权重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）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。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基于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PyTorch中实现，调整输入层支持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9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通道，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拟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训练50轮，推理分块并行。</w:t>
      </w:r>
    </w:p>
    <w:p w14:paraId="5C22B6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left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7E2E3B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left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-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（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DeepLabv3+结合空洞卷积和空洞空间金字塔池化（ASPP）模块，能够捕捉多尺度特征，有效处理火烧迹地的复杂边界和裸土的均匀纹理，适合融合多源数据（B2、B3、B4、B8、B11、B12，NDVI、NBR、BSI）。MobileNetV2骨干网络以其轻量级设计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可以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显著提升推理速度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）</w:t>
      </w:r>
    </w:p>
    <w:p w14:paraId="4D7E376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left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6EB2F2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3881BE2D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  <w:lang w:val="en-US" w:eastAsia="zh-CN"/>
        </w:rPr>
      </w:pP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加速优化方法</w:t>
      </w:r>
    </w:p>
    <w:p w14:paraId="2D8D9C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本方案采用快速光谱指数阈值+中国土地地物分类数据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规则筛选减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5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0%-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7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0%像素量，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对于不确定像素，推进深度学习进行精分类，调研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MobileNetV2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模型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推理速度比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CNN,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ResNet-101快2-3倍，总体推理时间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预计大幅下降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，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部分数据计划</w:t>
      </w:r>
      <w:r>
        <w:rPr>
          <w:rFonts w:hint="default" w:ascii="Times New Roman" w:hAnsi="Times New Roman" w:eastAsia="仿宋_GB2312" w:cs="Times New Roman"/>
          <w:b/>
          <w:bCs/>
          <w:sz w:val="24"/>
        </w:rPr>
        <w:t>GEE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云端处理（NDVI、NBR、BSI、火烧掩膜）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，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缓解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本地计算需求。</w:t>
      </w:r>
    </w:p>
    <w:p w14:paraId="32A11A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703FCA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18507E6B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eastAsia="仿宋_GB2312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仿宋_GB2312" w:cs="Times New Roman"/>
          <w:b/>
          <w:bCs/>
          <w:sz w:val="24"/>
          <w:lang w:val="en-US" w:eastAsia="zh-CN"/>
        </w:rPr>
        <w:t>三、样本标注要求</w:t>
      </w:r>
    </w:p>
    <w:p w14:paraId="70BA7A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leftChars="0"/>
        <w:jc w:val="left"/>
        <w:textAlignment w:val="auto"/>
        <w:rPr>
          <w:rFonts w:hint="default" w:ascii="Times New Roman" w:hAnsi="Times New Roman" w:eastAsia="仿宋_GB2312" w:cs="Times New Roman"/>
          <w:b/>
          <w:bCs/>
          <w:sz w:val="24"/>
          <w:lang w:val="en-US" w:eastAsia="zh-CN"/>
        </w:rPr>
      </w:pPr>
    </w:p>
    <w:p w14:paraId="73AFA2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8" w:lineRule="auto"/>
        <w:ind w:firstLine="420" w:firstLineChars="0"/>
        <w:jc w:val="left"/>
        <w:textAlignment w:val="auto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drawing>
          <wp:inline distT="0" distB="0" distL="114300" distR="114300">
            <wp:extent cx="5271135" cy="2006600"/>
            <wp:effectExtent l="0" t="0" r="571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0B8D">
      <w:p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093335" cy="4024630"/>
            <wp:effectExtent l="9525" t="9525" r="21590" b="234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40246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5F431D49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5AB03B26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一、样本总体要求</w:t>
      </w:r>
    </w:p>
    <w:p w14:paraId="78C4E051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</w:pP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目标：初步目标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为三类别（植被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（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包含两类秸秆地类型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）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、火烧迹地、裸土）语义分割提供训练数据，支持两阶段分类框架。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（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样本标注务必准确，需叠加高分辨率底图，热异常点以及三个光谱指数图像辅助判断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）</w:t>
      </w:r>
    </w:p>
    <w:p w14:paraId="619D7149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51B0CDCF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398BE817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/>
          <w:bCs/>
          <w:sz w:val="24"/>
        </w:rPr>
      </w:pPr>
      <w:r>
        <w:rPr>
          <w:rFonts w:hint="eastAsia" w:ascii="Times New Roman" w:hAnsi="Times New Roman" w:eastAsia="仿宋_GB2312" w:cs="Times New Roman"/>
          <w:b/>
          <w:bCs/>
          <w:sz w:val="24"/>
          <w:lang w:val="en-US" w:eastAsia="zh-CN"/>
        </w:rPr>
        <w:t>1.</w:t>
      </w:r>
      <w:r>
        <w:rPr>
          <w:rFonts w:hint="default" w:ascii="Times New Roman" w:hAnsi="Times New Roman" w:eastAsia="仿宋_GB2312" w:cs="Times New Roman"/>
          <w:b/>
          <w:bCs/>
          <w:sz w:val="24"/>
        </w:rPr>
        <w:t>植被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（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包含两类秸秆地类型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）</w:t>
      </w:r>
      <w:r>
        <w:rPr>
          <w:rFonts w:hint="default" w:ascii="Times New Roman" w:hAnsi="Times New Roman" w:eastAsia="仿宋_GB2312" w:cs="Times New Roman"/>
          <w:b/>
          <w:bCs/>
          <w:sz w:val="24"/>
        </w:rPr>
        <w:t>：</w:t>
      </w:r>
    </w:p>
    <w:p w14:paraId="73A2FE5A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高NDVI（&gt;0.6）：反映健康植被的强近红外反射。</w:t>
      </w:r>
    </w:p>
    <w:p w14:paraId="418484A6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高NBR（&gt;0.3）：表示植被未受火灾影响。</w:t>
      </w:r>
    </w:p>
    <w:p w14:paraId="488AB681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高分影像显示绿色或茂密植被覆盖（如玉米、大豆、草地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，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翻耕秸秆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）。</w:t>
      </w:r>
    </w:p>
    <w:p w14:paraId="14F18B75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热异常点：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一般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无火灾点。优先选择农田、草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地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，覆盖典型作物（玉米、大豆、小麦）。采集春季（4-6月）和夏季（6-8月）影像，确保植被生长旺盛。分布覆盖研究区各市，每区域至少300样本，考虑作物和土壤类型差异。避免云遮挡区域。</w:t>
      </w:r>
    </w:p>
    <w:p w14:paraId="60824DB3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排除稀疏植被（NDVI 0.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2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-0.6），确保</w:t>
      </w:r>
      <w:r>
        <w:rPr>
          <w:rFonts w:hint="eastAsia" w:ascii="Times New Roman" w:hAnsi="Times New Roman" w:eastAsia="仿宋_GB2312" w:cs="Times New Roman"/>
          <w:b/>
          <w:bCs/>
          <w:sz w:val="24"/>
          <w:lang w:val="en-US" w:eastAsia="zh-CN"/>
        </w:rPr>
        <w:t>有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植被覆盖。</w:t>
      </w:r>
    </w:p>
    <w:p w14:paraId="7D1FB24E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使用高分影像确认植被边界，避免与裸土混淆。</w:t>
      </w:r>
    </w:p>
    <w:p w14:paraId="66F00739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102D09E8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eastAsia" w:ascii="Times New Roman" w:hAnsi="Times New Roman" w:eastAsia="仿宋_GB2312" w:cs="Times New Roman"/>
          <w:b/>
          <w:bCs/>
          <w:sz w:val="24"/>
          <w:lang w:val="en-US" w:eastAsia="zh-CN"/>
        </w:rPr>
        <w:t>2</w:t>
      </w:r>
      <w:r>
        <w:rPr>
          <w:rFonts w:hint="default" w:ascii="Times New Roman" w:hAnsi="Times New Roman" w:eastAsia="仿宋_GB2312" w:cs="Times New Roman"/>
          <w:b/>
          <w:bCs/>
          <w:sz w:val="24"/>
        </w:rPr>
        <w:t>火烧迹地：</w:t>
      </w:r>
    </w:p>
    <w:p w14:paraId="53EC8101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低NBR（&lt;0）：火灾后碳化导致短波红外（B12）反射增强。</w:t>
      </w:r>
    </w:p>
    <w:p w14:paraId="6D4B3735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低NDVI（&lt;0.3）：植被破坏后近红外反射下降。</w:t>
      </w:r>
    </w:p>
    <w:p w14:paraId="4AA4FFA8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高dNBR（&gt;0.3）：火灾前后NBR差值显著，反映焚烧变化。</w:t>
      </w:r>
    </w:p>
    <w:p w14:paraId="6246A1AA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高分影像显示黑色或灰色烧痕，可能伴随残余植被。</w:t>
      </w:r>
    </w:p>
    <w:p w14:paraId="1D734979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热异常点：位于火烧掩膜内（100-200m缓冲区）。</w:t>
      </w:r>
    </w:p>
    <w:p w14:paraId="4C18EBD7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707F6F0A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优先采集焚烧季（9-11月）影像，结合热异常点（MODIS/VIIRS或国产数据）至少1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0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00个火烧迹地主导样本，另1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0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00个含火烧迹地与裸土/植被混合区。</w:t>
      </w:r>
    </w:p>
    <w:p w14:paraId="111D0C1D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重点覆盖焚烧高发区（如河南、山东农田），每区域至少300样本，确保火灾规模（小型到大面积）多样性。</w:t>
      </w:r>
    </w:p>
    <w:p w14:paraId="0330A650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区分火烧迹地与深色土壤（裸土），参考高分影像烧痕特征。</w:t>
      </w:r>
    </w:p>
    <w:p w14:paraId="4BD6F9F3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标注火烧迹地边缘，保留过渡区域（与植被/裸土混合）。</w:t>
      </w:r>
    </w:p>
    <w:p w14:paraId="5F4C901A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4CFFE12B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/>
          <w:bCs/>
          <w:sz w:val="24"/>
        </w:rPr>
      </w:pPr>
      <w:r>
        <w:rPr>
          <w:rFonts w:hint="eastAsia" w:ascii="Times New Roman" w:hAnsi="Times New Roman" w:eastAsia="仿宋_GB2312" w:cs="Times New Roman"/>
          <w:b/>
          <w:bCs/>
          <w:sz w:val="24"/>
          <w:lang w:val="en-US" w:eastAsia="zh-CN"/>
        </w:rPr>
        <w:t>3.</w:t>
      </w:r>
      <w:r>
        <w:rPr>
          <w:rFonts w:hint="default" w:ascii="Times New Roman" w:hAnsi="Times New Roman" w:eastAsia="仿宋_GB2312" w:cs="Times New Roman"/>
          <w:b/>
          <w:bCs/>
          <w:sz w:val="24"/>
        </w:rPr>
        <w:t>裸土：</w:t>
      </w:r>
    </w:p>
    <w:p w14:paraId="54D9B682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高BSI（&gt;0.2）：反映裸露土壤的高红外和低近红外反射。</w:t>
      </w:r>
    </w:p>
    <w:p w14:paraId="670DFE2B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低NDVI（&lt;0.3）：无植被覆盖。</w:t>
      </w:r>
    </w:p>
    <w:p w14:paraId="55A0C3EB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中等NBR（0-0.3）：无火灾影响。</w:t>
      </w:r>
    </w:p>
    <w:p w14:paraId="5A42BC7F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高分影像显示均匀土壤色调（棕色、灰色），无明显植被或烧痕。</w:t>
      </w:r>
    </w:p>
    <w:p w14:paraId="7363F8CE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热异常点：无火灾点。</w:t>
      </w:r>
    </w:p>
    <w:p w14:paraId="67D81EAD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7C3E7BF3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采集春季（耕作前裸露土壤）或秋季（收割后裸地）影像，覆盖农田和荒地。</w:t>
      </w:r>
    </w:p>
    <w:p w14:paraId="1EAF66E2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至少1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0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00个裸土主导样本，另1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0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00个含裸土与植被混合区域。</w:t>
      </w:r>
    </w:p>
    <w:p w14:paraId="14C3C8A5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覆盖研究区各市，每区域至少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1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00样本，考虑土壤类型（沙土、黏土）和湿度差异</w:t>
      </w:r>
      <w:r>
        <w:rPr>
          <w:rFonts w:hint="eastAsia" w:ascii="Times New Roman" w:hAnsi="Times New Roman" w:eastAsia="仿宋_GB2312" w:cs="Times New Roman"/>
          <w:b w:val="0"/>
          <w:bCs w:val="0"/>
          <w:sz w:val="24"/>
          <w:lang w:eastAsia="zh-CN"/>
        </w:rPr>
        <w:t>，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避免与火烧迹地混淆，参考BSI高值。</w:t>
      </w:r>
    </w:p>
    <w:p w14:paraId="146BD7D0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r>
        <w:rPr>
          <w:rFonts w:hint="eastAsia" w:ascii="Times New Roman" w:hAnsi="Times New Roman" w:eastAsia="仿宋_GB2312" w:cs="Times New Roman"/>
          <w:b w:val="0"/>
          <w:bCs w:val="0"/>
          <w:sz w:val="24"/>
          <w:lang w:val="en-US" w:eastAsia="zh-CN"/>
        </w:rPr>
        <w:t>--</w:t>
      </w:r>
      <w:r>
        <w:rPr>
          <w:rFonts w:hint="default" w:ascii="Times New Roman" w:hAnsi="Times New Roman" w:eastAsia="仿宋_GB2312" w:cs="Times New Roman"/>
          <w:b w:val="0"/>
          <w:bCs w:val="0"/>
          <w:sz w:val="24"/>
        </w:rPr>
        <w:t>使用高分影像确认土壤均匀性，排除残余植被或烧痕。标注裸土边界，保留与植被过渡区域。</w:t>
      </w:r>
    </w:p>
    <w:p w14:paraId="06C1C102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</w:p>
    <w:p w14:paraId="6F063DBA">
      <w:pPr>
        <w:spacing w:line="360" w:lineRule="auto"/>
        <w:jc w:val="left"/>
        <w:rPr>
          <w:rFonts w:hint="default" w:ascii="Times New Roman" w:hAnsi="Times New Roman" w:eastAsia="仿宋_GB2312" w:cs="Times New Roman"/>
          <w:b w:val="0"/>
          <w:bCs w:val="0"/>
          <w:sz w:val="24"/>
        </w:rPr>
      </w:pPr>
      <w:bookmarkStart w:id="0" w:name="_GoBack"/>
      <w:bookmarkEnd w:id="0"/>
    </w:p>
    <w:p w14:paraId="16773730">
      <w:pPr>
        <w:spacing w:line="360" w:lineRule="auto"/>
        <w:jc w:val="both"/>
        <w:rPr>
          <w:rFonts w:hint="default" w:ascii="Times New Roman" w:hAnsi="Times New Roman" w:eastAsia="宋体" w:cs="Times New Roman"/>
          <w:b/>
          <w:bCs/>
          <w:sz w:val="40"/>
          <w:szCs w:val="40"/>
          <w14:ligatures w14:val="standardContextual"/>
        </w:rPr>
      </w:pPr>
    </w:p>
    <w:p w14:paraId="3F566742">
      <w:pPr>
        <w:spacing w:line="360" w:lineRule="auto"/>
        <w:jc w:val="center"/>
        <w:rPr>
          <w:rFonts w:hint="default" w:ascii="Times New Roman" w:hAnsi="Times New Roman" w:eastAsia="宋体" w:cs="Times New Roman"/>
          <w:b/>
          <w:bCs/>
          <w:sz w:val="40"/>
          <w:szCs w:val="40"/>
          <w14:ligatures w14:val="standardContextual"/>
        </w:rPr>
      </w:pPr>
    </w:p>
    <w:p w14:paraId="2CD23C5A">
      <w:pPr>
        <w:pStyle w:val="15"/>
        <w:tabs>
          <w:tab w:val="left" w:pos="384"/>
        </w:tabs>
        <w:spacing w:after="0" w:line="240" w:lineRule="auto"/>
        <w:rPr>
          <w:rFonts w:hint="default" w:ascii="Times New Roman" w:hAnsi="Times New Roman" w:eastAsia="等线" w:cs="Times New Roman"/>
          <w:b/>
          <w:bCs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" w:fontKey="{D75CFA99-CB44-4F6D-87CE-CC50A50C8105}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  <w:embedRegular r:id="rId2" w:fontKey="{62250900-C005-4B10-BC27-346B2D388165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8769D0"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872177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D872177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DB8873"/>
    <w:multiLevelType w:val="singleLevel"/>
    <w:tmpl w:val="C2DB887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5461D17"/>
    <w:multiLevelType w:val="singleLevel"/>
    <w:tmpl w:val="05461D1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2B8A74FD"/>
    <w:multiLevelType w:val="multilevel"/>
    <w:tmpl w:val="2B8A74F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45E2CD14"/>
    <w:multiLevelType w:val="singleLevel"/>
    <w:tmpl w:val="45E2CD14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8EA7EF6"/>
    <w:multiLevelType w:val="singleLevel"/>
    <w:tmpl w:val="58EA7EF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1A7"/>
    <w:rsid w:val="00024BF4"/>
    <w:rsid w:val="00056D51"/>
    <w:rsid w:val="00061EDB"/>
    <w:rsid w:val="000C0A78"/>
    <w:rsid w:val="000F1738"/>
    <w:rsid w:val="000F6276"/>
    <w:rsid w:val="001027E8"/>
    <w:rsid w:val="00151ADE"/>
    <w:rsid w:val="00171D4D"/>
    <w:rsid w:val="00172BD5"/>
    <w:rsid w:val="001F0692"/>
    <w:rsid w:val="00233310"/>
    <w:rsid w:val="00285222"/>
    <w:rsid w:val="002D2FC9"/>
    <w:rsid w:val="002F69B6"/>
    <w:rsid w:val="00353B22"/>
    <w:rsid w:val="00371738"/>
    <w:rsid w:val="0039664D"/>
    <w:rsid w:val="003A5240"/>
    <w:rsid w:val="003B03D9"/>
    <w:rsid w:val="003C3C06"/>
    <w:rsid w:val="0042743C"/>
    <w:rsid w:val="00495B9E"/>
    <w:rsid w:val="00495DB4"/>
    <w:rsid w:val="004A432F"/>
    <w:rsid w:val="005806FC"/>
    <w:rsid w:val="00590391"/>
    <w:rsid w:val="005B72A0"/>
    <w:rsid w:val="005D50E7"/>
    <w:rsid w:val="0061134F"/>
    <w:rsid w:val="006771A7"/>
    <w:rsid w:val="00685FCA"/>
    <w:rsid w:val="00692C2E"/>
    <w:rsid w:val="006A70F0"/>
    <w:rsid w:val="006B157B"/>
    <w:rsid w:val="006C1673"/>
    <w:rsid w:val="006C2328"/>
    <w:rsid w:val="006E4DE3"/>
    <w:rsid w:val="00724618"/>
    <w:rsid w:val="00745B1D"/>
    <w:rsid w:val="0078403F"/>
    <w:rsid w:val="00790A0F"/>
    <w:rsid w:val="00792816"/>
    <w:rsid w:val="007A7D3A"/>
    <w:rsid w:val="007E4592"/>
    <w:rsid w:val="007F1321"/>
    <w:rsid w:val="008C62A2"/>
    <w:rsid w:val="00903BD0"/>
    <w:rsid w:val="00910F6B"/>
    <w:rsid w:val="00911924"/>
    <w:rsid w:val="00911AC5"/>
    <w:rsid w:val="00923C88"/>
    <w:rsid w:val="00973BF9"/>
    <w:rsid w:val="00993CEC"/>
    <w:rsid w:val="009E2DB6"/>
    <w:rsid w:val="00A0148A"/>
    <w:rsid w:val="00A27EA3"/>
    <w:rsid w:val="00A57C88"/>
    <w:rsid w:val="00A65902"/>
    <w:rsid w:val="00AA588A"/>
    <w:rsid w:val="00B00352"/>
    <w:rsid w:val="00B220DD"/>
    <w:rsid w:val="00B370EB"/>
    <w:rsid w:val="00B80A28"/>
    <w:rsid w:val="00B81421"/>
    <w:rsid w:val="00BB6B64"/>
    <w:rsid w:val="00C55F46"/>
    <w:rsid w:val="00CC510F"/>
    <w:rsid w:val="00D10836"/>
    <w:rsid w:val="00D53F73"/>
    <w:rsid w:val="00D542D4"/>
    <w:rsid w:val="00E02016"/>
    <w:rsid w:val="00E4384A"/>
    <w:rsid w:val="00E65519"/>
    <w:rsid w:val="00E66D2E"/>
    <w:rsid w:val="00E92774"/>
    <w:rsid w:val="00E96E8F"/>
    <w:rsid w:val="00EA1A4B"/>
    <w:rsid w:val="00EF0E64"/>
    <w:rsid w:val="00F357D4"/>
    <w:rsid w:val="00F71F0C"/>
    <w:rsid w:val="00F9620D"/>
    <w:rsid w:val="00FD60DE"/>
    <w:rsid w:val="00FE6DA2"/>
    <w:rsid w:val="03AE7554"/>
    <w:rsid w:val="0BE31188"/>
    <w:rsid w:val="0D075A1E"/>
    <w:rsid w:val="0D9A6F44"/>
    <w:rsid w:val="13157C5E"/>
    <w:rsid w:val="15840D90"/>
    <w:rsid w:val="15895A18"/>
    <w:rsid w:val="16295C31"/>
    <w:rsid w:val="316375EB"/>
    <w:rsid w:val="31D16BCA"/>
    <w:rsid w:val="3C6330EE"/>
    <w:rsid w:val="3E5720B6"/>
    <w:rsid w:val="48C435B3"/>
    <w:rsid w:val="58CF001E"/>
    <w:rsid w:val="5B1A6B44"/>
    <w:rsid w:val="5D820EF8"/>
    <w:rsid w:val="5E2632DE"/>
    <w:rsid w:val="603E77DD"/>
    <w:rsid w:val="7709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Emphasis"/>
    <w:basedOn w:val="8"/>
    <w:qFormat/>
    <w:uiPriority w:val="20"/>
    <w:rPr>
      <w:i/>
    </w:rPr>
  </w:style>
  <w:style w:type="character" w:styleId="11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2">
    <w:name w:val="页眉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页脚 字符"/>
    <w:basedOn w:val="8"/>
    <w:link w:val="3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paragraph" w:customStyle="1" w:styleId="15">
    <w:name w:val="Bibliography"/>
    <w:basedOn w:val="1"/>
    <w:next w:val="1"/>
    <w:unhideWhenUsed/>
    <w:qFormat/>
    <w:uiPriority w:val="37"/>
  </w:style>
  <w:style w:type="character" w:customStyle="1" w:styleId="16">
    <w:name w:val="font11"/>
    <w:basedOn w:val="8"/>
    <w:qFormat/>
    <w:uiPriority w:val="0"/>
    <w:rPr>
      <w:rFonts w:hint="eastAsia" w:ascii="宋体" w:hAnsi="宋体" w:eastAsia="宋体" w:cs="宋体"/>
      <w:b/>
      <w:bCs/>
      <w:color w:val="000000"/>
      <w:sz w:val="22"/>
      <w:szCs w:val="22"/>
      <w:u w:val="none"/>
    </w:rPr>
  </w:style>
  <w:style w:type="character" w:customStyle="1" w:styleId="17">
    <w:name w:val="font21"/>
    <w:basedOn w:val="8"/>
    <w:qFormat/>
    <w:uiPriority w:val="0"/>
    <w:rPr>
      <w:rFonts w:hint="default" w:ascii="Times New Roman" w:hAnsi="Times New Roman" w:cs="Times New Roman"/>
      <w:b/>
      <w:bCs/>
      <w:color w:val="000000"/>
      <w:sz w:val="22"/>
      <w:szCs w:val="22"/>
      <w:u w:val="none"/>
    </w:rPr>
  </w:style>
  <w:style w:type="character" w:customStyle="1" w:styleId="18">
    <w:name w:val="font31"/>
    <w:basedOn w:val="8"/>
    <w:qFormat/>
    <w:uiPriority w:val="0"/>
    <w:rPr>
      <w:rFonts w:hint="eastAsia" w:ascii="宋体" w:hAnsi="宋体" w:eastAsia="宋体" w:cs="宋体"/>
      <w:b/>
      <w:bCs/>
      <w:color w:val="000000"/>
      <w:sz w:val="22"/>
      <w:szCs w:val="22"/>
      <w:u w:val="none"/>
    </w:rPr>
  </w:style>
  <w:style w:type="character" w:customStyle="1" w:styleId="19">
    <w:name w:val="font41"/>
    <w:basedOn w:val="8"/>
    <w:qFormat/>
    <w:uiPriority w:val="0"/>
    <w:rPr>
      <w:rFonts w:ascii="方正仿宋_GBK" w:hAnsi="方正仿宋_GBK" w:eastAsia="方正仿宋_GBK" w:cs="方正仿宋_GBK"/>
      <w:color w:val="000000"/>
      <w:sz w:val="22"/>
      <w:szCs w:val="22"/>
      <w:u w:val="none"/>
    </w:rPr>
  </w:style>
  <w:style w:type="character" w:customStyle="1" w:styleId="20">
    <w:name w:val="font51"/>
    <w:basedOn w:val="8"/>
    <w:qFormat/>
    <w:uiPriority w:val="0"/>
    <w:rPr>
      <w:rFonts w:hint="eastAsia" w:ascii="方正仿宋_GBK" w:hAnsi="方正仿宋_GBK" w:eastAsia="方正仿宋_GBK" w:cs="方正仿宋_GBK"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2669</Words>
  <Characters>3210</Characters>
  <Lines>49</Lines>
  <Paragraphs>13</Paragraphs>
  <TotalTime>12</TotalTime>
  <ScaleCrop>false</ScaleCrop>
  <LinksUpToDate>false</LinksUpToDate>
  <CharactersWithSpaces>3213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2025-04-13T04:51:00Z</dcterms:created>
  <dc:creator>DELL</dc:creator>
  <cp:lastModifiedBy>hjx</cp:lastModifiedBy>
  <dcterms:modified xsi:type="dcterms:W3CDTF">2025-06-28T14:34:12Z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eyJoZGlkIjoiYWU0ZmExN2Y0ODE0MzZlMWMzMTZlNGQxMDk1ZDA3ZGYiLCJ1c2VySWQiOiI3MDQ3MjQyMDIifQ==</vt:lpwstr>
  </property>
  <property fmtid="{D5CDD505-2E9C-101B-9397-08002B2CF9AE}" pid="3" name="KSOProductBuildVer">
    <vt:lpwstr>2052-12.1.0.21541</vt:lpwstr>
  </property>
  <property fmtid="{D5CDD505-2E9C-101B-9397-08002B2CF9AE}" pid="4" name="ICV">
    <vt:lpwstr>99814EB57801455DBA33FF05E7A73EB6_13</vt:lpwstr>
  </property>
</Properties>
</file>