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512" w:after="200"/>
        <w:jc w:val="center"/>
      </w:pPr>
      <w:r>
        <w:rPr>
          <w:rFonts w:ascii="Arial Unicode MS" w:hAnsi="Arial Unicode MS" w:eastAsia="Arial Unicode MS"/>
          <w:b/>
          <w:color w:val="000000"/>
          <w:sz w:val="46"/>
        </w:rPr>
        <w:t>CARSI IdP 模拟部署与升级运维说明</w:t>
      </w:r>
    </w:p>
    <w:p>
      <w:pPr>
        <w:spacing w:after="480"/>
        <w:jc w:val="center"/>
      </w:pPr>
      <w:r>
        <w:rPr>
          <w:rFonts w:ascii="Arial Unicode MS" w:hAnsi="Arial Unicode MS" w:eastAsia="Arial Unicode MS"/>
          <w:b w:val="0"/>
          <w:color w:val="4D4D4D"/>
          <w:sz w:val="24"/>
        </w:rPr>
        <w:t>远端 Docker 模拟实例  idp.yiyun.edu.cn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tblHeader w:val="true"/>
        </w:trPr>
        <w:tc>
          <w:tcPr>
            <w:tcW w:type="dxa" w:w="2088"/>
            <w:shd w:fill="1F4E79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568"/>
            <w:shd w:fill="1F4E79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当前结论</w:t>
            </w:r>
          </w:p>
        </w:tc>
      </w:tr>
      <w:tr>
        <w:tc>
          <w:tcPr>
            <w:tcW w:type="dxa" w:w="2088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部署状态</w:t>
            </w:r>
          </w:p>
        </w:tc>
        <w:tc>
          <w:tcPr>
            <w:tcW w:type="dxa" w:w="8568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可用。IdP 与 MariaDB 均通过 Docker 健康检查，HTTPS IdP 端点返回 200。</w:t>
            </w:r>
          </w:p>
        </w:tc>
      </w:tr>
      <w:tr>
        <w:tc>
          <w:tcPr>
            <w:tcW w:type="dxa" w:w="2088"/>
            <w:shd w:fill="F4F7FA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访问隔离</w:t>
            </w:r>
          </w:p>
        </w:tc>
        <w:tc>
          <w:tcPr>
            <w:tcW w:type="dxa" w:w="8568"/>
            <w:shd w:fill="F4F7FA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模拟服务使用 8088 和 8443，未占用宿主机上既有生产服务的 80 和 443。</w:t>
            </w:r>
          </w:p>
        </w:tc>
      </w:tr>
      <w:tr>
        <w:tc>
          <w:tcPr>
            <w:tcW w:type="dxa" w:w="2088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身份标识</w:t>
            </w:r>
          </w:p>
        </w:tc>
        <w:tc>
          <w:tcPr>
            <w:tcW w:type="dxa" w:w="8568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EntityID 为 https://idp.yiyun.edu.cn/idp/shibboleth，scope 为 yiyun.edu.cn。</w:t>
            </w:r>
          </w:p>
        </w:tc>
      </w:tr>
      <w:tr>
        <w:tc>
          <w:tcPr>
            <w:tcW w:type="dxa" w:w="2088"/>
            <w:shd w:fill="F4F7FA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使用边界</w:t>
            </w:r>
          </w:p>
        </w:tc>
        <w:tc>
          <w:tcPr>
            <w:tcW w:type="dxa" w:w="8568"/>
            <w:shd w:fill="F4F7FA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仅验证容器、TLS 反代和 Shibboleth 基础运行；尚未接入真实认证源、CARSI 联邦或真实 SP。</w:t>
            </w:r>
          </w:p>
        </w:tc>
      </w:tr>
    </w:tbl>
    <w:p>
      <w:pPr>
        <w:spacing w:after="40"/>
      </w:pPr>
    </w:p>
    <w:p>
      <w:pPr>
        <w:spacing w:after="120" w:line="293" w:lineRule="auto"/>
      </w:pPr>
      <w:r>
        <w:rPr>
          <w:rFonts w:ascii="Arial Unicode MS" w:hAnsi="Arial Unicode MS" w:eastAsia="Arial Unicode MS"/>
          <w:b/>
          <w:color w:val="202020"/>
          <w:sz w:val="21"/>
        </w:rPr>
        <w:t>文档用途：</w:t>
      </w:r>
      <w:r>
        <w:rPr>
          <w:rFonts w:ascii="Arial Unicode MS" w:hAnsi="Arial Unicode MS" w:eastAsia="Arial Unicode MS"/>
          <w:b w:val="0"/>
          <w:color w:val="202020"/>
          <w:sz w:val="21"/>
        </w:rPr>
        <w:t>本说明依据 2026 年 10 月 5 日在 has@100.95.174.122 的实际检查结果编写。它用于后续维护、备份、升级、证书替换和回滚决策；其中的秘密值未写入本文档。</w:t>
      </w:r>
    </w:p>
    <w:p>
      <w:pPr>
        <w:spacing w:after="120" w:line="293" w:lineRule="auto"/>
      </w:pPr>
      <w:r>
        <w:rPr>
          <w:rFonts w:ascii="Arial Unicode MS" w:hAnsi="Arial Unicode MS" w:eastAsia="Arial Unicode MS"/>
          <w:b/>
          <w:color w:val="202020"/>
          <w:sz w:val="21"/>
        </w:rPr>
        <w:t>重要边界：</w:t>
      </w:r>
      <w:r>
        <w:rPr>
          <w:rFonts w:ascii="Arial Unicode MS" w:hAnsi="Arial Unicode MS" w:eastAsia="Arial Unicode MS"/>
          <w:b w:val="0"/>
          <w:color w:val="202020"/>
          <w:sz w:val="21"/>
        </w:rPr>
        <w:t>正式接入前必须完成 DNS、受信 TLS 证书、统一身份认证、属性释放策略、CARSI 注册和真实服务提供方联调。当前模拟实例不得被表述为已完成 CARSI 联邦接入。</w:t>
      </w:r>
    </w:p>
    <w:p>
      <w:r>
        <w:br w:type="page"/>
      </w:r>
    </w:p>
    <w:p>
      <w:pPr>
        <w:pStyle w:val="Heading1"/>
        <w:spacing w:before="300" w:after="120"/>
        <w:keepNext/>
      </w:pPr>
      <w:r>
        <w:rPr>
          <w:rFonts w:ascii="Arial Unicode MS" w:hAnsi="Arial Unicode MS" w:eastAsia="Arial Unicode MS"/>
          <w:b/>
          <w:color w:val="000000"/>
          <w:sz w:val="30"/>
        </w:rPr>
        <w:t>一 部署范围与拓扑</w:t>
      </w:r>
    </w:p>
    <w:p>
      <w:pPr>
        <w:spacing w:after="120" w:line="293" w:lineRule="auto"/>
      </w:pPr>
      <w:r>
        <w:rPr>
          <w:rFonts w:ascii="Arial Unicode MS" w:hAnsi="Arial Unicode MS" w:eastAsia="Arial Unicode MS"/>
          <w:b w:val="0"/>
          <w:color w:val="202020"/>
          <w:sz w:val="21"/>
        </w:rPr>
        <w:t>部署位于远端目录 /home/has/carsi-idp-sim，使用 Docker Compose 管理。Nginx 负责 TLS 终止和 HTTP 跳转，Shibboleth IdP 提供 /idp/shibboleth 端点，MariaDB 为后续 storage service 与持久化标识扩展提供数据基础。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rPr>
          <w:tblHeader w:val="true"/>
        </w:trPr>
        <w:tc>
          <w:tcPr>
            <w:tcW w:type="dxa" w:w="1800"/>
            <w:shd w:fill="1F4E79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请求路径</w:t>
            </w:r>
          </w:p>
        </w:tc>
        <w:tc>
          <w:tcPr>
            <w:tcW w:type="dxa" w:w="2088"/>
            <w:shd w:fill="1F4E79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服务</w:t>
            </w:r>
          </w:p>
        </w:tc>
        <w:tc>
          <w:tcPr>
            <w:tcW w:type="dxa" w:w="6768"/>
            <w:shd w:fill="1F4E79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00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HTTP 8088</w:t>
            </w:r>
          </w:p>
        </w:tc>
        <w:tc>
          <w:tcPr>
            <w:tcW w:type="dxa" w:w="2088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carsi-nginx</w:t>
            </w:r>
          </w:p>
        </w:tc>
        <w:tc>
          <w:tcPr>
            <w:tcW w:type="dxa" w:w="6768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返回 301，并重定向至 https://idp.yiyun.edu.cn:8443。</w:t>
            </w:r>
          </w:p>
        </w:tc>
      </w:tr>
      <w:tr>
        <w:tc>
          <w:tcPr>
            <w:tcW w:type="dxa" w:w="1800"/>
            <w:shd w:fill="F4F7FA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HTTPS 8443</w:t>
            </w:r>
          </w:p>
        </w:tc>
        <w:tc>
          <w:tcPr>
            <w:tcW w:type="dxa" w:w="2088"/>
            <w:shd w:fill="F4F7FA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carsi-nginx</w:t>
            </w:r>
          </w:p>
        </w:tc>
        <w:tc>
          <w:tcPr>
            <w:tcW w:type="dxa" w:w="6768"/>
            <w:shd w:fill="F4F7FA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使用自签名 TLS 证书，反向代理至 IdP 内部 8080。</w:t>
            </w:r>
          </w:p>
        </w:tc>
      </w:tr>
      <w:tr>
        <w:tc>
          <w:tcPr>
            <w:tcW w:type="dxa" w:w="1800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内部 8080</w:t>
            </w:r>
          </w:p>
        </w:tc>
        <w:tc>
          <w:tcPr>
            <w:tcW w:type="dxa" w:w="2088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carsi-idp</w:t>
            </w:r>
          </w:p>
        </w:tc>
        <w:tc>
          <w:tcPr>
            <w:tcW w:type="dxa" w:w="6768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Shibboleth IdP Web 端点，仅在 Docker 网络内暴露。</w:t>
            </w:r>
          </w:p>
        </w:tc>
      </w:tr>
      <w:tr>
        <w:tc>
          <w:tcPr>
            <w:tcW w:type="dxa" w:w="1800"/>
            <w:shd w:fill="F4F7FA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内部 3306</w:t>
            </w:r>
          </w:p>
        </w:tc>
        <w:tc>
          <w:tcPr>
            <w:tcW w:type="dxa" w:w="2088"/>
            <w:shd w:fill="F4F7FA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carsi-mariadb</w:t>
            </w:r>
          </w:p>
        </w:tc>
        <w:tc>
          <w:tcPr>
            <w:tcW w:type="dxa" w:w="6768"/>
            <w:shd w:fill="F4F7FA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MariaDB 数据库，不向宿主机公网发布。</w:t>
            </w:r>
          </w:p>
        </w:tc>
      </w:tr>
    </w:tbl>
    <w:p>
      <w:pPr>
        <w:spacing w:after="40"/>
      </w:pPr>
    </w:p>
    <w:p>
      <w:pPr>
        <w:pStyle w:val="Heading1"/>
        <w:spacing w:before="300" w:after="120"/>
        <w:keepNext/>
      </w:pPr>
      <w:r>
        <w:rPr>
          <w:rFonts w:ascii="Arial Unicode MS" w:hAnsi="Arial Unicode MS" w:eastAsia="Arial Unicode MS"/>
          <w:b/>
          <w:color w:val="000000"/>
          <w:sz w:val="30"/>
        </w:rPr>
        <w:t>二 实际运行状态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7"/>
        <w:gridCol w:w="2527"/>
        <w:gridCol w:w="2527"/>
        <w:gridCol w:w="2527"/>
      </w:tblGrid>
      <w:tr>
        <w:trPr>
          <w:tblHeader w:val="true"/>
        </w:trPr>
        <w:tc>
          <w:tcPr>
            <w:tcW w:type="dxa" w:w="1584"/>
            <w:shd w:fill="1F4E79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服务</w:t>
            </w:r>
          </w:p>
        </w:tc>
        <w:tc>
          <w:tcPr>
            <w:tcW w:type="dxa" w:w="3168"/>
            <w:shd w:fill="1F4E79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镜像</w:t>
            </w:r>
          </w:p>
        </w:tc>
        <w:tc>
          <w:tcPr>
            <w:tcW w:type="dxa" w:w="3672"/>
            <w:shd w:fill="1F4E79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端口或网络</w:t>
            </w:r>
          </w:p>
        </w:tc>
        <w:tc>
          <w:tcPr>
            <w:tcW w:type="dxa" w:w="2232"/>
            <w:shd w:fill="1F4E79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当前状态</w:t>
            </w:r>
          </w:p>
        </w:tc>
      </w:tr>
      <w:tr>
        <w:tc>
          <w:tcPr>
            <w:tcW w:type="dxa" w:w="1584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carsi-idp</w:t>
            </w:r>
          </w:p>
        </w:tc>
        <w:tc>
          <w:tcPr>
            <w:tcW w:type="dxa" w:w="3168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cscfi/shibboleth-idp:5.2.2</w:t>
            </w:r>
          </w:p>
        </w:tc>
        <w:tc>
          <w:tcPr>
            <w:tcW w:type="dxa" w:w="3672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内部 8080 与 8443</w:t>
            </w:r>
          </w:p>
        </w:tc>
        <w:tc>
          <w:tcPr>
            <w:tcW w:type="dxa" w:w="2232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healthy，restart unless-stopped</w:t>
            </w:r>
          </w:p>
        </w:tc>
      </w:tr>
      <w:tr>
        <w:tc>
          <w:tcPr>
            <w:tcW w:type="dxa" w:w="1584"/>
            <w:shd w:fill="F4F7FA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carsi-nginx</w:t>
            </w:r>
          </w:p>
        </w:tc>
        <w:tc>
          <w:tcPr>
            <w:tcW w:type="dxa" w:w="3168"/>
            <w:shd w:fill="F4F7FA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nginx:1.27-alpine</w:t>
            </w:r>
          </w:p>
        </w:tc>
        <w:tc>
          <w:tcPr>
            <w:tcW w:type="dxa" w:w="3672"/>
            <w:shd w:fill="F4F7FA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0.0.0.0:8088 到 80；0.0.0.0:8443 到 443</w:t>
            </w:r>
          </w:p>
        </w:tc>
        <w:tc>
          <w:tcPr>
            <w:tcW w:type="dxa" w:w="2232"/>
            <w:shd w:fill="F4F7FA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running，restart unless-stopped</w:t>
            </w:r>
          </w:p>
        </w:tc>
      </w:tr>
      <w:tr>
        <w:tc>
          <w:tcPr>
            <w:tcW w:type="dxa" w:w="1584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carsi-mariadb</w:t>
            </w:r>
          </w:p>
        </w:tc>
        <w:tc>
          <w:tcPr>
            <w:tcW w:type="dxa" w:w="3168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mariadb:11.4</w:t>
            </w:r>
          </w:p>
        </w:tc>
        <w:tc>
          <w:tcPr>
            <w:tcW w:type="dxa" w:w="3672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Docker 网络内部 3306</w:t>
            </w:r>
          </w:p>
        </w:tc>
        <w:tc>
          <w:tcPr>
            <w:tcW w:type="dxa" w:w="2232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healthy，restart unless-stopped</w:t>
            </w:r>
          </w:p>
        </w:tc>
      </w:tr>
    </w:tbl>
    <w:p>
      <w:pPr>
        <w:spacing w:after="40"/>
      </w:pPr>
    </w:p>
    <w:p>
      <w:pPr>
        <w:spacing w:after="120" w:line="293" w:lineRule="auto"/>
      </w:pPr>
      <w:r>
        <w:rPr>
          <w:rFonts w:ascii="Arial Unicode MS" w:hAnsi="Arial Unicode MS" w:eastAsia="Arial Unicode MS"/>
          <w:b/>
          <w:color w:val="202020"/>
          <w:sz w:val="21"/>
        </w:rPr>
        <w:t>验收结果：</w:t>
      </w:r>
      <w:r>
        <w:rPr>
          <w:rFonts w:ascii="Arial Unicode MS" w:hAnsi="Arial Unicode MS" w:eastAsia="Arial Unicode MS"/>
          <w:b w:val="0"/>
          <w:color w:val="202020"/>
          <w:sz w:val="21"/>
        </w:rPr>
        <w:t>已完成验证：Docker 健康状态为 healthy；https://idp.yiyun.edu.cn:8443/idp/shibboleth 在指定 Host 解析下返回 200；HTTP 8088 返回 301，并指向隔离的 8443 HTTPS 入口。</w:t>
      </w:r>
    </w:p>
    <w:p>
      <w:pPr>
        <w:pStyle w:val="Heading1"/>
        <w:spacing w:before="300" w:after="120"/>
        <w:keepNext/>
      </w:pPr>
      <w:r>
        <w:rPr>
          <w:rFonts w:ascii="Arial Unicode MS" w:hAnsi="Arial Unicode MS" w:eastAsia="Arial Unicode MS"/>
          <w:b/>
          <w:color w:val="000000"/>
          <w:sz w:val="30"/>
        </w:rPr>
        <w:t>三 宿主机与容器内系统版本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rPr>
          <w:tblHeader w:val="true"/>
        </w:trPr>
        <w:tc>
          <w:tcPr>
            <w:tcW w:type="dxa" w:w="1656"/>
            <w:shd w:fill="1F4E79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2880"/>
            <w:shd w:fill="1F4E79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系统或组件</w:t>
            </w:r>
          </w:p>
        </w:tc>
        <w:tc>
          <w:tcPr>
            <w:tcW w:type="dxa" w:w="6120"/>
            <w:shd w:fill="1F4E79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实测版本或状态</w:t>
            </w:r>
          </w:p>
        </w:tc>
      </w:tr>
      <w:tr>
        <w:tc>
          <w:tcPr>
            <w:tcW w:type="dxa" w:w="1656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宿主机</w:t>
            </w:r>
          </w:p>
        </w:tc>
        <w:tc>
          <w:tcPr>
            <w:tcW w:type="dxa" w:w="2880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操作系统</w:t>
            </w:r>
          </w:p>
        </w:tc>
        <w:tc>
          <w:tcPr>
            <w:tcW w:type="dxa" w:w="6120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Kylin Linux Advanced Server V11 Swan25</w:t>
            </w:r>
          </w:p>
        </w:tc>
      </w:tr>
      <w:tr>
        <w:tc>
          <w:tcPr>
            <w:tcW w:type="dxa" w:w="1656"/>
            <w:shd w:fill="F4F7FA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宿主机</w:t>
            </w:r>
          </w:p>
        </w:tc>
        <w:tc>
          <w:tcPr>
            <w:tcW w:type="dxa" w:w="2880"/>
            <w:shd w:fill="F4F7FA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内核与架构</w:t>
            </w:r>
          </w:p>
        </w:tc>
        <w:tc>
          <w:tcPr>
            <w:tcW w:type="dxa" w:w="6120"/>
            <w:shd w:fill="F4F7FA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Linux 6.6.0-32.7.v2505.ky11.x86_64，x86_64</w:t>
            </w:r>
          </w:p>
        </w:tc>
      </w:tr>
      <w:tr>
        <w:tc>
          <w:tcPr>
            <w:tcW w:type="dxa" w:w="1656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宿主机</w:t>
            </w:r>
          </w:p>
        </w:tc>
        <w:tc>
          <w:tcPr>
            <w:tcW w:type="dxa" w:w="2880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Docker</w:t>
            </w:r>
          </w:p>
        </w:tc>
        <w:tc>
          <w:tcPr>
            <w:tcW w:type="dxa" w:w="6120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Docker Engine 29.7.2；Docker Compose v5.4.0</w:t>
            </w:r>
          </w:p>
        </w:tc>
      </w:tr>
      <w:tr>
        <w:tc>
          <w:tcPr>
            <w:tcW w:type="dxa" w:w="1656"/>
            <w:shd w:fill="F4F7FA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宿主机</w:t>
            </w:r>
          </w:p>
        </w:tc>
        <w:tc>
          <w:tcPr>
            <w:tcW w:type="dxa" w:w="2880"/>
            <w:shd w:fill="F4F7FA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资源快照</w:t>
            </w:r>
          </w:p>
        </w:tc>
        <w:tc>
          <w:tcPr>
            <w:tcW w:type="dxa" w:w="6120"/>
            <w:shd w:fill="F4F7FA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内存 251 GiB，约 235 GiB 可用；根分区 442 GiB，已用约 108 GiB</w:t>
            </w:r>
          </w:p>
        </w:tc>
      </w:tr>
      <w:tr>
        <w:tc>
          <w:tcPr>
            <w:tcW w:type="dxa" w:w="1656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IdP 容器</w:t>
            </w:r>
          </w:p>
        </w:tc>
        <w:tc>
          <w:tcPr>
            <w:tcW w:type="dxa" w:w="2880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基础系统</w:t>
            </w:r>
          </w:p>
        </w:tc>
        <w:tc>
          <w:tcPr>
            <w:tcW w:type="dxa" w:w="6120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Alpine Linux v3.23.4</w:t>
            </w:r>
          </w:p>
        </w:tc>
      </w:tr>
      <w:tr>
        <w:tc>
          <w:tcPr>
            <w:tcW w:type="dxa" w:w="1656"/>
            <w:shd w:fill="F4F7FA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IdP 容器</w:t>
            </w:r>
          </w:p>
        </w:tc>
        <w:tc>
          <w:tcPr>
            <w:tcW w:type="dxa" w:w="2880"/>
            <w:shd w:fill="F4F7FA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Java 与 Web 容器</w:t>
            </w:r>
          </w:p>
        </w:tc>
        <w:tc>
          <w:tcPr>
            <w:tcW w:type="dxa" w:w="6120"/>
            <w:shd w:fill="F4F7FA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OpenJDK 17.0.18 Alpine；Jetty 12.1.9；Shibboleth IdP 5.2.2</w:t>
            </w:r>
          </w:p>
        </w:tc>
      </w:tr>
      <w:tr>
        <w:tc>
          <w:tcPr>
            <w:tcW w:type="dxa" w:w="1656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Nginx 容器</w:t>
            </w:r>
          </w:p>
        </w:tc>
        <w:tc>
          <w:tcPr>
            <w:tcW w:type="dxa" w:w="2880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基础系统与服务</w:t>
            </w:r>
          </w:p>
        </w:tc>
        <w:tc>
          <w:tcPr>
            <w:tcW w:type="dxa" w:w="6120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Alpine Linux v3.21.3；nginx 1.27.5</w:t>
            </w:r>
          </w:p>
        </w:tc>
      </w:tr>
      <w:tr>
        <w:tc>
          <w:tcPr>
            <w:tcW w:type="dxa" w:w="1656"/>
            <w:shd w:fill="F4F7FA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MariaDB 容器</w:t>
            </w:r>
          </w:p>
        </w:tc>
        <w:tc>
          <w:tcPr>
            <w:tcW w:type="dxa" w:w="2880"/>
            <w:shd w:fill="F4F7FA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基础系统与数据库</w:t>
            </w:r>
          </w:p>
        </w:tc>
        <w:tc>
          <w:tcPr>
            <w:tcW w:type="dxa" w:w="6120"/>
            <w:shd w:fill="F4F7FA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Ubuntu 24.04.5 LTS；MariaDB 11.4.13</w:t>
            </w:r>
          </w:p>
        </w:tc>
      </w:tr>
    </w:tbl>
    <w:p>
      <w:pPr>
        <w:spacing w:after="40"/>
      </w:pPr>
    </w:p>
    <w:p>
      <w:pPr>
        <w:spacing w:after="120" w:line="293" w:lineRule="auto"/>
      </w:pPr>
      <w:r>
        <w:rPr>
          <w:rFonts w:ascii="Arial Unicode MS" w:hAnsi="Arial Unicode MS" w:eastAsia="Arial Unicode MS"/>
          <w:b w:val="0"/>
          <w:color w:val="202020"/>
          <w:sz w:val="21"/>
        </w:rPr>
        <w:t>镜像标签并不等同于可复现版本。后续生产升级应记录经过验证的镜像 digest，并将其与升级工单、配置快照和验证结果一并归档。</w:t>
      </w:r>
    </w:p>
    <w:p>
      <w:r>
        <w:br w:type="page"/>
      </w:r>
    </w:p>
    <w:p>
      <w:pPr>
        <w:pStyle w:val="Heading1"/>
        <w:spacing w:before="300" w:after="120"/>
        <w:keepNext/>
      </w:pPr>
      <w:r>
        <w:rPr>
          <w:rFonts w:ascii="Arial Unicode MS" w:hAnsi="Arial Unicode MS" w:eastAsia="Arial Unicode MS"/>
          <w:b/>
          <w:color w:val="000000"/>
          <w:sz w:val="30"/>
        </w:rPr>
        <w:t>四 身份配置与安全资产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rPr>
          <w:tblHeader w:val="true"/>
        </w:trPr>
        <w:tc>
          <w:tcPr>
            <w:tcW w:type="dxa" w:w="1728"/>
            <w:shd w:fill="1F4E79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配置项</w:t>
            </w:r>
          </w:p>
        </w:tc>
        <w:tc>
          <w:tcPr>
            <w:tcW w:type="dxa" w:w="3816"/>
            <w:shd w:fill="1F4E79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当前值或状态</w:t>
            </w:r>
          </w:p>
        </w:tc>
        <w:tc>
          <w:tcPr>
            <w:tcW w:type="dxa" w:w="5112"/>
            <w:shd w:fill="1F4E79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运维要求</w:t>
            </w:r>
          </w:p>
        </w:tc>
      </w:tr>
      <w:tr>
        <w:tc>
          <w:tcPr>
            <w:tcW w:type="dxa" w:w="1728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模拟主机名</w:t>
            </w:r>
          </w:p>
        </w:tc>
        <w:tc>
          <w:tcPr>
            <w:tcW w:type="dxa" w:w="3816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idp.yiyun.edu.cn</w:t>
            </w:r>
          </w:p>
        </w:tc>
        <w:tc>
          <w:tcPr>
            <w:tcW w:type="dxa" w:w="5112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当前为模拟名称；正式上线前必须拥有可验证 DNS。</w:t>
            </w:r>
          </w:p>
        </w:tc>
      </w:tr>
      <w:tr>
        <w:tc>
          <w:tcPr>
            <w:tcW w:type="dxa" w:w="1728"/>
            <w:shd w:fill="F4F7FA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EntityID</w:t>
            </w:r>
          </w:p>
        </w:tc>
        <w:tc>
          <w:tcPr>
            <w:tcW w:type="dxa" w:w="3816"/>
            <w:shd w:fill="F4F7FA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https://idp.yiyun.edu.cn/idp/shibboleth</w:t>
            </w:r>
          </w:p>
        </w:tc>
        <w:tc>
          <w:tcPr>
            <w:tcW w:type="dxa" w:w="5112"/>
            <w:shd w:fill="F4F7FA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一旦用于真实联邦，变更将影响 SP 信任关系。</w:t>
            </w:r>
          </w:p>
        </w:tc>
      </w:tr>
      <w:tr>
        <w:tc>
          <w:tcPr>
            <w:tcW w:type="dxa" w:w="1728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scope</w:t>
            </w:r>
          </w:p>
        </w:tc>
        <w:tc>
          <w:tcPr>
            <w:tcW w:type="dxa" w:w="3816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yiyun.edu.cn</w:t>
            </w:r>
          </w:p>
        </w:tc>
        <w:tc>
          <w:tcPr>
            <w:tcW w:type="dxa" w:w="5112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应与正式机构属性命名空间及属性策略一致。</w:t>
            </w:r>
          </w:p>
        </w:tc>
      </w:tr>
      <w:tr>
        <w:tc>
          <w:tcPr>
            <w:tcW w:type="dxa" w:w="1728"/>
            <w:shd w:fill="F4F7FA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TLS 证书</w:t>
            </w:r>
          </w:p>
        </w:tc>
        <w:tc>
          <w:tcPr>
            <w:tcW w:type="dxa" w:w="3816"/>
            <w:shd w:fill="F4F7FA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自签名；CN 与 SAN 均为 idp.yiyun.edu.cn；有效至 2026-11-04</w:t>
            </w:r>
          </w:p>
        </w:tc>
        <w:tc>
          <w:tcPr>
            <w:tcW w:type="dxa" w:w="5112"/>
            <w:shd w:fill="F4F7FA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模拟使用。正式环境必须改为受信 CA 签发证书。</w:t>
            </w:r>
          </w:p>
        </w:tc>
      </w:tr>
      <w:tr>
        <w:tc>
          <w:tcPr>
            <w:tcW w:type="dxa" w:w="1728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运行秘密</w:t>
            </w:r>
          </w:p>
        </w:tc>
        <w:tc>
          <w:tcPr>
            <w:tcW w:type="dxa" w:w="3816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.env 与 credentials 目录中的随机生成口令和密钥</w:t>
            </w:r>
          </w:p>
        </w:tc>
        <w:tc>
          <w:tcPr>
            <w:tcW w:type="dxa" w:w="5112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不得输出、提交版本库或通过普通聊天工具传输。</w:t>
            </w:r>
          </w:p>
        </w:tc>
      </w:tr>
    </w:tbl>
    <w:p>
      <w:pPr>
        <w:spacing w:after="40"/>
      </w:pPr>
    </w:p>
    <w:p>
      <w:pPr>
        <w:pStyle w:val="Heading1"/>
        <w:spacing w:before="300" w:after="120"/>
        <w:keepNext/>
      </w:pPr>
      <w:r>
        <w:rPr>
          <w:rFonts w:ascii="Arial Unicode MS" w:hAnsi="Arial Unicode MS" w:eastAsia="Arial Unicode MS"/>
          <w:b/>
          <w:color w:val="000000"/>
          <w:sz w:val="30"/>
        </w:rPr>
        <w:t>五 必须保留的持久化数据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rPr>
          <w:tblHeader w:val="true"/>
        </w:trPr>
        <w:tc>
          <w:tcPr>
            <w:tcW w:type="dxa" w:w="2232"/>
            <w:shd w:fill="1F4E79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3240"/>
            <w:shd w:fill="1F4E79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5184"/>
            <w:shd w:fill="1F4E79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为什么不能随意删除</w:t>
            </w:r>
          </w:p>
        </w:tc>
      </w:tr>
      <w:tr>
        <w:tc>
          <w:tcPr>
            <w:tcW w:type="dxa" w:w="2232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credentials/</w:t>
            </w:r>
          </w:p>
        </w:tc>
        <w:tc>
          <w:tcPr>
            <w:tcW w:type="dxa" w:w="3240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签名与加密私钥、证书、sealer 密钥库、persistent ID salt</w:t>
            </w:r>
          </w:p>
        </w:tc>
        <w:tc>
          <w:tcPr>
            <w:tcW w:type="dxa" w:w="5184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重新生成会改变信任锚或持久化标识，真实 SP 可能必须重新对接。</w:t>
            </w:r>
          </w:p>
        </w:tc>
      </w:tr>
      <w:tr>
        <w:tc>
          <w:tcPr>
            <w:tcW w:type="dxa" w:w="2232"/>
            <w:shd w:fill="F4F7FA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mariadb-data/</w:t>
            </w:r>
          </w:p>
        </w:tc>
        <w:tc>
          <w:tcPr>
            <w:tcW w:type="dxa" w:w="3240"/>
            <w:shd w:fill="F4F7FA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MariaDB 数据文件</w:t>
            </w:r>
          </w:p>
        </w:tc>
        <w:tc>
          <w:tcPr>
            <w:tcW w:type="dxa" w:w="5184"/>
            <w:shd w:fill="F4F7FA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保存存储服务和后续扩展数据；升级前应有逻辑备份。</w:t>
            </w:r>
          </w:p>
        </w:tc>
      </w:tr>
      <w:tr>
        <w:tc>
          <w:tcPr>
            <w:tcW w:type="dxa" w:w="2232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metadata/</w:t>
            </w:r>
          </w:p>
        </w:tc>
        <w:tc>
          <w:tcPr>
            <w:tcW w:type="dxa" w:w="3240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IdP 发布或导入元数据</w:t>
            </w:r>
          </w:p>
        </w:tc>
        <w:tc>
          <w:tcPr>
            <w:tcW w:type="dxa" w:w="5184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正式接入后是联邦配置的重要状态。</w:t>
            </w:r>
          </w:p>
        </w:tc>
      </w:tr>
      <w:tr>
        <w:tc>
          <w:tcPr>
            <w:tcW w:type="dxa" w:w="2232"/>
            <w:shd w:fill="F4F7FA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customized/conf/</w:t>
            </w:r>
          </w:p>
        </w:tc>
        <w:tc>
          <w:tcPr>
            <w:tcW w:type="dxa" w:w="3240"/>
            <w:shd w:fill="F4F7FA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对 IdP 默认配置的覆盖</w:t>
            </w:r>
          </w:p>
        </w:tc>
        <w:tc>
          <w:tcPr>
            <w:tcW w:type="dxa" w:w="5184"/>
            <w:shd w:fill="F4F7FA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当前包含 EntityID 与 scope；大版本升级应重新合并。</w:t>
            </w:r>
          </w:p>
        </w:tc>
      </w:tr>
      <w:tr>
        <w:tc>
          <w:tcPr>
            <w:tcW w:type="dxa" w:w="2232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nginx/certs/</w:t>
            </w:r>
          </w:p>
        </w:tc>
        <w:tc>
          <w:tcPr>
            <w:tcW w:type="dxa" w:w="3240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反向代理证书和私钥</w:t>
            </w:r>
          </w:p>
        </w:tc>
        <w:tc>
          <w:tcPr>
            <w:tcW w:type="dxa" w:w="5184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TLS 轮换资产，与 SAML 签名证书不同。</w:t>
            </w:r>
          </w:p>
        </w:tc>
      </w:tr>
      <w:tr>
        <w:tc>
          <w:tcPr>
            <w:tcW w:type="dxa" w:w="2232"/>
            <w:shd w:fill="F4F7FA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.env</w:t>
            </w:r>
          </w:p>
        </w:tc>
        <w:tc>
          <w:tcPr>
            <w:tcW w:type="dxa" w:w="3240"/>
            <w:shd w:fill="F4F7FA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数据库、sealer 与 Jetty 口令等秘密</w:t>
            </w:r>
          </w:p>
        </w:tc>
        <w:tc>
          <w:tcPr>
            <w:tcW w:type="dxa" w:w="5184"/>
            <w:shd w:fill="F4F7FA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必须保留安全副本，权限应为 600。</w:t>
            </w:r>
          </w:p>
        </w:tc>
      </w:tr>
    </w:tbl>
    <w:p>
      <w:pPr>
        <w:spacing w:after="40"/>
      </w:pPr>
    </w:p>
    <w:p>
      <w:pPr>
        <w:spacing w:after="120" w:line="293" w:lineRule="auto"/>
      </w:pPr>
      <w:r>
        <w:rPr>
          <w:rFonts w:ascii="Arial Unicode MS" w:hAnsi="Arial Unicode MS" w:eastAsia="Arial Unicode MS"/>
          <w:b/>
          <w:color w:val="202020"/>
          <w:sz w:val="21"/>
        </w:rPr>
        <w:t>禁止操作：</w:t>
      </w:r>
      <w:r>
        <w:rPr>
          <w:rFonts w:ascii="Arial Unicode MS" w:hAnsi="Arial Unicode MS" w:eastAsia="Arial Unicode MS"/>
          <w:b w:val="0"/>
          <w:color w:val="202020"/>
          <w:sz w:val="21"/>
        </w:rPr>
        <w:t>严禁执行 docker compose down -v，也不要为排障而删除 credentials 或 mariadb-data。先检查日志、配置、口令匹配和权限；删除持久化资产并不是有效的修复方式。</w:t>
      </w:r>
    </w:p>
    <w:p>
      <w:pPr>
        <w:pStyle w:val="Heading1"/>
        <w:spacing w:before="300" w:after="120"/>
        <w:keepNext/>
      </w:pPr>
      <w:r>
        <w:rPr>
          <w:rFonts w:ascii="Arial Unicode MS" w:hAnsi="Arial Unicode MS" w:eastAsia="Arial Unicode MS"/>
          <w:b/>
          <w:color w:val="000000"/>
          <w:sz w:val="30"/>
        </w:rPr>
        <w:t>六 当前模拟环境的未完成事项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020"/>
          <w:sz w:val="21"/>
        </w:rPr>
        <w:t>未配置 idp.yiyun.edu.cn 的真实 DNS 解析和受信任的公网证书。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020"/>
          <w:sz w:val="21"/>
        </w:rPr>
        <w:t>未接入 CAS、LDAP、Active Directory 或其他真实认证源；因此没有实际用户认证链路。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020"/>
          <w:sz w:val="21"/>
        </w:rPr>
        <w:t>未导入 CARSI 联邦元数据，未完成 CARSI 注册、审核或生产 metadata 发布。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020"/>
          <w:sz w:val="21"/>
        </w:rPr>
        <w:t>未配置属性解析、属性过滤、最小化属性释放和真实 SP 属性映射。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020"/>
          <w:sz w:val="21"/>
        </w:rPr>
        <w:t>未与任何真实 SP 完成 SAML 登录、断言、单点登出和错误恢复联调。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020"/>
          <w:sz w:val="21"/>
        </w:rPr>
        <w:t>未建立异地加密备份、日志集中审计、证书过期告警和定期恢复演练。</w:t>
      </w:r>
    </w:p>
    <w:p>
      <w:r>
        <w:br w:type="page"/>
      </w:r>
    </w:p>
    <w:p>
      <w:pPr>
        <w:pStyle w:val="Heading1"/>
        <w:spacing w:before="300" w:after="120"/>
        <w:keepNext/>
      </w:pPr>
      <w:r>
        <w:rPr>
          <w:rFonts w:ascii="Arial Unicode MS" w:hAnsi="Arial Unicode MS" w:eastAsia="Arial Unicode MS"/>
          <w:b/>
          <w:color w:val="000000"/>
          <w:sz w:val="30"/>
        </w:rPr>
        <w:t>七 升级前的标准操作</w:t>
      </w:r>
    </w:p>
    <w:p>
      <w:pPr>
        <w:spacing w:after="120" w:line="293" w:lineRule="auto"/>
      </w:pPr>
      <w:r>
        <w:rPr>
          <w:rFonts w:ascii="Arial Unicode MS" w:hAnsi="Arial Unicode MS" w:eastAsia="Arial Unicode MS"/>
          <w:b w:val="0"/>
          <w:color w:val="202020"/>
          <w:sz w:val="21"/>
        </w:rPr>
        <w:t>无论是镜像补丁、证书轮换还是 IdP 大版本升级，都必须先备份、再验证、后切换。以下命令仅在当前模拟目录中执行，且不会显示秘密内容。</w:t>
      </w:r>
    </w:p>
    <w:p>
      <w:pPr>
        <w:spacing w:before="60" w:after="160" w:line="252" w:lineRule="auto"/>
        <w:ind w:left="317" w:right="173"/>
        <w:shd w:fill="F2F2F2"/>
      </w:pPr>
      <w:r>
        <w:rPr>
          <w:rFonts w:ascii="Courier New" w:hAnsi="Courier New" w:eastAsia="Arial Unicode MS"/>
          <w:b w:val="0"/>
          <w:color w:val="1F1F1F"/>
          <w:sz w:val="17"/>
        </w:rPr>
        <w:t>ssh has@100.95.174.122</w:t>
        <w:br/>
        <w:t>cd /home/has/carsi-idp-sim</w:t>
        <w:br/>
        <w:t>docker compose ps</w:t>
        <w:br/>
        <w:t>docker inspect carsi-idp --format '{{.State.Health.Status}}'</w:t>
        <w:br/>
        <w:t>curl -k --resolve idp.yiyun.edu.cn:8443:127.0.0.1 \</w:t>
        <w:br/>
        <w:t xml:space="preserve">  https://idp.yiyun.edu.cn:8443/idp/shibboleth</w:t>
      </w:r>
    </w:p>
    <w:p>
      <w:pPr>
        <w:spacing w:before="60" w:after="160" w:line="252" w:lineRule="auto"/>
        <w:ind w:left="317" w:right="173"/>
        <w:shd w:fill="F2F2F2"/>
      </w:pPr>
      <w:r>
        <w:rPr>
          <w:rFonts w:ascii="Courier New" w:hAnsi="Courier New" w:eastAsia="Arial Unicode MS"/>
          <w:b w:val="0"/>
          <w:color w:val="1F1F1F"/>
          <w:sz w:val="17"/>
        </w:rPr>
        <w:t>backup_tag=$(date +%Y%m%d-%H%M%S)</w:t>
        <w:br/>
        <w:t>backup_dir="/home/has/carsi-idp-backups/${backup_tag}"</w:t>
        <w:br/>
        <w:t>mkdir -p "${backup_dir}" &amp;&amp; chmod 700 "${backup_dir}"</w:t>
        <w:br/>
        <w:t>cp -a .env docker-compose.yml docker-compose.override.yml customized \</w:t>
        <w:br/>
        <w:t xml:space="preserve">  credentials metadata nginx/certs "${backup_dir}/"</w:t>
        <w:br/>
        <w:t>docker exec carsi-mariadb sh -c \</w:t>
        <w:br/>
        <w:t xml:space="preserve">  'mariadb-dump -uroot -p"$MARIADB_ROOT_PASSWORD" --single-transaction --routines --events --all-databases' \</w:t>
        <w:br/>
        <w:t xml:space="preserve">  &gt; "${backup_dir}/mariadb-all.sql"</w:t>
        <w:br/>
        <w:t>chmod 600 "${backup_dir}/mariadb-all.sql"</w:t>
      </w:r>
    </w:p>
    <w:p>
      <w:pPr>
        <w:spacing w:after="120" w:line="293" w:lineRule="auto"/>
      </w:pPr>
      <w:r>
        <w:rPr>
          <w:rFonts w:ascii="Arial Unicode MS" w:hAnsi="Arial Unicode MS" w:eastAsia="Arial Unicode MS"/>
          <w:b w:val="0"/>
          <w:color w:val="202020"/>
          <w:sz w:val="21"/>
        </w:rPr>
        <w:t>备份后必须在另一台受控存储中保存副本，并检查 SQL 文件非空、idp-signing.key、idp-encryption.key 与 sealer.jks 均存在。仅生成备份命令或仅看到目录创建成功都不等同于备份可恢复。</w:t>
      </w:r>
    </w:p>
    <w:p>
      <w:pPr>
        <w:pStyle w:val="Heading1"/>
        <w:spacing w:before="300" w:after="120"/>
        <w:keepNext/>
      </w:pPr>
      <w:r>
        <w:rPr>
          <w:rFonts w:ascii="Arial Unicode MS" w:hAnsi="Arial Unicode MS" w:eastAsia="Arial Unicode MS"/>
          <w:b/>
          <w:color w:val="000000"/>
          <w:sz w:val="30"/>
        </w:rPr>
        <w:t>八 同一大版本内的补丁升级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rPr>
          <w:tblHeader w:val="true"/>
        </w:trPr>
        <w:tc>
          <w:tcPr>
            <w:tcW w:type="dxa" w:w="1440"/>
            <w:shd w:fill="1F4E79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320"/>
            <w:shd w:fill="1F4E79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3456"/>
            <w:shd w:fill="1F4E79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验收或回滚要点</w:t>
            </w:r>
          </w:p>
        </w:tc>
      </w:tr>
      <w:tr>
        <w:tc>
          <w:tcPr>
            <w:tcW w:type="dxa" w:w="1440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1 评估</w:t>
            </w:r>
          </w:p>
        </w:tc>
        <w:tc>
          <w:tcPr>
            <w:tcW w:type="dxa" w:w="4320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阅读目标镜像版本说明，记录当前 image digest，确认 Java、Jetty 与 MariaDB 兼容性。</w:t>
            </w:r>
          </w:p>
        </w:tc>
        <w:tc>
          <w:tcPr>
            <w:tcW w:type="dxa" w:w="3456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不使用浮动 latest 标签；保留可回退的当前标签或 digest。</w:t>
            </w:r>
          </w:p>
        </w:tc>
      </w:tr>
      <w:tr>
        <w:tc>
          <w:tcPr>
            <w:tcW w:type="dxa" w:w="1440"/>
            <w:shd w:fill="F4F7FA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2 备份</w:t>
            </w:r>
          </w:p>
        </w:tc>
        <w:tc>
          <w:tcPr>
            <w:tcW w:type="dxa" w:w="4320"/>
            <w:shd w:fill="F4F7FA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执行第七节的配置、凭据、证书和数据库备份。</w:t>
            </w:r>
          </w:p>
        </w:tc>
        <w:tc>
          <w:tcPr>
            <w:tcW w:type="dxa" w:w="3456"/>
            <w:shd w:fill="F4F7FA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确认秘密资产和数据库逻辑备份均真实存在。</w:t>
            </w:r>
          </w:p>
        </w:tc>
      </w:tr>
      <w:tr>
        <w:tc>
          <w:tcPr>
            <w:tcW w:type="dxa" w:w="1440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3 拉取</w:t>
            </w:r>
          </w:p>
        </w:tc>
        <w:tc>
          <w:tcPr>
            <w:tcW w:type="dxa" w:w="4320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执行 docker compose pull，并用 docker compose config 检查最终生效配置。</w:t>
            </w:r>
          </w:p>
        </w:tc>
        <w:tc>
          <w:tcPr>
            <w:tcW w:type="dxa" w:w="3456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不在未审查 Compose 合并结果时直接重建全部服务。</w:t>
            </w:r>
          </w:p>
        </w:tc>
      </w:tr>
      <w:tr>
        <w:tc>
          <w:tcPr>
            <w:tcW w:type="dxa" w:w="1440"/>
            <w:shd w:fill="F4F7FA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4 分批</w:t>
            </w:r>
          </w:p>
        </w:tc>
        <w:tc>
          <w:tcPr>
            <w:tcW w:type="dxa" w:w="4320"/>
            <w:shd w:fill="F4F7FA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先 docker compose up -d --no-deps idp，观察日志和健康检查。</w:t>
            </w:r>
          </w:p>
        </w:tc>
        <w:tc>
          <w:tcPr>
            <w:tcW w:type="dxa" w:w="3456"/>
            <w:shd w:fill="F4F7FA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IdP 不健康时停止后续组件升级，回退镜像标签。</w:t>
            </w:r>
          </w:p>
        </w:tc>
      </w:tr>
      <w:tr>
        <w:tc>
          <w:tcPr>
            <w:tcW w:type="dxa" w:w="1440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5 验收</w:t>
            </w:r>
          </w:p>
        </w:tc>
        <w:tc>
          <w:tcPr>
            <w:tcW w:type="dxa" w:w="4320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检查健康状态、HTTPS 200、Nginx 跳转、容器日志与真实联调用例。</w:t>
            </w:r>
          </w:p>
        </w:tc>
        <w:tc>
          <w:tcPr>
            <w:tcW w:type="dxa" w:w="3456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生产环境必须增加至少一个 SP 的登录和属性断言回归。</w:t>
            </w:r>
          </w:p>
        </w:tc>
      </w:tr>
    </w:tbl>
    <w:p>
      <w:pPr>
        <w:spacing w:after="40"/>
      </w:pPr>
    </w:p>
    <w:p>
      <w:pPr>
        <w:spacing w:before="60" w:after="160" w:line="252" w:lineRule="auto"/>
        <w:ind w:left="317" w:right="173"/>
        <w:shd w:fill="F2F2F2"/>
      </w:pPr>
      <w:r>
        <w:rPr>
          <w:rFonts w:ascii="Courier New" w:hAnsi="Courier New" w:eastAsia="Arial Unicode MS"/>
          <w:b w:val="0"/>
          <w:color w:val="1F1F1F"/>
          <w:sz w:val="17"/>
        </w:rPr>
        <w:t>docker compose pull</w:t>
        <w:br/>
        <w:t>docker compose config</w:t>
        <w:br/>
        <w:t>docker compose up -d --no-deps idp</w:t>
        <w:br/>
        <w:t>docker compose logs --tail=200 idp</w:t>
        <w:br/>
        <w:t>docker inspect carsi-idp --format '{{.State.Health.Status}}'</w:t>
      </w:r>
    </w:p>
    <w:p>
      <w:pPr>
        <w:pStyle w:val="Heading1"/>
        <w:spacing w:before="300" w:after="120"/>
        <w:keepNext/>
      </w:pPr>
      <w:r>
        <w:rPr>
          <w:rFonts w:ascii="Arial Unicode MS" w:hAnsi="Arial Unicode MS" w:eastAsia="Arial Unicode MS"/>
          <w:b/>
          <w:color w:val="000000"/>
          <w:sz w:val="30"/>
        </w:rPr>
        <w:t>九 Shibboleth IdP 大版本升级</w:t>
      </w:r>
    </w:p>
    <w:p>
      <w:pPr>
        <w:spacing w:after="120" w:line="293" w:lineRule="auto"/>
      </w:pPr>
      <w:r>
        <w:rPr>
          <w:rFonts w:ascii="Arial Unicode MS" w:hAnsi="Arial Unicode MS" w:eastAsia="Arial Unicode MS"/>
          <w:b w:val="0"/>
          <w:color w:val="202020"/>
          <w:sz w:val="21"/>
        </w:rPr>
        <w:t>从 IdP 5 升级到未来大版本时，不能把镜像标签直接改掉后上线。应创建独立的升级副本，使用不同 Compose project 名称、容器名和端口，例如 9443 与 9088，并在副本中恢复安全副本进行演练。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020"/>
          <w:sz w:val="21"/>
        </w:rPr>
        <w:t>先阅读目标 IdP 版本的官方升级、Java、Jetty、Servlet API、模块弃用和数据库兼容说明。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020"/>
          <w:sz w:val="21"/>
        </w:rPr>
        <w:t>从目标镜像导出新版默认 idp.properties，并把现有 EntityID、scope 和必要自定义项逐项合并；不要用旧整份文件覆盖新默认配置。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020"/>
          <w:sz w:val="21"/>
        </w:rPr>
        <w:t>复制并保留原 credentials、metadata 和数据库备份；绝不运行凭据生成脚本。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020"/>
          <w:sz w:val="21"/>
        </w:rPr>
        <w:t>比较升级前后 metadata 的 EntityID、签名证书和加密证书。未执行正式轮换时，证书公钥不得意外改变。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020"/>
          <w:sz w:val="21"/>
        </w:rPr>
        <w:t>完成认证、属性释放、SAML 断言、登出、SP 联调、故障重启和回滚演练后，再在维护窗口切换入口。</w:t>
      </w:r>
    </w:p>
    <w:p>
      <w:r>
        <w:br w:type="page"/>
      </w:r>
    </w:p>
    <w:p>
      <w:pPr>
        <w:pStyle w:val="Heading1"/>
        <w:spacing w:before="300" w:after="120"/>
        <w:keepNext/>
      </w:pPr>
      <w:r>
        <w:rPr>
          <w:rFonts w:ascii="Arial Unicode MS" w:hAnsi="Arial Unicode MS" w:eastAsia="Arial Unicode MS"/>
          <w:b/>
          <w:color w:val="000000"/>
          <w:sz w:val="30"/>
        </w:rPr>
        <w:t>十 TLS 证书轮换</w:t>
      </w:r>
    </w:p>
    <w:p>
      <w:pPr>
        <w:spacing w:after="120" w:line="293" w:lineRule="auto"/>
      </w:pPr>
      <w:r>
        <w:rPr>
          <w:rFonts w:ascii="Arial Unicode MS" w:hAnsi="Arial Unicode MS" w:eastAsia="Arial Unicode MS"/>
          <w:b w:val="0"/>
          <w:color w:val="202020"/>
          <w:sz w:val="21"/>
        </w:rPr>
        <w:t>Nginx TLS 证书和 Shibboleth 的 SAML 签名证书是两套不同资产。替换 nginx/certs/idp.crt 与 nginx/certs/idp.key 只影响 HTTPS 信任，不应改变 IdP 的 SAML 签名与加密密钥。</w:t>
      </w:r>
    </w:p>
    <w:p>
      <w:pPr>
        <w:spacing w:before="60" w:after="160" w:line="252" w:lineRule="auto"/>
        <w:ind w:left="317" w:right="173"/>
        <w:shd w:fill="F2F2F2"/>
      </w:pPr>
      <w:r>
        <w:rPr>
          <w:rFonts w:ascii="Courier New" w:hAnsi="Courier New" w:eastAsia="Arial Unicode MS"/>
          <w:b w:val="0"/>
          <w:color w:val="1F1F1F"/>
          <w:sz w:val="17"/>
        </w:rPr>
        <w:t>cd /home/has/carsi-idp-sim</w:t>
        <w:br/>
        <w:t>docker compose exec nginx nginx -t</w:t>
        <w:br/>
        <w:t>docker compose up -d --force-recreate nginx</w:t>
        <w:br/>
        <w:t>echo | openssl s_client -connect 127.0.0.1:8443 \</w:t>
        <w:br/>
        <w:t xml:space="preserve">  -servername idp.yiyun.edu.cn 2&gt;/dev/null \</w:t>
        <w:br/>
        <w:t xml:space="preserve">  | openssl x509 -noout -subject -issuer -dates -ext subjectAltName</w:t>
      </w:r>
    </w:p>
    <w:p>
      <w:pPr>
        <w:spacing w:after="120" w:line="293" w:lineRule="auto"/>
      </w:pPr>
      <w:r>
        <w:rPr>
          <w:rFonts w:ascii="Arial Unicode MS" w:hAnsi="Arial Unicode MS" w:eastAsia="Arial Unicode MS"/>
          <w:b w:val="0"/>
          <w:color w:val="202020"/>
          <w:sz w:val="21"/>
        </w:rPr>
        <w:t>SAML 签名证书轮换需要更严格的双证书发布、SP metadata 更新、宽限期和回收流程，不能用 TLS 证书轮换步骤替代。</w:t>
      </w:r>
    </w:p>
    <w:p>
      <w:pPr>
        <w:pStyle w:val="Heading1"/>
        <w:spacing w:before="300" w:after="120"/>
        <w:keepNext/>
      </w:pPr>
      <w:r>
        <w:rPr>
          <w:rFonts w:ascii="Arial Unicode MS" w:hAnsi="Arial Unicode MS" w:eastAsia="Arial Unicode MS"/>
          <w:b/>
          <w:color w:val="000000"/>
          <w:sz w:val="30"/>
        </w:rPr>
        <w:t>十一 故障回滚原则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rPr>
          <w:tblHeader w:val="true"/>
        </w:trPr>
        <w:tc>
          <w:tcPr>
            <w:tcW w:type="dxa" w:w="1440"/>
            <w:shd w:fill="1F4E79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320"/>
            <w:shd w:fill="1F4E79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3456"/>
            <w:shd w:fill="1F4E79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验收或回滚要点</w:t>
            </w:r>
          </w:p>
        </w:tc>
      </w:tr>
      <w:tr>
        <w:tc>
          <w:tcPr>
            <w:tcW w:type="dxa" w:w="1440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镜像升级失败</w:t>
            </w:r>
          </w:p>
        </w:tc>
        <w:tc>
          <w:tcPr>
            <w:tcW w:type="dxa" w:w="4320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将 Compose 中镜像恢复为已验证标签或 digest，执行 docker compose up -d。</w:t>
            </w:r>
          </w:p>
        </w:tc>
        <w:tc>
          <w:tcPr>
            <w:tcW w:type="dxa" w:w="3456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检查 IdP health、HTTPS 端点和日志；不要删除数据卷。</w:t>
            </w:r>
          </w:p>
        </w:tc>
      </w:tr>
      <w:tr>
        <w:tc>
          <w:tcPr>
            <w:tcW w:type="dxa" w:w="1440"/>
            <w:shd w:fill="F4F7FA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配置变更失败</w:t>
            </w:r>
          </w:p>
        </w:tc>
        <w:tc>
          <w:tcPr>
            <w:tcW w:type="dxa" w:w="4320"/>
            <w:shd w:fill="F4F7FA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从升级前备份恢复 .env、customized、Compose 文件和 Nginx 证书。</w:t>
            </w:r>
          </w:p>
        </w:tc>
        <w:tc>
          <w:tcPr>
            <w:tcW w:type="dxa" w:w="3456"/>
            <w:shd w:fill="F4F7FA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恢复后先 docker compose config，再重建受影响服务。</w:t>
            </w:r>
          </w:p>
        </w:tc>
      </w:tr>
      <w:tr>
        <w:tc>
          <w:tcPr>
            <w:tcW w:type="dxa" w:w="1440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数据库迁移失败</w:t>
            </w:r>
          </w:p>
        </w:tc>
        <w:tc>
          <w:tcPr>
            <w:tcW w:type="dxa" w:w="4320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停止写入路径后，从经验证的 SQL 备份或受控数据目录恢复。</w:t>
            </w:r>
          </w:p>
        </w:tc>
        <w:tc>
          <w:tcPr>
            <w:tcW w:type="dxa" w:w="3456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应先在隔离副本验证恢复，不要直接覆盖唯一生产数据。</w:t>
            </w:r>
          </w:p>
        </w:tc>
      </w:tr>
      <w:tr>
        <w:tc>
          <w:tcPr>
            <w:tcW w:type="dxa" w:w="1440"/>
            <w:shd w:fill="F4F7FA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密钥或证书异常</w:t>
            </w:r>
          </w:p>
        </w:tc>
        <w:tc>
          <w:tcPr>
            <w:tcW w:type="dxa" w:w="4320"/>
            <w:shd w:fill="F4F7FA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优先还原原 credentials；核对口令、文件权限和版本兼容性。</w:t>
            </w:r>
          </w:p>
        </w:tc>
        <w:tc>
          <w:tcPr>
            <w:tcW w:type="dxa" w:w="3456"/>
            <w:shd w:fill="F4F7FA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不可通过删除 credentials 解决问题。真实联邦中密钥变更会影响 SP 信任。</w:t>
            </w:r>
          </w:p>
        </w:tc>
      </w:tr>
    </w:tbl>
    <w:p>
      <w:pPr>
        <w:spacing w:after="40"/>
      </w:pPr>
    </w:p>
    <w:p>
      <w:pPr>
        <w:pStyle w:val="Heading1"/>
        <w:spacing w:before="300" w:after="120"/>
        <w:keepNext/>
      </w:pPr>
      <w:r>
        <w:rPr>
          <w:rFonts w:ascii="Arial Unicode MS" w:hAnsi="Arial Unicode MS" w:eastAsia="Arial Unicode MS"/>
          <w:b/>
          <w:color w:val="000000"/>
          <w:sz w:val="30"/>
        </w:rPr>
        <w:t>十二 正式化前的建议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020"/>
          <w:sz w:val="21"/>
        </w:rPr>
        <w:t>将远端实际覆盖项回写到受版本控制的部署仓库，消除本地骨架与远端运行态之间的漂移。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020"/>
          <w:sz w:val="21"/>
        </w:rPr>
        <w:t>为真实域名配置 DNS、受信 TLS 证书、80 和 443 的独立虚拟主机，并完成外网和校内网连通性验证。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020"/>
          <w:sz w:val="21"/>
        </w:rPr>
        <w:t>实施最小属性释放策略，建立属性清单、SP 白名单、变更审批和审计记录。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020"/>
          <w:sz w:val="21"/>
        </w:rPr>
        <w:t>建立加密离线备份、证书到期告警、镜像漏洞管理和至少一次完整恢复演练。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020"/>
          <w:sz w:val="21"/>
        </w:rPr>
        <w:t>在 CARSI 正式注册和真实 SP 联调完成之前，所有对外材料都应将该系统标记为模拟或预生产环境。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66" w:bottom="979" w:left="106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 w:val="0"/>
        <w:color w:val="666666"/>
        <w:sz w:val="16"/>
      </w:rPr>
      <w:t>内部模拟环境  不可作为 CARSI 正式接入依据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/>
        <w:b w:val="0"/>
        <w:color w:val="666666"/>
        <w:sz w:val="17"/>
      </w:rPr>
      <w:t>CARSI IdP 模拟部署与升级运维说明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CARSI IdP 模拟部署与升级运维说明</dc:title>
  <dc:subject>远端 Docker 模拟实例部署总结和升级操作规程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