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color w:val="000000"/>
          <w:sz w:val="32"/>
        </w:rPr>
        <w:t>面向多语种学术文献检索的语义漂移抑制方法与实证评估</w:t>
      </w:r>
    </w:p>
    <w:p>
      <w:pPr>
        <w:jc w:val="center"/>
      </w:pPr>
      <w:r>
        <w:rPr>
          <w:rFonts w:ascii="黑体" w:hAnsi="黑体" w:eastAsia="黑体"/>
          <w:b/>
          <w:color w:val="000000"/>
          <w:sz w:val="28"/>
        </w:rPr>
        <w:t>——基于跨语言知识空间映射与知识图谱增强重排序</w:t>
      </w:r>
    </w:p>
    <w:p>
      <w:pPr>
        <w:jc w:val="center"/>
      </w:pPr>
      <w:r>
        <w:rPr>
          <w:rFonts w:ascii="Times New Roman" w:hAnsi="Times New Roman" w:eastAsia="Times New Roman"/>
          <w:b w:val="0"/>
          <w:color w:val="000000"/>
          <w:sz w:val="22"/>
        </w:rPr>
        <w:t>Semantic Drift Suppression for Multilingual Academic Literature Retrieval: Cross-Lingual Knowledge Space Mapping and KG-Enhanced Re-ranking</w:t>
      </w:r>
    </w:p>
    <w:p>
      <w:pPr>
        <w:jc w:val="center"/>
      </w:pPr>
      <w:r>
        <w:rPr>
          <w:rFonts w:ascii="宋体" w:hAnsi="宋体" w:eastAsia="宋体"/>
          <w:b w:val="0"/>
          <w:color w:val="000000"/>
          <w:sz w:val="24"/>
        </w:rPr>
        <w:t>刘斌¹  周德明²*</w:t>
      </w:r>
    </w:p>
    <w:p>
      <w:pPr>
        <w:jc w:val="center"/>
      </w:pPr>
      <w:r>
        <w:rPr>
          <w:rFonts w:ascii="宋体" w:hAnsi="宋体" w:eastAsia="宋体"/>
          <w:b w:val="0"/>
          <w:color w:val="000000"/>
          <w:sz w:val="21"/>
        </w:rPr>
        <w:t>（1. XX大学 信息管理学院  北京 100000；2. XX大学 情报学研究中心  北京 100000）</w:t>
      </w:r>
    </w:p>
    <w:p/>
    <w:p>
      <w:pPr>
        <w:jc w:val="center"/>
      </w:pPr>
      <w:r>
        <w:rPr>
          <w:rFonts w:ascii="黑体" w:hAnsi="黑体" w:eastAsia="黑体"/>
          <w:b/>
          <w:color w:val="000000"/>
          <w:sz w:val="24"/>
        </w:rPr>
        <w:t>摘  要</w:t>
      </w:r>
    </w:p>
    <w:p>
      <w:pPr>
        <w:spacing w:line="360" w:lineRule="auto" w:after="120"/>
        <w:jc w:val="both"/>
      </w:pPr>
      <w:r>
        <w:rPr>
          <w:rFonts w:ascii="宋体" w:hAnsi="宋体" w:eastAsia="宋体"/>
          <w:b w:val="0"/>
          <w:color w:val="000000"/>
          <w:sz w:val="21"/>
        </w:rPr>
        <w:t>【目的/意义】多语种学术文献检索面临查询语种、文献语种和领域术语体系不一致所导致的语义漂移问题，表现为向量相似度与人工相关性之间的系统性偏差，造成非英语文献发现不足与跨语种知识关联解释困难。【方法/过程】在布鲁克斯知识方程、信息觅食理论和跨语言表示学习基础上，构建"理论概念—技术变量—损失函数"映射关系；提出Drift-Score漂移度量指标；采用冻结BGE-M3主干编码器与轻量投影层微调策略，设计排序损失、跨语言对齐损失、漂移约束损失和语言对抗损失的联合优化框架；构建KG_Enhance知识图谱增强重排序机制。以OpenAlex采集的15,000篇"一带一路"多语种学术文献和200组测试查询为语料，在server@100.75.203.102的NVIDIA RTX 3090单卡上完成全部实验。【结果/结论】RTX 3090实测显示：BGE-M3+KG在200组查询上nDCG@10达0.0651，Drift-Score降至0.5520，较BGE-M3基线（nDCG@10=0.0507，Drift-Score=0.7086）分别提升28.4%和降低22.1%；DriftSup对抗训练使Drift-Score降低10.2%；文档编码15,000篇耗时164.6秒（峰值显存3.83GB）。【局限】弱监督标注导致绝对nDCG偏低，需扩展人工标注查询规模。</w:t>
      </w:r>
    </w:p>
    <w:p>
      <w:pPr>
        <w:ind w:firstLine="0"/>
      </w:pPr>
      <w:r>
        <w:rPr>
          <w:rFonts w:ascii="黑体" w:hAnsi="黑体" w:eastAsia="黑体"/>
          <w:b/>
          <w:color w:val="000000"/>
          <w:sz w:val="21"/>
        </w:rPr>
        <w:t>关键词：</w:t>
      </w:r>
      <w:r>
        <w:rPr>
          <w:rFonts w:ascii="宋体" w:hAnsi="宋体" w:eastAsia="宋体"/>
          <w:b w:val="0"/>
          <w:color w:val="000000"/>
          <w:sz w:val="21"/>
        </w:rPr>
        <w:t>跨语言信息检索；多语种学术文献；语义漂移；知识图谱；对抗训练；重排序</w:t>
      </w:r>
    </w:p>
    <w:p>
      <w:pPr>
        <w:ind w:firstLine="0"/>
      </w:pPr>
      <w:r>
        <w:rPr>
          <w:rFonts w:ascii="宋体" w:hAnsi="宋体" w:eastAsia="宋体"/>
          <w:b w:val="0"/>
          <w:color w:val="000000"/>
          <w:sz w:val="21"/>
        </w:rPr>
        <w:t>中图分类号：G250.2；G254.9    文献标识码：A</w:t>
      </w:r>
    </w:p>
    <w:p/>
    <w:p>
      <w:pPr>
        <w:spacing w:line="360" w:lineRule="auto" w:before="240" w:after="120"/>
        <w:ind w:firstLine="0"/>
        <w:jc w:val="left"/>
      </w:pPr>
      <w:r>
        <w:rPr>
          <w:rFonts w:ascii="黑体" w:hAnsi="黑体" w:eastAsia="黑体"/>
          <w:b/>
          <w:color w:val="000000"/>
          <w:sz w:val="28"/>
        </w:rPr>
        <w:t>1  引言</w:t>
      </w:r>
    </w:p>
    <w:p>
      <w:pPr>
        <w:spacing w:line="360" w:lineRule="auto" w:after="120"/>
        <w:ind w:firstLine="420"/>
        <w:jc w:val="both"/>
      </w:pPr>
      <w:r>
        <w:rPr>
          <w:rFonts w:ascii="宋体" w:hAnsi="宋体" w:eastAsia="宋体"/>
          <w:b w:val="0"/>
          <w:color w:val="000000"/>
          <w:sz w:val="24"/>
        </w:rPr>
        <w:t>多语种学术文献检索（Multilingual Academic Information Retrieval, MAIR）旨在支持用户以一种语言提出学术信息需求，并在多种语言文献集合中发现相关研究成果。与通用网页检索相比，学术文献检索具有术语密集、概念层级复杂、引文网络显著、同一主题跨语种表达差异明显等特点。对于"一带一路"、区域国别研究、国际合作研究等议题，相关文献往往分散于中文、英语、俄语、阿拉伯语、西班牙语等多语种数据库。语言边界会削弱主题词汇、研究对象、政策术语和学科概念之间的可见关联，进而影响科研人员对非母语成果的发现能力。</w:t>
      </w:r>
    </w:p>
    <w:p>
      <w:pPr>
        <w:spacing w:line="360" w:lineRule="auto" w:after="120"/>
        <w:ind w:firstLine="420"/>
        <w:jc w:val="both"/>
      </w:pPr>
      <w:r>
        <w:rPr>
          <w:rFonts w:ascii="宋体" w:hAnsi="宋体" w:eastAsia="宋体"/>
          <w:b w:val="0"/>
          <w:color w:val="000000"/>
          <w:sz w:val="24"/>
        </w:rPr>
        <w:t>传统跨语言信息检索通常采用查询翻译、文档翻译或跨语言向量空间对齐等路径。近年来，XLM-R[10]、LaBSE[30]、multilingual-e5[17]、BGE-M3[18]等多语种预训练模型显著提升了跨语种语义表示能力；MIRACL[15]、Mr.TyDi[14]、mMARCO[13]等数据集也推动了多语种检索评测标准化。但是，在学术文献场景中，跨语言检索仍然存在语义漂移（semantic drift）：模型在共享向量空间中把表面相似但学术含义不同的文献排到前列，或把语言形式差异较大但主题相关的文献排到后列。语义漂移并非简单的翻译错误，而是查询意图、领域语义、语言结构和训练数据偏差共同作用的结果。</w:t>
      </w:r>
    </w:p>
    <w:p>
      <w:pPr>
        <w:spacing w:line="360" w:lineRule="auto" w:after="120"/>
        <w:ind w:firstLine="420"/>
        <w:jc w:val="both"/>
      </w:pPr>
      <w:r>
        <w:rPr>
          <w:rFonts w:ascii="宋体" w:hAnsi="宋体" w:eastAsia="宋体"/>
          <w:b w:val="0"/>
          <w:color w:val="000000"/>
          <w:sz w:val="24"/>
        </w:rPr>
        <w:t>现有研究存在三个不足：第一，跨语言学术检索研究往往重模型性能、轻理论解释，较少说明图情理论概念如何映射为机器学习目标；第二，语义漂移虽被频繁提及，但在多语种学术文献检索中缺乏查询级可解释度量；第三，知识图谱增强检索常被写成"黑盒加分项"，缺少实体对齐、路径强度和排序分数之间的清晰公式。本文围绕这三点进行重构，聚焦"面向多语种学术文献检索的语义漂移抑制方法"。</w:t>
      </w:r>
    </w:p>
    <w:p>
      <w:pPr>
        <w:spacing w:line="360" w:lineRule="auto" w:after="120"/>
        <w:ind w:firstLine="420"/>
        <w:jc w:val="both"/>
      </w:pPr>
      <w:r>
        <w:rPr>
          <w:rFonts w:ascii="宋体" w:hAnsi="宋体" w:eastAsia="宋体"/>
          <w:b w:val="0"/>
          <w:color w:val="000000"/>
          <w:sz w:val="24"/>
        </w:rPr>
        <w:t>本文拟回答三个研究问题：RQ1，如何将跨语言知识增长中的单语语义保持与跨语义对齐转化为可计算的训练目标？RQ2，如何定义能够反映查询—文档相关性偏差的语义漂移指标，并通过对抗训练降低语言分布偏差？RQ3，知识图谱增强重排序能否改善跨语种学术概念对齐与检索结果解释性？</w:t>
      </w:r>
    </w:p>
    <w:p>
      <w:pPr>
        <w:spacing w:line="360" w:lineRule="auto" w:after="120"/>
        <w:ind w:firstLine="420"/>
        <w:jc w:val="both"/>
      </w:pPr>
      <w:r>
        <w:rPr>
          <w:rFonts w:ascii="宋体" w:hAnsi="宋体" w:eastAsia="宋体"/>
          <w:b w:val="0"/>
          <w:color w:val="000000"/>
          <w:sz w:val="24"/>
        </w:rPr>
        <w:t>本文贡献主要体现在四个方面：（1）构建跨语言知识空间理论与神经检索训练目标之间的映射表，避免理论与技术"两张皮"；（2）提出面向查询—文档对的Drift-Score定义，并将漂移约束纳入总损失函数；（3）补充KG_Enhance的可复现公式，说明实体对齐和图谱路径如何转化为排序分数；（4）在RTX 3090单卡上完成包含multilingual-e5、BGE-M3等现代强基线的完整实证评估，报告统计检验结果。</w:t>
      </w:r>
    </w:p>
    <w:p>
      <w:pPr>
        <w:spacing w:line="360" w:lineRule="auto" w:before="240" w:after="120"/>
        <w:ind w:firstLine="0"/>
        <w:jc w:val="left"/>
      </w:pPr>
      <w:r>
        <w:rPr>
          <w:rFonts w:ascii="黑体" w:hAnsi="黑体" w:eastAsia="黑体"/>
          <w:b/>
          <w:color w:val="000000"/>
          <w:sz w:val="28"/>
        </w:rPr>
        <w:t>2  相关研究</w:t>
      </w:r>
    </w:p>
    <w:p>
      <w:pPr>
        <w:spacing w:line="360" w:lineRule="auto" w:before="120" w:after="120"/>
        <w:ind w:firstLine="0"/>
        <w:jc w:val="left"/>
      </w:pPr>
      <w:r>
        <w:rPr>
          <w:rFonts w:ascii="黑体" w:hAnsi="黑体" w:eastAsia="黑体"/>
          <w:b/>
          <w:color w:val="000000"/>
          <w:sz w:val="24"/>
        </w:rPr>
        <w:t>2.1  跨语言信息检索与多语种表示学习</w:t>
      </w:r>
    </w:p>
    <w:p>
      <w:pPr>
        <w:spacing w:line="360" w:lineRule="auto" w:after="120"/>
        <w:ind w:firstLine="420"/>
        <w:jc w:val="both"/>
      </w:pPr>
      <w:r>
        <w:rPr>
          <w:rFonts w:ascii="宋体" w:hAnsi="宋体" w:eastAsia="宋体"/>
          <w:b w:val="0"/>
          <w:color w:val="000000"/>
          <w:sz w:val="24"/>
        </w:rPr>
        <w:t>跨语言信息检索经历了词典翻译、统计机器翻译、多语言预训练模型等发展阶段[4,19]。MUSE[8]通过无监督方式对齐单语词向量空间，LASER[9]通过语言无关句向量支持多语种语义相似度计算。预训练语言模型进一步改变了跨语言检索范式：XLM-R在100种语言上训练，large版本采用24层、1024隐状态设置[10]；multilingual-e5-large为24层、嵌入维度1024，面向检索任务优化[17]；BGE-M3支持多语言、多功能和多粒度检索，可同时执行dense retrieval、multi-vector retrieval和sparse retrieval[18]。这些模型应纳入强基线，否则实验结果难以体现当前技术语境下的有效性。</w:t>
      </w:r>
    </w:p>
    <w:p>
      <w:pPr>
        <w:spacing w:line="360" w:lineRule="auto" w:before="120" w:after="120"/>
        <w:ind w:firstLine="0"/>
        <w:jc w:val="left"/>
      </w:pPr>
      <w:r>
        <w:rPr>
          <w:rFonts w:ascii="黑体" w:hAnsi="黑体" w:eastAsia="黑体"/>
          <w:b/>
          <w:color w:val="000000"/>
          <w:sz w:val="24"/>
        </w:rPr>
        <w:t>2.2  多语种检索评测资源</w:t>
      </w:r>
    </w:p>
    <w:p>
      <w:pPr>
        <w:spacing w:line="360" w:lineRule="auto" w:after="120"/>
        <w:ind w:firstLine="420"/>
        <w:jc w:val="both"/>
      </w:pPr>
      <w:r>
        <w:rPr>
          <w:rFonts w:ascii="宋体" w:hAnsi="宋体" w:eastAsia="宋体"/>
          <w:b w:val="0"/>
          <w:color w:val="000000"/>
          <w:sz w:val="24"/>
        </w:rPr>
        <w:t>mMARCO将MS MARCO扩展为多语种版本[13]；Mr.TyDi覆盖11种类型差异明显的语言，重点评价非英语密集检索能力[14]；MIRACL覆盖18种语言，包含约78k查询和超过726k高质量相关性判断[15]；BEIR强调跨领域、零样本检索泛化能力[16]。本文数据集虽然聚焦"一带一路"学术文献，但在指标、划分方式和基线选择上对齐上述资源，以提高实验可信度。</w:t>
      </w:r>
    </w:p>
    <w:p>
      <w:pPr>
        <w:spacing w:line="360" w:lineRule="auto" w:before="120" w:after="120"/>
        <w:ind w:firstLine="0"/>
        <w:jc w:val="left"/>
      </w:pPr>
      <w:r>
        <w:rPr>
          <w:rFonts w:ascii="黑体" w:hAnsi="黑体" w:eastAsia="黑体"/>
          <w:b/>
          <w:color w:val="000000"/>
          <w:sz w:val="24"/>
        </w:rPr>
        <w:t>2.3  语义漂移与对抗训练</w:t>
      </w:r>
    </w:p>
    <w:p>
      <w:pPr>
        <w:spacing w:line="360" w:lineRule="auto" w:after="120"/>
        <w:ind w:firstLine="420"/>
        <w:jc w:val="both"/>
      </w:pPr>
      <w:r>
        <w:rPr>
          <w:rFonts w:ascii="宋体" w:hAnsi="宋体" w:eastAsia="宋体"/>
          <w:b w:val="0"/>
          <w:color w:val="000000"/>
          <w:sz w:val="24"/>
        </w:rPr>
        <w:t>语义漂移通常指语义表示或查询扩展过程中，原始信息需求被不恰当语义邻近关系带偏，导致排序结果与真实相关性不一致。在跨语言学术检索中，漂移可能来自语言偏差、领域偏差和结构偏差三类。对抗训练可通过语言判别器约束编码器输出，使表示空间中的语言来源信息弱化，从而提升跨语言对齐稳定性[7]。</w:t>
      </w:r>
    </w:p>
    <w:p>
      <w:pPr>
        <w:spacing w:line="360" w:lineRule="auto" w:before="120" w:after="120"/>
        <w:ind w:firstLine="0"/>
        <w:jc w:val="left"/>
      </w:pPr>
      <w:r>
        <w:rPr>
          <w:rFonts w:ascii="黑体" w:hAnsi="黑体" w:eastAsia="黑体"/>
          <w:b/>
          <w:color w:val="000000"/>
          <w:sz w:val="24"/>
        </w:rPr>
        <w:t>2.4  知识图谱增强检索</w:t>
      </w:r>
    </w:p>
    <w:p>
      <w:pPr>
        <w:spacing w:line="360" w:lineRule="auto" w:after="120"/>
        <w:ind w:firstLine="420"/>
        <w:jc w:val="both"/>
      </w:pPr>
      <w:r>
        <w:rPr>
          <w:rFonts w:ascii="宋体" w:hAnsi="宋体" w:eastAsia="宋体"/>
          <w:b w:val="0"/>
          <w:color w:val="000000"/>
          <w:sz w:val="24"/>
        </w:rPr>
        <w:t>知识图谱能够以实体和关系形式组织概念、主题、机构、作者和学术对象。TransE[25]将关系解释为低维向量空间中的平移操作，MTransE[26]用于多语言知识图谱嵌入和跨语言知识对齐，BootEA[27]通过自举策略缓解实体对齐中标注不足问题，RDGCN[28]利用关系感知图卷积网络捕捉异构知识图谱中的关系结构。大语言模型时代的检索增强生成（RAG）[21]和LLM重排序[20,24]也为跨语言检索提供了新范式，但检索阶段的语义漂移问题仍需在前端解决。</w:t>
      </w:r>
    </w:p>
    <w:p>
      <w:pPr>
        <w:spacing w:line="360" w:lineRule="auto" w:before="240" w:after="120"/>
        <w:ind w:firstLine="0"/>
        <w:jc w:val="left"/>
      </w:pPr>
      <w:r>
        <w:rPr>
          <w:rFonts w:ascii="黑体" w:hAnsi="黑体" w:eastAsia="黑体"/>
          <w:b/>
          <w:color w:val="000000"/>
          <w:sz w:val="28"/>
        </w:rPr>
        <w:t>3  问题定义与理论—算法映射</w:t>
      </w:r>
    </w:p>
    <w:p>
      <w:pPr>
        <w:spacing w:line="360" w:lineRule="auto" w:before="120" w:after="120"/>
        <w:ind w:firstLine="0"/>
        <w:jc w:val="left"/>
      </w:pPr>
      <w:r>
        <w:rPr>
          <w:rFonts w:ascii="黑体" w:hAnsi="黑体" w:eastAsia="黑体"/>
          <w:b/>
          <w:color w:val="000000"/>
          <w:sz w:val="24"/>
        </w:rPr>
        <w:t>3.1  跨语言知识空间的问题化定义</w:t>
      </w:r>
    </w:p>
    <w:p>
      <w:pPr>
        <w:spacing w:line="360" w:lineRule="auto" w:after="120"/>
        <w:ind w:firstLine="420"/>
        <w:jc w:val="both"/>
      </w:pPr>
      <w:r>
        <w:rPr>
          <w:rFonts w:ascii="宋体" w:hAnsi="宋体" w:eastAsia="宋体"/>
          <w:b w:val="0"/>
          <w:color w:val="000000"/>
          <w:sz w:val="24"/>
        </w:rPr>
        <w:t>布鲁克斯知识方程强调信息输入会改变知识结构[1]。在多语种学术检索场景中，知识空间不再由单一语言集合构成，而是由多个语种知识子空间及其语义映射组成。设语言集合为L={L₁,L₂,…,Lₙ}，K_Li表示语言Lᵢ中的学术知识空间，M_i→j表示从语言Lᵢ到语言Lⱼ的语义映射，则跨语言知识空间可写为：</w:t>
      </w:r>
    </w:p>
    <w:p>
      <w:pPr>
        <w:spacing w:line="360" w:lineRule="auto" w:after="120"/>
        <w:jc w:val="center"/>
      </w:pPr>
      <w:r>
        <w:rPr>
          <w:rFonts w:ascii="宋体" w:hAnsi="宋体" w:eastAsia="宋体"/>
          <w:b w:val="0"/>
          <w:color w:val="000000"/>
          <w:sz w:val="24"/>
        </w:rPr>
        <w:t>K_multi = { (K_Li, M_i→j) | Lᵢ, Lⱼ ∈ L }</w:t>
      </w:r>
    </w:p>
    <w:p>
      <w:pPr>
        <w:spacing w:line="360" w:lineRule="auto" w:after="120"/>
        <w:ind w:firstLine="420"/>
        <w:jc w:val="both"/>
      </w:pPr>
      <w:r>
        <w:rPr>
          <w:rFonts w:ascii="宋体" w:hAnsi="宋体" w:eastAsia="宋体"/>
          <w:b w:val="0"/>
          <w:color w:val="000000"/>
          <w:sz w:val="24"/>
        </w:rPr>
        <w:t>原稿将跨语言知识增长写为K_multi[S]+ΔI=K_multi[S+ΔS]，其中ΔS包括内部增长ΔS_intra和跨语言增长ΔS_inter。本文将其视为问题建模：ΔS_intra对应单语语义结构保持，ΔS_inter对应跨语种相关知识发现。模型训练的目标不是证明该方程，而是把它转化为排序损失、对齐损失和漂移约束。</w:t>
      </w:r>
    </w:p>
    <w:p>
      <w:pPr>
        <w:spacing w:line="360" w:lineRule="auto" w:before="120" w:after="120"/>
        <w:ind w:firstLine="0"/>
        <w:jc w:val="left"/>
      </w:pPr>
      <w:r>
        <w:rPr>
          <w:rFonts w:ascii="黑体" w:hAnsi="黑体" w:eastAsia="黑体"/>
          <w:b/>
          <w:color w:val="000000"/>
          <w:sz w:val="24"/>
        </w:rPr>
        <w:t>3.2  语义漂移定义</w:t>
      </w:r>
    </w:p>
    <w:p>
      <w:pPr>
        <w:spacing w:line="360" w:lineRule="auto" w:after="120"/>
        <w:ind w:firstLine="420"/>
        <w:jc w:val="both"/>
      </w:pPr>
      <w:r>
        <w:rPr>
          <w:rFonts w:ascii="宋体" w:hAnsi="宋体" w:eastAsia="宋体"/>
          <w:b w:val="0"/>
          <w:color w:val="000000"/>
          <w:sz w:val="24"/>
        </w:rPr>
        <w:t>设查询q使用语言Lq表示，文档d使用语言Ld表示，编码器E将其映射至共享向量空间：v_q=E(q)，v_d=E(d)。文本相似度为sim(v_q,v_d)，人工相关性标签为y_qd∈[0,1]。当sim(v_q,v_d)与y_qd之间出现系统性偏差时，即发生语义漂移。本文定义查询级Drift-Score为：</w:t>
      </w:r>
    </w:p>
    <w:p>
      <w:pPr>
        <w:spacing w:line="360" w:lineRule="auto" w:after="120"/>
        <w:jc w:val="center"/>
      </w:pPr>
      <w:r>
        <w:rPr>
          <w:rFonts w:ascii="宋体" w:hAnsi="宋体" w:eastAsia="宋体"/>
          <w:b w:val="0"/>
          <w:color w:val="000000"/>
          <w:sz w:val="24"/>
        </w:rPr>
        <w:t>Drift(q) = (1/|D_q|) · Σ_{d∈D_q} | sim(E(q),E(d)) − y_qd |</w:t>
      </w:r>
    </w:p>
    <w:p>
      <w:pPr>
        <w:spacing w:line="360" w:lineRule="auto" w:after="120"/>
        <w:ind w:firstLine="420"/>
        <w:jc w:val="both"/>
      </w:pPr>
      <w:r>
        <w:rPr>
          <w:rFonts w:ascii="宋体" w:hAnsi="宋体" w:eastAsia="宋体"/>
          <w:b w:val="0"/>
          <w:color w:val="000000"/>
          <w:sz w:val="24"/>
        </w:rPr>
        <w:t>其中D_q为参与评估的候选文档集合。Drift-Score越高，表示模型相似度与人工判断差异越大。该指标既可用于模型评估，也可进入训练阶段形成漂移约束损失。</w:t>
      </w:r>
    </w:p>
    <w:p>
      <w:pPr>
        <w:spacing w:line="360" w:lineRule="auto" w:before="120" w:after="120"/>
        <w:ind w:firstLine="0"/>
        <w:jc w:val="left"/>
      </w:pPr>
      <w:r>
        <w:rPr>
          <w:rFonts w:ascii="黑体" w:hAnsi="黑体" w:eastAsia="黑体"/>
          <w:b/>
          <w:color w:val="000000"/>
          <w:sz w:val="24"/>
        </w:rPr>
        <w:t>3.3  理论—算法映射</w:t>
      </w:r>
    </w:p>
    <w:p>
      <w:pPr>
        <w:jc w:val="center"/>
      </w:pPr>
      <w:r>
        <w:rPr>
          <w:rFonts w:ascii="宋体" w:hAnsi="宋体" w:eastAsia="宋体"/>
          <w:b/>
          <w:color w:val="000000"/>
          <w:sz w:val="21"/>
        </w:rPr>
        <w:t>表1  理论概念—技术变量—损失函数映射关系</w:t>
      </w:r>
    </w:p>
    <w:tbl>
      <w:tblPr>
        <w:tblW w:type="auto" w:w="0"/>
        <w:jc w:val="center"/>
        <w:tblLook w:firstColumn="1" w:firstRow="1" w:lastColumn="0" w:lastRow="0" w:noHBand="0" w:noVBand="1" w:val="04A0"/>
        <w:tblBorders>
          <w:top w:val="single" w:sz="12" w:color="000000"/>
          <w:bottom w:val="single" w:sz="12" w:color="000000"/>
          <w:left w:val="nil"/>
          <w:right w:val="nil"/>
          <w:insideV w:val="nil"/>
          <w:insideH w:val="nil"/>
        </w:tblBorders>
      </w:tblPr>
      <w:tblGrid>
        <w:gridCol w:w="3009"/>
        <w:gridCol w:w="3009"/>
        <w:gridCol w:w="3009"/>
      </w:tblGrid>
      <w:tr>
        <w:tc>
          <w:tcPr>
            <w:tcW w:type="dxa" w:w="3009"/>
          </w:tcPr>
          <w:p>
            <w:pPr>
              <w:jc w:val="center"/>
            </w:pPr>
            <w:r/>
            <w:r>
              <w:rPr>
                <w:rFonts w:ascii="宋体" w:hAnsi="宋体" w:eastAsia="宋体"/>
                <w:b/>
                <w:color w:val="000000"/>
                <w:sz w:val="21"/>
              </w:rPr>
              <w:t>理论概念</w:t>
            </w:r>
          </w:p>
        </w:tc>
        <w:tc>
          <w:tcPr>
            <w:tcW w:type="dxa" w:w="3009"/>
          </w:tcPr>
          <w:p>
            <w:pPr>
              <w:jc w:val="center"/>
            </w:pPr>
            <w:r/>
            <w:r>
              <w:rPr>
                <w:rFonts w:ascii="宋体" w:hAnsi="宋体" w:eastAsia="宋体"/>
                <w:b/>
                <w:color w:val="000000"/>
                <w:sz w:val="21"/>
              </w:rPr>
              <w:t>技术变量</w:t>
            </w:r>
          </w:p>
        </w:tc>
        <w:tc>
          <w:tcPr>
            <w:tcW w:type="dxa" w:w="3009"/>
          </w:tcPr>
          <w:p>
            <w:pPr>
              <w:jc w:val="center"/>
            </w:pPr>
            <w:r/>
            <w:r>
              <w:rPr>
                <w:rFonts w:ascii="宋体" w:hAnsi="宋体" w:eastAsia="宋体"/>
                <w:b/>
                <w:color w:val="000000"/>
                <w:sz w:val="21"/>
              </w:rPr>
              <w:t>损失函数/模块</w:t>
            </w:r>
          </w:p>
        </w:tc>
      </w:tr>
      <w:tr>
        <w:tc>
          <w:tcPr>
            <w:tcW w:type="dxa" w:w="3009"/>
          </w:tcPr>
          <w:p>
            <w:pPr>
              <w:jc w:val="center"/>
            </w:pPr>
            <w:r/>
            <w:r>
              <w:rPr>
                <w:rFonts w:ascii="宋体" w:hAnsi="宋体" w:eastAsia="宋体"/>
                <w:b w:val="0"/>
                <w:color w:val="000000"/>
                <w:sz w:val="21"/>
              </w:rPr>
              <w:t>K_Li：单语知识空间</w:t>
            </w:r>
          </w:p>
        </w:tc>
        <w:tc>
          <w:tcPr>
            <w:tcW w:type="dxa" w:w="3009"/>
          </w:tcPr>
          <w:p>
            <w:pPr>
              <w:jc w:val="center"/>
            </w:pPr>
            <w:r/>
            <w:r>
              <w:rPr>
                <w:rFonts w:ascii="宋体" w:hAnsi="宋体" w:eastAsia="宋体"/>
                <w:b w:val="0"/>
                <w:color w:val="000000"/>
                <w:sz w:val="21"/>
              </w:rPr>
              <w:t>语言Lᵢ中的标题、摘要、关键词向量</w:t>
            </w:r>
          </w:p>
        </w:tc>
        <w:tc>
          <w:tcPr>
            <w:tcW w:type="dxa" w:w="3009"/>
          </w:tcPr>
          <w:p>
            <w:pPr>
              <w:jc w:val="center"/>
            </w:pPr>
            <w:r/>
            <w:r>
              <w:rPr>
                <w:rFonts w:ascii="宋体" w:hAnsi="宋体" w:eastAsia="宋体"/>
                <w:b w:val="0"/>
                <w:color w:val="000000"/>
                <w:sz w:val="21"/>
              </w:rPr>
              <w:t>L_rank：保持同语种相关文献排序结构</w:t>
            </w:r>
          </w:p>
        </w:tc>
      </w:tr>
      <w:tr>
        <w:tc>
          <w:tcPr>
            <w:tcW w:type="dxa" w:w="3009"/>
          </w:tcPr>
          <w:p>
            <w:pPr>
              <w:jc w:val="center"/>
            </w:pPr>
            <w:r/>
            <w:r>
              <w:rPr>
                <w:rFonts w:ascii="宋体" w:hAnsi="宋体" w:eastAsia="宋体"/>
                <w:b w:val="0"/>
                <w:color w:val="000000"/>
                <w:sz w:val="21"/>
              </w:rPr>
              <w:t>M_i→j：跨语言映射</w:t>
            </w:r>
          </w:p>
        </w:tc>
        <w:tc>
          <w:tcPr>
            <w:tcW w:type="dxa" w:w="3009"/>
          </w:tcPr>
          <w:p>
            <w:pPr>
              <w:jc w:val="center"/>
            </w:pPr>
            <w:r/>
            <w:r>
              <w:rPr>
                <w:rFonts w:ascii="宋体" w:hAnsi="宋体" w:eastAsia="宋体"/>
                <w:b w:val="0"/>
                <w:color w:val="000000"/>
                <w:sz w:val="21"/>
              </w:rPr>
              <w:t>跨语种正样本对的向量距离</w:t>
            </w:r>
          </w:p>
        </w:tc>
        <w:tc>
          <w:tcPr>
            <w:tcW w:type="dxa" w:w="3009"/>
          </w:tcPr>
          <w:p>
            <w:pPr>
              <w:jc w:val="center"/>
            </w:pPr>
            <w:r/>
            <w:r>
              <w:rPr>
                <w:rFonts w:ascii="宋体" w:hAnsi="宋体" w:eastAsia="宋体"/>
                <w:b w:val="0"/>
                <w:color w:val="000000"/>
                <w:sz w:val="21"/>
              </w:rPr>
              <w:t>L_align：约束不同语言中的同义概念靠近</w:t>
            </w:r>
          </w:p>
        </w:tc>
      </w:tr>
      <w:tr>
        <w:tc>
          <w:tcPr>
            <w:tcW w:type="dxa" w:w="3009"/>
          </w:tcPr>
          <w:p>
            <w:pPr>
              <w:jc w:val="center"/>
            </w:pPr>
            <w:r/>
            <w:r>
              <w:rPr>
                <w:rFonts w:ascii="宋体" w:hAnsi="宋体" w:eastAsia="宋体"/>
                <w:b w:val="0"/>
                <w:color w:val="000000"/>
                <w:sz w:val="21"/>
              </w:rPr>
              <w:t>ΔS_intra：内部增长</w:t>
            </w:r>
          </w:p>
        </w:tc>
        <w:tc>
          <w:tcPr>
            <w:tcW w:type="dxa" w:w="3009"/>
          </w:tcPr>
          <w:p>
            <w:pPr>
              <w:jc w:val="center"/>
            </w:pPr>
            <w:r/>
            <w:r>
              <w:rPr>
                <w:rFonts w:ascii="宋体" w:hAnsi="宋体" w:eastAsia="宋体"/>
                <w:b w:val="0"/>
                <w:color w:val="000000"/>
                <w:sz w:val="21"/>
              </w:rPr>
              <w:t>单语相关文档排序增益</w:t>
            </w:r>
          </w:p>
        </w:tc>
        <w:tc>
          <w:tcPr>
            <w:tcW w:type="dxa" w:w="3009"/>
          </w:tcPr>
          <w:p>
            <w:pPr>
              <w:jc w:val="center"/>
            </w:pPr>
            <w:r/>
            <w:r>
              <w:rPr>
                <w:rFonts w:ascii="宋体" w:hAnsi="宋体" w:eastAsia="宋体"/>
                <w:b w:val="0"/>
                <w:color w:val="000000"/>
                <w:sz w:val="21"/>
              </w:rPr>
              <w:t>L_rank：单语知识结构内部检索改进</w:t>
            </w:r>
          </w:p>
        </w:tc>
      </w:tr>
      <w:tr>
        <w:tc>
          <w:tcPr>
            <w:tcW w:type="dxa" w:w="3009"/>
          </w:tcPr>
          <w:p>
            <w:pPr>
              <w:jc w:val="center"/>
            </w:pPr>
            <w:r/>
            <w:r>
              <w:rPr>
                <w:rFonts w:ascii="宋体" w:hAnsi="宋体" w:eastAsia="宋体"/>
                <w:b w:val="0"/>
                <w:color w:val="000000"/>
                <w:sz w:val="21"/>
              </w:rPr>
              <w:t>ΔS_inter：跨语言增长</w:t>
            </w:r>
          </w:p>
        </w:tc>
        <w:tc>
          <w:tcPr>
            <w:tcW w:type="dxa" w:w="3009"/>
          </w:tcPr>
          <w:p>
            <w:pPr>
              <w:jc w:val="center"/>
            </w:pPr>
            <w:r/>
            <w:r>
              <w:rPr>
                <w:rFonts w:ascii="宋体" w:hAnsi="宋体" w:eastAsia="宋体"/>
                <w:b w:val="0"/>
                <w:color w:val="000000"/>
                <w:sz w:val="21"/>
              </w:rPr>
              <w:t>跨语种相关文献进入前列</w:t>
            </w:r>
          </w:p>
        </w:tc>
        <w:tc>
          <w:tcPr>
            <w:tcW w:type="dxa" w:w="3009"/>
          </w:tcPr>
          <w:p>
            <w:pPr>
              <w:jc w:val="center"/>
            </w:pPr>
            <w:r/>
            <w:r>
              <w:rPr>
                <w:rFonts w:ascii="宋体" w:hAnsi="宋体" w:eastAsia="宋体"/>
                <w:b w:val="0"/>
                <w:color w:val="000000"/>
                <w:sz w:val="21"/>
              </w:rPr>
              <w:t>L_align：跨语种知识关联发现</w:t>
            </w:r>
          </w:p>
        </w:tc>
      </w:tr>
      <w:tr>
        <w:tc>
          <w:tcPr>
            <w:tcW w:type="dxa" w:w="3009"/>
          </w:tcPr>
          <w:p>
            <w:pPr>
              <w:jc w:val="center"/>
            </w:pPr>
            <w:r/>
            <w:r>
              <w:rPr>
                <w:rFonts w:ascii="宋体" w:hAnsi="宋体" w:eastAsia="宋体"/>
                <w:b w:val="0"/>
                <w:color w:val="000000"/>
                <w:sz w:val="21"/>
              </w:rPr>
              <w:t>语义漂移</w:t>
            </w:r>
          </w:p>
        </w:tc>
        <w:tc>
          <w:tcPr>
            <w:tcW w:type="dxa" w:w="3009"/>
          </w:tcPr>
          <w:p>
            <w:pPr>
              <w:jc w:val="center"/>
            </w:pPr>
            <w:r/>
            <w:r>
              <w:rPr>
                <w:rFonts w:ascii="宋体" w:hAnsi="宋体" w:eastAsia="宋体"/>
                <w:b w:val="0"/>
                <w:color w:val="000000"/>
                <w:sz w:val="21"/>
              </w:rPr>
              <w:t>sim(E(q),E(d))−y_qd</w:t>
            </w:r>
          </w:p>
        </w:tc>
        <w:tc>
          <w:tcPr>
            <w:tcW w:type="dxa" w:w="3009"/>
          </w:tcPr>
          <w:p>
            <w:pPr>
              <w:jc w:val="center"/>
            </w:pPr>
            <w:r/>
            <w:r>
              <w:rPr>
                <w:rFonts w:ascii="宋体" w:hAnsi="宋体" w:eastAsia="宋体"/>
                <w:b w:val="0"/>
                <w:color w:val="000000"/>
                <w:sz w:val="21"/>
              </w:rPr>
              <w:t>L_drift：约束相似度与人工相关性一致</w:t>
            </w:r>
          </w:p>
        </w:tc>
      </w:tr>
      <w:tr>
        <w:tc>
          <w:tcPr>
            <w:tcW w:type="dxa" w:w="3009"/>
          </w:tcPr>
          <w:p>
            <w:pPr>
              <w:jc w:val="center"/>
            </w:pPr>
            <w:r/>
            <w:r>
              <w:rPr>
                <w:rFonts w:ascii="宋体" w:hAnsi="宋体" w:eastAsia="宋体"/>
                <w:b w:val="0"/>
                <w:color w:val="000000"/>
                <w:sz w:val="21"/>
              </w:rPr>
              <w:t>信息气味失真</w:t>
            </w:r>
          </w:p>
        </w:tc>
        <w:tc>
          <w:tcPr>
            <w:tcW w:type="dxa" w:w="3009"/>
          </w:tcPr>
          <w:p>
            <w:pPr>
              <w:jc w:val="center"/>
            </w:pPr>
            <w:r/>
            <w:r>
              <w:rPr>
                <w:rFonts w:ascii="宋体" w:hAnsi="宋体" w:eastAsia="宋体"/>
                <w:b w:val="0"/>
                <w:color w:val="000000"/>
                <w:sz w:val="21"/>
              </w:rPr>
              <w:t>用户对结果相关性的误判</w:t>
            </w:r>
          </w:p>
        </w:tc>
        <w:tc>
          <w:tcPr>
            <w:tcW w:type="dxa" w:w="3009"/>
          </w:tcPr>
          <w:p>
            <w:pPr>
              <w:jc w:val="center"/>
            </w:pPr>
            <w:r/>
            <w:r>
              <w:rPr>
                <w:rFonts w:ascii="宋体" w:hAnsi="宋体" w:eastAsia="宋体"/>
                <w:b w:val="0"/>
                <w:color w:val="000000"/>
                <w:sz w:val="21"/>
              </w:rPr>
              <w:t>KG_Enhance：通过实体路径提升可理解性</w:t>
            </w:r>
          </w:p>
        </w:tc>
      </w:tr>
    </w:tbl>
    <w:p/>
    <w:p>
      <w:pPr>
        <w:spacing w:line="360" w:lineRule="auto" w:before="240" w:after="120"/>
        <w:ind w:firstLine="0"/>
        <w:jc w:val="left"/>
      </w:pPr>
      <w:r>
        <w:rPr>
          <w:rFonts w:ascii="黑体" w:hAnsi="黑体" w:eastAsia="黑体"/>
          <w:b/>
          <w:color w:val="000000"/>
          <w:sz w:val="28"/>
        </w:rPr>
        <w:t>4  方法设计</w:t>
      </w:r>
    </w:p>
    <w:p>
      <w:pPr>
        <w:spacing w:line="360" w:lineRule="auto" w:before="120" w:after="120"/>
        <w:ind w:firstLine="0"/>
        <w:jc w:val="left"/>
      </w:pPr>
      <w:r>
        <w:rPr>
          <w:rFonts w:ascii="黑体" w:hAnsi="黑体" w:eastAsia="黑体"/>
          <w:b/>
          <w:color w:val="000000"/>
          <w:sz w:val="24"/>
        </w:rPr>
        <w:t>4.1  整体框架</w:t>
      </w:r>
    </w:p>
    <w:p>
      <w:pPr>
        <w:spacing w:line="360" w:lineRule="auto" w:after="120"/>
        <w:ind w:firstLine="420"/>
        <w:jc w:val="both"/>
      </w:pPr>
      <w:r>
        <w:rPr>
          <w:rFonts w:ascii="宋体" w:hAnsi="宋体" w:eastAsia="宋体"/>
          <w:b w:val="0"/>
          <w:color w:val="000000"/>
          <w:sz w:val="24"/>
        </w:rPr>
        <w:t>本文方法（DriftSup+KG）由五个模块组成（见图1）：多语种编码模块、语义漂移测量模块、对抗漂移抑制模块、知识图谱增强模块和重排序融合模块。</w:t>
      </w:r>
    </w:p>
    <w:p>
      <w:pPr>
        <w:jc w:val="center"/>
      </w:pPr>
      <w:r>
        <w:drawing>
          <wp:inline xmlns:a="http://schemas.openxmlformats.org/drawingml/2006/main" xmlns:pic="http://schemas.openxmlformats.org/drawingml/2006/picture">
            <wp:extent cx="5303520" cy="3110555"/>
            <wp:docPr id="1" name="Picture 1"/>
            <wp:cNvGraphicFramePr>
              <a:graphicFrameLocks noChangeAspect="1"/>
            </wp:cNvGraphicFramePr>
            <a:graphic>
              <a:graphicData uri="http://schemas.openxmlformats.org/drawingml/2006/picture">
                <pic:pic>
                  <pic:nvPicPr>
                    <pic:cNvPr id="0" name="fig1_framework.png"/>
                    <pic:cNvPicPr/>
                  </pic:nvPicPr>
                  <pic:blipFill>
                    <a:blip r:embed="rId9"/>
                    <a:stretch>
                      <a:fillRect/>
                    </a:stretch>
                  </pic:blipFill>
                  <pic:spPr>
                    <a:xfrm>
                      <a:off x="0" y="0"/>
                      <a:ext cx="5303520" cy="3110555"/>
                    </a:xfrm>
                    <a:prstGeom prst="rect"/>
                  </pic:spPr>
                </pic:pic>
              </a:graphicData>
            </a:graphic>
          </wp:inline>
        </w:drawing>
      </w:r>
    </w:p>
    <w:p>
      <w:pPr>
        <w:spacing w:after="240"/>
        <w:jc w:val="center"/>
      </w:pPr>
      <w:r>
        <w:rPr>
          <w:rFonts w:ascii="宋体" w:hAnsi="宋体" w:eastAsia="宋体"/>
          <w:b w:val="0"/>
          <w:color w:val="000000"/>
          <w:sz w:val="21"/>
        </w:rPr>
        <w:t>图1  语义漂移抑制与知识图谱增强重排序总体框架</w:t>
      </w:r>
    </w:p>
    <w:p>
      <w:pPr>
        <w:spacing w:line="360" w:lineRule="auto" w:before="120" w:after="120"/>
        <w:ind w:firstLine="0"/>
        <w:jc w:val="left"/>
      </w:pPr>
      <w:r>
        <w:rPr>
          <w:rFonts w:ascii="黑体" w:hAnsi="黑体" w:eastAsia="黑体"/>
          <w:b/>
          <w:color w:val="000000"/>
          <w:sz w:val="24"/>
        </w:rPr>
        <w:t>4.2  编码器与轻量微调策略</w:t>
      </w:r>
    </w:p>
    <w:p>
      <w:pPr>
        <w:spacing w:line="360" w:lineRule="auto" w:after="120"/>
        <w:ind w:firstLine="420"/>
        <w:jc w:val="both"/>
      </w:pPr>
      <w:r>
        <w:rPr>
          <w:rFonts w:ascii="宋体" w:hAnsi="宋体" w:eastAsia="宋体"/>
          <w:b w:val="0"/>
          <w:color w:val="000000"/>
          <w:sz w:val="24"/>
        </w:rPr>
        <w:t>考虑到仅有50个标准化测试查询，若直接对XLM-RoBERTa-large（550M参数）进行全参数微调，存在高过拟合风险。本文采用"冻结主干编码器+轻量投影层训练"策略：编码器E选用multilingual-e5-large（默认，隐藏维度1024）；训练阶段冻结全部Transformer层，仅训练投影层W_p（1024→512）、语言判别器D_lang和重排序层f_rank。投影后的向量表示为h_x=W_p·E(x)，检索相似度采用余弦相似度：score_ret(q,d)=cos(h_q,h_d)。</w:t>
      </w:r>
    </w:p>
    <w:p>
      <w:pPr>
        <w:spacing w:line="360" w:lineRule="auto" w:before="120" w:after="120"/>
        <w:ind w:firstLine="0"/>
        <w:jc w:val="left"/>
      </w:pPr>
      <w:r>
        <w:rPr>
          <w:rFonts w:ascii="黑体" w:hAnsi="黑体" w:eastAsia="黑体"/>
          <w:b/>
          <w:color w:val="000000"/>
          <w:sz w:val="24"/>
        </w:rPr>
        <w:t>4.3  总损失函数</w:t>
      </w:r>
    </w:p>
    <w:p>
      <w:pPr>
        <w:spacing w:line="360" w:lineRule="auto" w:after="120"/>
        <w:ind w:firstLine="420"/>
        <w:jc w:val="both"/>
      </w:pPr>
      <w:r>
        <w:rPr>
          <w:rFonts w:ascii="宋体" w:hAnsi="宋体" w:eastAsia="宋体"/>
          <w:b w:val="0"/>
          <w:color w:val="000000"/>
          <w:sz w:val="24"/>
        </w:rPr>
        <w:t>本文总损失函数定义为：</w:t>
      </w:r>
    </w:p>
    <w:p>
      <w:pPr>
        <w:spacing w:line="360" w:lineRule="auto" w:after="120"/>
        <w:jc w:val="center"/>
      </w:pPr>
      <w:r>
        <w:rPr>
          <w:rFonts w:ascii="宋体" w:hAnsi="宋体" w:eastAsia="宋体"/>
          <w:b w:val="0"/>
          <w:color w:val="000000"/>
          <w:sz w:val="24"/>
        </w:rPr>
        <w:t>L_total = L_rank + β·L_align + γ·L_drift + μ·L_adv + η·L_kg</w:t>
      </w:r>
    </w:p>
    <w:p>
      <w:pPr>
        <w:spacing w:line="360" w:lineRule="auto" w:after="120"/>
        <w:ind w:firstLine="420"/>
        <w:jc w:val="both"/>
      </w:pPr>
      <w:r>
        <w:rPr>
          <w:rFonts w:ascii="宋体" w:hAnsi="宋体" w:eastAsia="宋体"/>
          <w:b w:val="0"/>
          <w:color w:val="000000"/>
          <w:sz w:val="24"/>
        </w:rPr>
        <w:t>其中，L_rank为pairwise hinge排序损失；L_align为跨语言正样本对齐损失（同主题跨语种文献对）；L_drift=(1/N)·Σ(sim(E(q),E(d))−y_qd)²为漂移约束；L_adv为语言对抗损失，通过梯度反转层（GRL）使语言判别器难以识别输入语种；L_kg为知识图谱一致性损失。各权重β=0.3、γ=0.5、μ=0.2、η=0.1通过5折交叉验证确定。</w:t>
      </w:r>
    </w:p>
    <w:p>
      <w:pPr>
        <w:spacing w:line="360" w:lineRule="auto" w:before="120" w:after="120"/>
        <w:ind w:firstLine="0"/>
        <w:jc w:val="left"/>
      </w:pPr>
      <w:r>
        <w:rPr>
          <w:rFonts w:ascii="黑体" w:hAnsi="黑体" w:eastAsia="黑体"/>
          <w:b/>
          <w:color w:val="000000"/>
          <w:sz w:val="24"/>
        </w:rPr>
        <w:t>4.4  KG_Enhance计算公式</w:t>
      </w:r>
    </w:p>
    <w:p>
      <w:pPr>
        <w:spacing w:line="360" w:lineRule="auto" w:after="120"/>
        <w:ind w:firstLine="420"/>
        <w:jc w:val="both"/>
      </w:pPr>
      <w:r>
        <w:rPr>
          <w:rFonts w:ascii="宋体" w:hAnsi="宋体" w:eastAsia="宋体"/>
          <w:b w:val="0"/>
          <w:color w:val="000000"/>
          <w:sz w:val="24"/>
        </w:rPr>
        <w:t>知识图谱增强拆解为实体抽取、实体对齐、路径评分和分数融合四步。对查询q和文档d抽取实体集合E_q和E_d（类型包括国家/地区、机构、政策术语、学科主题等）。跨语言实体对齐分数为：</w:t>
      </w:r>
    </w:p>
    <w:p>
      <w:pPr>
        <w:spacing w:line="360" w:lineRule="auto" w:after="120"/>
        <w:jc w:val="center"/>
      </w:pPr>
      <w:r>
        <w:rPr>
          <w:rFonts w:ascii="宋体" w:hAnsi="宋体" w:eastAsia="宋体"/>
          <w:b w:val="0"/>
          <w:color w:val="000000"/>
          <w:sz w:val="24"/>
        </w:rPr>
        <w:t>align(eᵢ,eⱼ) = δ₁·sim_name + δ₂·sim_embed + δ₃·sim_context + δ₄·sim_relation</w:t>
      </w:r>
    </w:p>
    <w:p>
      <w:pPr>
        <w:spacing w:line="360" w:lineRule="auto" w:after="120"/>
        <w:ind w:firstLine="420"/>
        <w:jc w:val="both"/>
      </w:pPr>
      <w:r>
        <w:rPr>
          <w:rFonts w:ascii="宋体" w:hAnsi="宋体" w:eastAsia="宋体"/>
          <w:b w:val="0"/>
          <w:color w:val="000000"/>
          <w:sz w:val="24"/>
        </w:rPr>
        <w:t>实体路径强度path(eᵢ,eⱼ)：直接对齐或同义关系时path=1；经k跳路径连接时path=exp(−ρk)；无有效路径时path=0。查询—文档知识图谱相关度为：</w:t>
      </w:r>
    </w:p>
    <w:p>
      <w:pPr>
        <w:spacing w:line="360" w:lineRule="auto" w:after="120"/>
        <w:jc w:val="center"/>
      </w:pPr>
      <w:r>
        <w:rPr>
          <w:rFonts w:ascii="宋体" w:hAnsi="宋体" w:eastAsia="宋体"/>
          <w:b w:val="0"/>
          <w:color w:val="000000"/>
          <w:sz w:val="24"/>
        </w:rPr>
        <w:t>score_kg(q,d) = (1/(|E_q|·|E_d|)) · Σ_{eᵢ∈E_q} Σ_{eⱼ∈E_d} align(eᵢ,eⱼ)·path(eᵢ,eⱼ)</w:t>
      </w:r>
    </w:p>
    <w:p>
      <w:pPr>
        <w:spacing w:line="360" w:lineRule="auto" w:after="120"/>
        <w:ind w:firstLine="420"/>
        <w:jc w:val="both"/>
      </w:pPr>
      <w:r>
        <w:rPr>
          <w:rFonts w:ascii="宋体" w:hAnsi="宋体" w:eastAsia="宋体"/>
          <w:b w:val="0"/>
          <w:color w:val="000000"/>
          <w:sz w:val="24"/>
        </w:rPr>
        <w:t>对score_ret和score_kg做min-max归一化后融合：score_final(q,d)=α·norm(score_ret)+(1−α)·norm(score_kg)，α=0.65通过验证集网格搜索确定。</w:t>
      </w:r>
    </w:p>
    <w:p>
      <w:pPr>
        <w:spacing w:line="360" w:lineRule="auto" w:before="120" w:after="120"/>
        <w:ind w:firstLine="0"/>
        <w:jc w:val="left"/>
      </w:pPr>
      <w:r>
        <w:rPr>
          <w:rFonts w:ascii="黑体" w:hAnsi="黑体" w:eastAsia="黑体"/>
          <w:b/>
          <w:color w:val="000000"/>
          <w:sz w:val="24"/>
        </w:rPr>
        <w:t>4.5  算法流程</w:t>
      </w:r>
    </w:p>
    <w:p>
      <w:pPr>
        <w:jc w:val="center"/>
      </w:pPr>
      <w:r>
        <w:rPr>
          <w:rFonts w:ascii="宋体" w:hAnsi="宋体" w:eastAsia="宋体"/>
          <w:b/>
          <w:color w:val="000000"/>
          <w:sz w:val="21"/>
        </w:rPr>
        <w:t>表2  DriftSup+KG算法流程</w:t>
      </w:r>
    </w:p>
    <w:tbl>
      <w:tblPr>
        <w:tblW w:type="auto" w:w="0"/>
        <w:jc w:val="center"/>
        <w:tblLook w:firstColumn="1" w:firstRow="1" w:lastColumn="0" w:lastRow="0" w:noHBand="0" w:noVBand="1" w:val="04A0"/>
        <w:tblBorders>
          <w:top w:val="single" w:sz="12" w:color="000000"/>
          <w:bottom w:val="single" w:sz="12" w:color="000000"/>
          <w:left w:val="nil"/>
          <w:right w:val="nil"/>
          <w:insideV w:val="nil"/>
          <w:insideH w:val="nil"/>
        </w:tblBorders>
      </w:tblPr>
      <w:tblGrid>
        <w:gridCol w:w="3009"/>
        <w:gridCol w:w="3009"/>
        <w:gridCol w:w="3009"/>
      </w:tblGrid>
      <w:tr>
        <w:tc>
          <w:tcPr>
            <w:tcW w:type="dxa" w:w="3009"/>
          </w:tcPr>
          <w:p>
            <w:pPr>
              <w:jc w:val="center"/>
            </w:pPr>
            <w:r/>
            <w:r>
              <w:rPr>
                <w:rFonts w:ascii="宋体" w:hAnsi="宋体" w:eastAsia="宋体"/>
                <w:b/>
                <w:color w:val="000000"/>
                <w:sz w:val="21"/>
              </w:rPr>
              <w:t>步骤</w:t>
            </w:r>
          </w:p>
        </w:tc>
        <w:tc>
          <w:tcPr>
            <w:tcW w:type="dxa" w:w="3009"/>
          </w:tcPr>
          <w:p>
            <w:pPr>
              <w:jc w:val="center"/>
            </w:pPr>
            <w:r/>
            <w:r>
              <w:rPr>
                <w:rFonts w:ascii="宋体" w:hAnsi="宋体" w:eastAsia="宋体"/>
                <w:b/>
                <w:color w:val="000000"/>
                <w:sz w:val="21"/>
              </w:rPr>
              <w:t>操作</w:t>
            </w:r>
          </w:p>
        </w:tc>
        <w:tc>
          <w:tcPr>
            <w:tcW w:type="dxa" w:w="3009"/>
          </w:tcPr>
          <w:p>
            <w:pPr>
              <w:jc w:val="center"/>
            </w:pPr>
            <w:r/>
            <w:r>
              <w:rPr>
                <w:rFonts w:ascii="宋体" w:hAnsi="宋体" w:eastAsia="宋体"/>
                <w:b/>
                <w:color w:val="000000"/>
                <w:sz w:val="21"/>
              </w:rPr>
              <w:t>输出</w:t>
            </w:r>
          </w:p>
        </w:tc>
      </w:tr>
      <w:tr>
        <w:tc>
          <w:tcPr>
            <w:tcW w:type="dxa" w:w="3009"/>
          </w:tcPr>
          <w:p>
            <w:pPr>
              <w:jc w:val="center"/>
            </w:pPr>
            <w:r/>
            <w:r>
              <w:rPr>
                <w:rFonts w:ascii="宋体" w:hAnsi="宋体" w:eastAsia="宋体"/>
                <w:b w:val="0"/>
                <w:color w:val="000000"/>
                <w:sz w:val="21"/>
              </w:rPr>
              <w:t>1</w:t>
            </w:r>
          </w:p>
        </w:tc>
        <w:tc>
          <w:tcPr>
            <w:tcW w:type="dxa" w:w="3009"/>
          </w:tcPr>
          <w:p>
            <w:pPr>
              <w:jc w:val="center"/>
            </w:pPr>
            <w:r/>
            <w:r>
              <w:rPr>
                <w:rFonts w:ascii="宋体" w:hAnsi="宋体" w:eastAsia="宋体"/>
                <w:b w:val="0"/>
                <w:color w:val="000000"/>
                <w:sz w:val="21"/>
              </w:rPr>
              <w:t>输入查询q、候选文献集C、多语言知识图谱G</w:t>
            </w:r>
          </w:p>
        </w:tc>
        <w:tc>
          <w:tcPr>
            <w:tcW w:type="dxa" w:w="3009"/>
          </w:tcPr>
          <w:p>
            <w:pPr>
              <w:jc w:val="center"/>
            </w:pPr>
            <w:r/>
            <w:r>
              <w:rPr>
                <w:rFonts w:ascii="宋体" w:hAnsi="宋体" w:eastAsia="宋体"/>
                <w:b w:val="0"/>
                <w:color w:val="000000"/>
                <w:sz w:val="21"/>
              </w:rPr>
              <w:t>—</w:t>
            </w:r>
          </w:p>
        </w:tc>
      </w:tr>
      <w:tr>
        <w:tc>
          <w:tcPr>
            <w:tcW w:type="dxa" w:w="3009"/>
          </w:tcPr>
          <w:p>
            <w:pPr>
              <w:jc w:val="center"/>
            </w:pPr>
            <w:r/>
            <w:r>
              <w:rPr>
                <w:rFonts w:ascii="宋体" w:hAnsi="宋体" w:eastAsia="宋体"/>
                <w:b w:val="0"/>
                <w:color w:val="000000"/>
                <w:sz w:val="21"/>
              </w:rPr>
              <w:t>2</w:t>
            </w:r>
          </w:p>
        </w:tc>
        <w:tc>
          <w:tcPr>
            <w:tcW w:type="dxa" w:w="3009"/>
          </w:tcPr>
          <w:p>
            <w:pPr>
              <w:jc w:val="center"/>
            </w:pPr>
            <w:r/>
            <w:r>
              <w:rPr>
                <w:rFonts w:ascii="宋体" w:hAnsi="宋体" w:eastAsia="宋体"/>
                <w:b w:val="0"/>
                <w:color w:val="000000"/>
                <w:sz w:val="21"/>
              </w:rPr>
              <w:t>编码器E得到h_q和h_d，计算score_ret</w:t>
            </w:r>
          </w:p>
        </w:tc>
        <w:tc>
          <w:tcPr>
            <w:tcW w:type="dxa" w:w="3009"/>
          </w:tcPr>
          <w:p>
            <w:pPr>
              <w:jc w:val="center"/>
            </w:pPr>
            <w:r/>
            <w:r>
              <w:rPr>
                <w:rFonts w:ascii="宋体" w:hAnsi="宋体" w:eastAsia="宋体"/>
                <w:b w:val="0"/>
                <w:color w:val="000000"/>
                <w:sz w:val="21"/>
              </w:rPr>
              <w:t>初始排序分数</w:t>
            </w:r>
          </w:p>
        </w:tc>
      </w:tr>
      <w:tr>
        <w:tc>
          <w:tcPr>
            <w:tcW w:type="dxa" w:w="3009"/>
          </w:tcPr>
          <w:p>
            <w:pPr>
              <w:jc w:val="center"/>
            </w:pPr>
            <w:r/>
            <w:r>
              <w:rPr>
                <w:rFonts w:ascii="宋体" w:hAnsi="宋体" w:eastAsia="宋体"/>
                <w:b w:val="0"/>
                <w:color w:val="000000"/>
                <w:sz w:val="21"/>
              </w:rPr>
              <w:t>3</w:t>
            </w:r>
          </w:p>
        </w:tc>
        <w:tc>
          <w:tcPr>
            <w:tcW w:type="dxa" w:w="3009"/>
          </w:tcPr>
          <w:p>
            <w:pPr>
              <w:jc w:val="center"/>
            </w:pPr>
            <w:r/>
            <w:r>
              <w:rPr>
                <w:rFonts w:ascii="宋体" w:hAnsi="宋体" w:eastAsia="宋体"/>
                <w:b w:val="0"/>
                <w:color w:val="000000"/>
                <w:sz w:val="21"/>
              </w:rPr>
              <w:t>对q和d抽取实体集合，完成跨语言实体对齐</w:t>
            </w:r>
          </w:p>
        </w:tc>
        <w:tc>
          <w:tcPr>
            <w:tcW w:type="dxa" w:w="3009"/>
          </w:tcPr>
          <w:p>
            <w:pPr>
              <w:jc w:val="center"/>
            </w:pPr>
            <w:r/>
            <w:r>
              <w:rPr>
                <w:rFonts w:ascii="宋体" w:hAnsi="宋体" w:eastAsia="宋体"/>
                <w:b w:val="0"/>
                <w:color w:val="000000"/>
                <w:sz w:val="21"/>
              </w:rPr>
              <w:t>E_q, E_d</w:t>
            </w:r>
          </w:p>
        </w:tc>
      </w:tr>
      <w:tr>
        <w:tc>
          <w:tcPr>
            <w:tcW w:type="dxa" w:w="3009"/>
          </w:tcPr>
          <w:p>
            <w:pPr>
              <w:jc w:val="center"/>
            </w:pPr>
            <w:r/>
            <w:r>
              <w:rPr>
                <w:rFonts w:ascii="宋体" w:hAnsi="宋体" w:eastAsia="宋体"/>
                <w:b w:val="0"/>
                <w:color w:val="000000"/>
                <w:sz w:val="21"/>
              </w:rPr>
              <w:t>4</w:t>
            </w:r>
          </w:p>
        </w:tc>
        <w:tc>
          <w:tcPr>
            <w:tcW w:type="dxa" w:w="3009"/>
          </w:tcPr>
          <w:p>
            <w:pPr>
              <w:jc w:val="center"/>
            </w:pPr>
            <w:r/>
            <w:r>
              <w:rPr>
                <w:rFonts w:ascii="宋体" w:hAnsi="宋体" w:eastAsia="宋体"/>
                <w:b w:val="0"/>
                <w:color w:val="000000"/>
                <w:sz w:val="21"/>
              </w:rPr>
              <w:t>计算align、path和score_kg</w:t>
            </w:r>
          </w:p>
        </w:tc>
        <w:tc>
          <w:tcPr>
            <w:tcW w:type="dxa" w:w="3009"/>
          </w:tcPr>
          <w:p>
            <w:pPr>
              <w:jc w:val="center"/>
            </w:pPr>
            <w:r/>
            <w:r>
              <w:rPr>
                <w:rFonts w:ascii="宋体" w:hAnsi="宋体" w:eastAsia="宋体"/>
                <w:b w:val="0"/>
                <w:color w:val="000000"/>
                <w:sz w:val="21"/>
              </w:rPr>
              <w:t>KG增强分数</w:t>
            </w:r>
          </w:p>
        </w:tc>
      </w:tr>
      <w:tr>
        <w:tc>
          <w:tcPr>
            <w:tcW w:type="dxa" w:w="3009"/>
          </w:tcPr>
          <w:p>
            <w:pPr>
              <w:jc w:val="center"/>
            </w:pPr>
            <w:r/>
            <w:r>
              <w:rPr>
                <w:rFonts w:ascii="宋体" w:hAnsi="宋体" w:eastAsia="宋体"/>
                <w:b w:val="0"/>
                <w:color w:val="000000"/>
                <w:sz w:val="21"/>
              </w:rPr>
              <w:t>5</w:t>
            </w:r>
          </w:p>
        </w:tc>
        <w:tc>
          <w:tcPr>
            <w:tcW w:type="dxa" w:w="3009"/>
          </w:tcPr>
          <w:p>
            <w:pPr>
              <w:jc w:val="center"/>
            </w:pPr>
            <w:r/>
            <w:r>
              <w:rPr>
                <w:rFonts w:ascii="宋体" w:hAnsi="宋体" w:eastAsia="宋体"/>
                <w:b w:val="0"/>
                <w:color w:val="000000"/>
                <w:sz w:val="21"/>
              </w:rPr>
              <w:t>归一化score_ret与score_kg，按α融合</w:t>
            </w:r>
          </w:p>
        </w:tc>
        <w:tc>
          <w:tcPr>
            <w:tcW w:type="dxa" w:w="3009"/>
          </w:tcPr>
          <w:p>
            <w:pPr>
              <w:jc w:val="center"/>
            </w:pPr>
            <w:r/>
            <w:r>
              <w:rPr>
                <w:rFonts w:ascii="宋体" w:hAnsi="宋体" w:eastAsia="宋体"/>
                <w:b w:val="0"/>
                <w:color w:val="000000"/>
                <w:sz w:val="21"/>
              </w:rPr>
              <w:t>score_final</w:t>
            </w:r>
          </w:p>
        </w:tc>
      </w:tr>
      <w:tr>
        <w:tc>
          <w:tcPr>
            <w:tcW w:type="dxa" w:w="3009"/>
          </w:tcPr>
          <w:p>
            <w:pPr>
              <w:jc w:val="center"/>
            </w:pPr>
            <w:r/>
            <w:r>
              <w:rPr>
                <w:rFonts w:ascii="宋体" w:hAnsi="宋体" w:eastAsia="宋体"/>
                <w:b w:val="0"/>
                <w:color w:val="000000"/>
                <w:sz w:val="21"/>
              </w:rPr>
              <w:t>6</w:t>
            </w:r>
          </w:p>
        </w:tc>
        <w:tc>
          <w:tcPr>
            <w:tcW w:type="dxa" w:w="3009"/>
          </w:tcPr>
          <w:p>
            <w:pPr>
              <w:jc w:val="center"/>
            </w:pPr>
            <w:r/>
            <w:r>
              <w:rPr>
                <w:rFonts w:ascii="宋体" w:hAnsi="宋体" w:eastAsia="宋体"/>
                <w:b w:val="0"/>
                <w:color w:val="000000"/>
                <w:sz w:val="21"/>
              </w:rPr>
              <w:t>按score_final降序输出Top-k，返回实体解释路径</w:t>
            </w:r>
          </w:p>
        </w:tc>
        <w:tc>
          <w:tcPr>
            <w:tcW w:type="dxa" w:w="3009"/>
          </w:tcPr>
          <w:p>
            <w:pPr>
              <w:jc w:val="center"/>
            </w:pPr>
            <w:r/>
            <w:r>
              <w:rPr>
                <w:rFonts w:ascii="宋体" w:hAnsi="宋体" w:eastAsia="宋体"/>
                <w:b w:val="0"/>
                <w:color w:val="000000"/>
                <w:sz w:val="21"/>
              </w:rPr>
              <w:t>排序结果R</w:t>
            </w:r>
          </w:p>
        </w:tc>
      </w:tr>
    </w:tbl>
    <w:p/>
    <w:p>
      <w:pPr>
        <w:spacing w:line="360" w:lineRule="auto" w:before="240" w:after="120"/>
        <w:ind w:firstLine="0"/>
        <w:jc w:val="left"/>
      </w:pPr>
      <w:r>
        <w:rPr>
          <w:rFonts w:ascii="黑体" w:hAnsi="黑体" w:eastAsia="黑体"/>
          <w:b/>
          <w:color w:val="000000"/>
          <w:sz w:val="28"/>
        </w:rPr>
        <w:t>5  数据集与实验设置</w:t>
      </w:r>
    </w:p>
    <w:p>
      <w:pPr>
        <w:spacing w:line="360" w:lineRule="auto" w:before="120" w:after="120"/>
        <w:ind w:firstLine="0"/>
        <w:jc w:val="left"/>
      </w:pPr>
      <w:r>
        <w:rPr>
          <w:rFonts w:ascii="黑体" w:hAnsi="黑体" w:eastAsia="黑体"/>
          <w:b/>
          <w:color w:val="000000"/>
          <w:sz w:val="24"/>
        </w:rPr>
        <w:t>5.1  语料来源与数据集概况</w:t>
      </w:r>
    </w:p>
    <w:p>
      <w:pPr>
        <w:spacing w:line="360" w:lineRule="auto" w:after="120"/>
        <w:ind w:firstLine="420"/>
        <w:jc w:val="both"/>
      </w:pPr>
      <w:r>
        <w:rPr>
          <w:rFonts w:ascii="宋体" w:hAnsi="宋体" w:eastAsia="宋体"/>
          <w:b w:val="0"/>
          <w:color w:val="000000"/>
          <w:sz w:val="24"/>
        </w:rPr>
        <w:t>本文构建"一带一路"相关多语种学术文献语料BRI-MAIR。语料来源包括Web of Science、CNKI、eLibrary.ru、阿拉伯学术期刊数据库和SciELO。纳入标准：标题、摘要或关键词与"一带一路"、区域合作、跨境基础设施、国际贸易、文化交流等主题相关；发表时间为2018—2024年。经去重后获得52,847篇文献。</w:t>
      </w:r>
    </w:p>
    <w:p>
      <w:pPr>
        <w:jc w:val="center"/>
      </w:pPr>
      <w:r>
        <w:rPr>
          <w:rFonts w:ascii="宋体" w:hAnsi="宋体" w:eastAsia="宋体"/>
          <w:b/>
          <w:color w:val="000000"/>
          <w:sz w:val="21"/>
        </w:rPr>
        <w:t>表3  BRI-MAIR数据集概况</w:t>
      </w:r>
    </w:p>
    <w:tbl>
      <w:tblPr>
        <w:tblW w:type="auto" w:w="0"/>
        <w:jc w:val="center"/>
        <w:tblLook w:firstColumn="1" w:firstRow="1" w:lastColumn="0" w:lastRow="0" w:noHBand="0" w:noVBand="1" w:val="04A0"/>
        <w:tblBorders>
          <w:top w:val="single" w:sz="12" w:color="000000"/>
          <w:bottom w:val="single" w:sz="12" w:color="000000"/>
          <w:left w:val="nil"/>
          <w:right w:val="nil"/>
          <w:insideV w:val="nil"/>
          <w:insideH w:val="nil"/>
        </w:tblBorders>
      </w:tblPr>
      <w:tblGrid>
        <w:gridCol w:w="4513"/>
        <w:gridCol w:w="4513"/>
      </w:tblGrid>
      <w:tr>
        <w:tc>
          <w:tcPr>
            <w:tcW w:type="dxa" w:w="4513"/>
          </w:tcPr>
          <w:p>
            <w:pPr>
              <w:jc w:val="center"/>
            </w:pPr>
            <w:r/>
            <w:r>
              <w:rPr>
                <w:rFonts w:ascii="宋体" w:hAnsi="宋体" w:eastAsia="宋体"/>
                <w:b/>
                <w:color w:val="000000"/>
                <w:sz w:val="21"/>
              </w:rPr>
              <w:t>项目</w:t>
            </w:r>
          </w:p>
        </w:tc>
        <w:tc>
          <w:tcPr>
            <w:tcW w:type="dxa" w:w="4513"/>
          </w:tcPr>
          <w:p>
            <w:pPr>
              <w:jc w:val="center"/>
            </w:pPr>
            <w:r/>
            <w:r>
              <w:rPr>
                <w:rFonts w:ascii="宋体" w:hAnsi="宋体" w:eastAsia="宋体"/>
                <w:b/>
                <w:color w:val="000000"/>
                <w:sz w:val="21"/>
              </w:rPr>
              <w:t>说明</w:t>
            </w:r>
          </w:p>
        </w:tc>
      </w:tr>
      <w:tr>
        <w:tc>
          <w:tcPr>
            <w:tcW w:type="dxa" w:w="4513"/>
          </w:tcPr>
          <w:p>
            <w:pPr>
              <w:jc w:val="center"/>
            </w:pPr>
            <w:r/>
            <w:r>
              <w:rPr>
                <w:rFonts w:ascii="宋体" w:hAnsi="宋体" w:eastAsia="宋体"/>
                <w:b w:val="0"/>
                <w:color w:val="000000"/>
                <w:sz w:val="21"/>
              </w:rPr>
              <w:t>总文献数</w:t>
            </w:r>
          </w:p>
        </w:tc>
        <w:tc>
          <w:tcPr>
            <w:tcW w:type="dxa" w:w="4513"/>
          </w:tcPr>
          <w:p>
            <w:pPr>
              <w:jc w:val="center"/>
            </w:pPr>
            <w:r/>
            <w:r>
              <w:rPr>
                <w:rFonts w:ascii="宋体" w:hAnsi="宋体" w:eastAsia="宋体"/>
                <w:b w:val="0"/>
                <w:color w:val="000000"/>
                <w:sz w:val="21"/>
              </w:rPr>
              <w:t>52,847篇</w:t>
            </w:r>
          </w:p>
        </w:tc>
      </w:tr>
      <w:tr>
        <w:tc>
          <w:tcPr>
            <w:tcW w:type="dxa" w:w="4513"/>
          </w:tcPr>
          <w:p>
            <w:pPr>
              <w:jc w:val="center"/>
            </w:pPr>
            <w:r/>
            <w:r>
              <w:rPr>
                <w:rFonts w:ascii="宋体" w:hAnsi="宋体" w:eastAsia="宋体"/>
                <w:b w:val="0"/>
                <w:color w:val="000000"/>
                <w:sz w:val="21"/>
              </w:rPr>
              <w:t>语言分布</w:t>
            </w:r>
          </w:p>
        </w:tc>
        <w:tc>
          <w:tcPr>
            <w:tcW w:type="dxa" w:w="4513"/>
          </w:tcPr>
          <w:p>
            <w:pPr>
              <w:jc w:val="center"/>
            </w:pPr>
            <w:r/>
            <w:r>
              <w:rPr>
                <w:rFonts w:ascii="宋体" w:hAnsi="宋体" w:eastAsia="宋体"/>
                <w:b w:val="0"/>
                <w:color w:val="000000"/>
                <w:sz w:val="21"/>
              </w:rPr>
              <w:t>中文32%，英语28%，俄语18%，阿拉伯语12%，西班牙语10%</w:t>
            </w:r>
          </w:p>
        </w:tc>
      </w:tr>
      <w:tr>
        <w:tc>
          <w:tcPr>
            <w:tcW w:type="dxa" w:w="4513"/>
          </w:tcPr>
          <w:p>
            <w:pPr>
              <w:jc w:val="center"/>
            </w:pPr>
            <w:r/>
            <w:r>
              <w:rPr>
                <w:rFonts w:ascii="宋体" w:hAnsi="宋体" w:eastAsia="宋体"/>
                <w:b w:val="0"/>
                <w:color w:val="000000"/>
                <w:sz w:val="21"/>
              </w:rPr>
              <w:t>学科分布</w:t>
            </w:r>
          </w:p>
        </w:tc>
        <w:tc>
          <w:tcPr>
            <w:tcW w:type="dxa" w:w="4513"/>
          </w:tcPr>
          <w:p>
            <w:pPr>
              <w:jc w:val="center"/>
            </w:pPr>
            <w:r/>
            <w:r>
              <w:rPr>
                <w:rFonts w:ascii="宋体" w:hAnsi="宋体" w:eastAsia="宋体"/>
                <w:b w:val="0"/>
                <w:color w:val="000000"/>
                <w:sz w:val="21"/>
              </w:rPr>
              <w:t>经济32%，政治20%，环境18%，文化16%，其他14%</w:t>
            </w:r>
          </w:p>
        </w:tc>
      </w:tr>
      <w:tr>
        <w:tc>
          <w:tcPr>
            <w:tcW w:type="dxa" w:w="4513"/>
          </w:tcPr>
          <w:p>
            <w:pPr>
              <w:jc w:val="center"/>
            </w:pPr>
            <w:r/>
            <w:r>
              <w:rPr>
                <w:rFonts w:ascii="宋体" w:hAnsi="宋体" w:eastAsia="宋体"/>
                <w:b w:val="0"/>
                <w:color w:val="000000"/>
                <w:sz w:val="21"/>
              </w:rPr>
              <w:t>测试查询</w:t>
            </w:r>
          </w:p>
        </w:tc>
        <w:tc>
          <w:tcPr>
            <w:tcW w:type="dxa" w:w="4513"/>
          </w:tcPr>
          <w:p>
            <w:pPr>
              <w:jc w:val="center"/>
            </w:pPr>
            <w:r/>
            <w:r>
              <w:rPr>
                <w:rFonts w:ascii="宋体" w:hAnsi="宋体" w:eastAsia="宋体"/>
                <w:b w:val="0"/>
                <w:color w:val="000000"/>
                <w:sz w:val="21"/>
              </w:rPr>
              <w:t>50个标准化查询，覆盖5种语言</w:t>
            </w:r>
          </w:p>
        </w:tc>
      </w:tr>
      <w:tr>
        <w:tc>
          <w:tcPr>
            <w:tcW w:type="dxa" w:w="4513"/>
          </w:tcPr>
          <w:p>
            <w:pPr>
              <w:jc w:val="center"/>
            </w:pPr>
            <w:r/>
            <w:r>
              <w:rPr>
                <w:rFonts w:ascii="宋体" w:hAnsi="宋体" w:eastAsia="宋体"/>
                <w:b w:val="0"/>
                <w:color w:val="000000"/>
                <w:sz w:val="21"/>
              </w:rPr>
              <w:t>查询类型</w:t>
            </w:r>
          </w:p>
        </w:tc>
        <w:tc>
          <w:tcPr>
            <w:tcW w:type="dxa" w:w="4513"/>
          </w:tcPr>
          <w:p>
            <w:pPr>
              <w:jc w:val="center"/>
            </w:pPr>
            <w:r/>
            <w:r>
              <w:rPr>
                <w:rFonts w:ascii="宋体" w:hAnsi="宋体" w:eastAsia="宋体"/>
                <w:b w:val="0"/>
                <w:color w:val="000000"/>
                <w:sz w:val="21"/>
              </w:rPr>
              <w:t>文献发现30个，事实查询10个，关系探索6个，趋势分析4个</w:t>
            </w:r>
          </w:p>
        </w:tc>
      </w:tr>
      <w:tr>
        <w:tc>
          <w:tcPr>
            <w:tcW w:type="dxa" w:w="4513"/>
          </w:tcPr>
          <w:p>
            <w:pPr>
              <w:jc w:val="center"/>
            </w:pPr>
            <w:r/>
            <w:r>
              <w:rPr>
                <w:rFonts w:ascii="宋体" w:hAnsi="宋体" w:eastAsia="宋体"/>
                <w:b w:val="0"/>
                <w:color w:val="000000"/>
                <w:sz w:val="21"/>
              </w:rPr>
              <w:t>标注方式</w:t>
            </w:r>
          </w:p>
        </w:tc>
        <w:tc>
          <w:tcPr>
            <w:tcW w:type="dxa" w:w="4513"/>
          </w:tcPr>
          <w:p>
            <w:pPr>
              <w:jc w:val="center"/>
            </w:pPr>
            <w:r/>
            <w:r>
              <w:rPr>
                <w:rFonts w:ascii="宋体" w:hAnsi="宋体" w:eastAsia="宋体"/>
                <w:b w:val="0"/>
                <w:color w:val="000000"/>
                <w:sz w:val="21"/>
              </w:rPr>
              <w:t>每个查询由2—3名领域专家标注，Pooling深度100</w:t>
            </w:r>
          </w:p>
        </w:tc>
      </w:tr>
    </w:tbl>
    <w:p/>
    <w:p>
      <w:pPr>
        <w:spacing w:line="360" w:lineRule="auto" w:before="120" w:after="120"/>
        <w:ind w:firstLine="0"/>
        <w:jc w:val="left"/>
      </w:pPr>
      <w:r>
        <w:rPr>
          <w:rFonts w:ascii="黑体" w:hAnsi="黑体" w:eastAsia="黑体"/>
          <w:b/>
          <w:color w:val="000000"/>
          <w:sz w:val="24"/>
        </w:rPr>
        <w:t>5.2  训练/验证/测试划分</w:t>
      </w:r>
    </w:p>
    <w:p>
      <w:pPr>
        <w:spacing w:line="360" w:lineRule="auto" w:after="120"/>
        <w:ind w:firstLine="420"/>
        <w:jc w:val="both"/>
      </w:pPr>
      <w:r>
        <w:rPr>
          <w:rFonts w:ascii="宋体" w:hAnsi="宋体" w:eastAsia="宋体"/>
          <w:b w:val="0"/>
          <w:color w:val="000000"/>
          <w:sz w:val="24"/>
        </w:rPr>
        <w:t>200个测试查询界定为独立测试集，不参与任何训练或调参。训练数据来自弱监督构造的查询—文档对（25,000对，由标题、摘要、关键词和同主题文献自动构造）以及知识图谱实体对齐样本。语料通过OpenAlex API采集，覆盖2018—2024年"一带一路"相关学术文献。</w:t>
      </w:r>
    </w:p>
    <w:p>
      <w:pPr>
        <w:jc w:val="center"/>
      </w:pPr>
      <w:r>
        <w:rPr>
          <w:rFonts w:ascii="宋体" w:hAnsi="宋体" w:eastAsia="宋体"/>
          <w:b/>
          <w:color w:val="000000"/>
          <w:sz w:val="21"/>
        </w:rPr>
        <w:t>表4  实验数据划分方案（RTX 3090扩大实验）</w:t>
      </w:r>
    </w:p>
    <w:tbl>
      <w:tblPr>
        <w:tblW w:type="auto" w:w="0"/>
        <w:jc w:val="center"/>
        <w:tblLook w:firstColumn="1" w:firstRow="1" w:lastColumn="0" w:lastRow="0" w:noHBand="0" w:noVBand="1" w:val="04A0"/>
        <w:tblBorders>
          <w:top w:val="single" w:sz="12" w:color="000000"/>
          <w:bottom w:val="single" w:sz="12" w:color="000000"/>
          <w:left w:val="nil"/>
          <w:right w:val="nil"/>
          <w:insideV w:val="nil"/>
          <w:insideH w:val="nil"/>
        </w:tblBorders>
      </w:tblPr>
      <w:tblGrid>
        <w:gridCol w:w="3009"/>
        <w:gridCol w:w="3009"/>
        <w:gridCol w:w="3009"/>
      </w:tblGrid>
      <w:tr>
        <w:tc>
          <w:tcPr>
            <w:tcW w:type="dxa" w:w="3009"/>
          </w:tcPr>
          <w:p>
            <w:pPr>
              <w:jc w:val="center"/>
            </w:pPr>
            <w:r/>
            <w:r>
              <w:rPr>
                <w:rFonts w:ascii="宋体" w:hAnsi="宋体" w:eastAsia="宋体"/>
                <w:b/>
                <w:color w:val="000000"/>
                <w:sz w:val="21"/>
              </w:rPr>
              <w:t>数据单元</w:t>
            </w:r>
          </w:p>
        </w:tc>
        <w:tc>
          <w:tcPr>
            <w:tcW w:type="dxa" w:w="3009"/>
          </w:tcPr>
          <w:p>
            <w:pPr>
              <w:jc w:val="center"/>
            </w:pPr>
            <w:r/>
            <w:r>
              <w:rPr>
                <w:rFonts w:ascii="宋体" w:hAnsi="宋体" w:eastAsia="宋体"/>
                <w:b/>
                <w:color w:val="000000"/>
                <w:sz w:val="21"/>
              </w:rPr>
              <w:t>数量</w:t>
            </w:r>
          </w:p>
        </w:tc>
        <w:tc>
          <w:tcPr>
            <w:tcW w:type="dxa" w:w="3009"/>
          </w:tcPr>
          <w:p>
            <w:pPr>
              <w:jc w:val="center"/>
            </w:pPr>
            <w:r/>
            <w:r>
              <w:rPr>
                <w:rFonts w:ascii="宋体" w:hAnsi="宋体" w:eastAsia="宋体"/>
                <w:b/>
                <w:color w:val="000000"/>
                <w:sz w:val="21"/>
              </w:rPr>
              <w:t>用途</w:t>
            </w:r>
          </w:p>
        </w:tc>
      </w:tr>
      <w:tr>
        <w:tc>
          <w:tcPr>
            <w:tcW w:type="dxa" w:w="3009"/>
          </w:tcPr>
          <w:p>
            <w:pPr>
              <w:jc w:val="center"/>
            </w:pPr>
            <w:r/>
            <w:r>
              <w:rPr>
                <w:rFonts w:ascii="宋体" w:hAnsi="宋体" w:eastAsia="宋体"/>
                <w:b w:val="0"/>
                <w:color w:val="000000"/>
                <w:sz w:val="21"/>
              </w:rPr>
              <w:t>OpenAlex文献</w:t>
            </w:r>
          </w:p>
        </w:tc>
        <w:tc>
          <w:tcPr>
            <w:tcW w:type="dxa" w:w="3009"/>
          </w:tcPr>
          <w:p>
            <w:pPr>
              <w:jc w:val="center"/>
            </w:pPr>
            <w:r/>
            <w:r>
              <w:rPr>
                <w:rFonts w:ascii="宋体" w:hAnsi="宋体" w:eastAsia="宋体"/>
                <w:b w:val="0"/>
                <w:color w:val="000000"/>
                <w:sz w:val="21"/>
              </w:rPr>
              <w:t>15,000</w:t>
            </w:r>
          </w:p>
        </w:tc>
        <w:tc>
          <w:tcPr>
            <w:tcW w:type="dxa" w:w="3009"/>
          </w:tcPr>
          <w:p>
            <w:pPr>
              <w:jc w:val="center"/>
            </w:pPr>
            <w:r/>
            <w:r>
              <w:rPr>
                <w:rFonts w:ascii="宋体" w:hAnsi="宋体" w:eastAsia="宋体"/>
                <w:b w:val="0"/>
                <w:color w:val="000000"/>
                <w:sz w:val="21"/>
              </w:rPr>
              <w:t>检索语料库</w:t>
            </w:r>
          </w:p>
        </w:tc>
      </w:tr>
      <w:tr>
        <w:tc>
          <w:tcPr>
            <w:tcW w:type="dxa" w:w="3009"/>
          </w:tcPr>
          <w:p>
            <w:pPr>
              <w:jc w:val="center"/>
            </w:pPr>
            <w:r/>
            <w:r>
              <w:rPr>
                <w:rFonts w:ascii="宋体" w:hAnsi="宋体" w:eastAsia="宋体"/>
                <w:b w:val="0"/>
                <w:color w:val="000000"/>
                <w:sz w:val="21"/>
              </w:rPr>
              <w:t>弱监督q-d对</w:t>
            </w:r>
          </w:p>
        </w:tc>
        <w:tc>
          <w:tcPr>
            <w:tcW w:type="dxa" w:w="3009"/>
          </w:tcPr>
          <w:p>
            <w:pPr>
              <w:jc w:val="center"/>
            </w:pPr>
            <w:r/>
            <w:r>
              <w:rPr>
                <w:rFonts w:ascii="宋体" w:hAnsi="宋体" w:eastAsia="宋体"/>
                <w:b w:val="0"/>
                <w:color w:val="000000"/>
                <w:sz w:val="21"/>
              </w:rPr>
              <w:t>25,000</w:t>
            </w:r>
          </w:p>
        </w:tc>
        <w:tc>
          <w:tcPr>
            <w:tcW w:type="dxa" w:w="3009"/>
          </w:tcPr>
          <w:p>
            <w:pPr>
              <w:jc w:val="center"/>
            </w:pPr>
            <w:r/>
            <w:r>
              <w:rPr>
                <w:rFonts w:ascii="宋体" w:hAnsi="宋体" w:eastAsia="宋体"/>
                <w:b w:val="0"/>
                <w:color w:val="000000"/>
                <w:sz w:val="21"/>
              </w:rPr>
              <w:t>训练投影层与对抗模块</w:t>
            </w:r>
          </w:p>
        </w:tc>
      </w:tr>
      <w:tr>
        <w:tc>
          <w:tcPr>
            <w:tcW w:type="dxa" w:w="3009"/>
          </w:tcPr>
          <w:p>
            <w:pPr>
              <w:jc w:val="center"/>
            </w:pPr>
            <w:r/>
            <w:r>
              <w:rPr>
                <w:rFonts w:ascii="宋体" w:hAnsi="宋体" w:eastAsia="宋体"/>
                <w:b w:val="0"/>
                <w:color w:val="000000"/>
                <w:sz w:val="21"/>
              </w:rPr>
              <w:t>实体对齐样本</w:t>
            </w:r>
          </w:p>
        </w:tc>
        <w:tc>
          <w:tcPr>
            <w:tcW w:type="dxa" w:w="3009"/>
          </w:tcPr>
          <w:p>
            <w:pPr>
              <w:jc w:val="center"/>
            </w:pPr>
            <w:r/>
            <w:r>
              <w:rPr>
                <w:rFonts w:ascii="宋体" w:hAnsi="宋体" w:eastAsia="宋体"/>
                <w:b w:val="0"/>
                <w:color w:val="000000"/>
                <w:sz w:val="21"/>
              </w:rPr>
              <w:t>3,200</w:t>
            </w:r>
          </w:p>
        </w:tc>
        <w:tc>
          <w:tcPr>
            <w:tcW w:type="dxa" w:w="3009"/>
          </w:tcPr>
          <w:p>
            <w:pPr>
              <w:jc w:val="center"/>
            </w:pPr>
            <w:r/>
            <w:r>
              <w:rPr>
                <w:rFonts w:ascii="宋体" w:hAnsi="宋体" w:eastAsia="宋体"/>
                <w:b w:val="0"/>
                <w:color w:val="000000"/>
                <w:sz w:val="21"/>
              </w:rPr>
              <w:t>训练/验证KG权重δ₁—δ₄</w:t>
            </w:r>
          </w:p>
        </w:tc>
      </w:tr>
      <w:tr>
        <w:tc>
          <w:tcPr>
            <w:tcW w:type="dxa" w:w="3009"/>
          </w:tcPr>
          <w:p>
            <w:pPr>
              <w:jc w:val="center"/>
            </w:pPr>
            <w:r/>
            <w:r>
              <w:rPr>
                <w:rFonts w:ascii="宋体" w:hAnsi="宋体" w:eastAsia="宋体"/>
                <w:b w:val="0"/>
                <w:color w:val="000000"/>
                <w:sz w:val="21"/>
              </w:rPr>
              <w:t>测试查询</w:t>
            </w:r>
          </w:p>
        </w:tc>
        <w:tc>
          <w:tcPr>
            <w:tcW w:type="dxa" w:w="3009"/>
          </w:tcPr>
          <w:p>
            <w:pPr>
              <w:jc w:val="center"/>
            </w:pPr>
            <w:r/>
            <w:r>
              <w:rPr>
                <w:rFonts w:ascii="宋体" w:hAnsi="宋体" w:eastAsia="宋体"/>
                <w:b w:val="0"/>
                <w:color w:val="000000"/>
                <w:sz w:val="21"/>
              </w:rPr>
              <w:t>200</w:t>
            </w:r>
          </w:p>
        </w:tc>
        <w:tc>
          <w:tcPr>
            <w:tcW w:type="dxa" w:w="3009"/>
          </w:tcPr>
          <w:p>
            <w:pPr>
              <w:jc w:val="center"/>
            </w:pPr>
            <w:r/>
            <w:r>
              <w:rPr>
                <w:rFonts w:ascii="宋体" w:hAnsi="宋体" w:eastAsia="宋体"/>
                <w:b w:val="0"/>
                <w:color w:val="000000"/>
                <w:sz w:val="21"/>
              </w:rPr>
              <w:t>最终报告nDCG@10、MAP、Drift-Score</w:t>
            </w:r>
          </w:p>
        </w:tc>
      </w:tr>
    </w:tbl>
    <w:p/>
    <w:p>
      <w:pPr>
        <w:spacing w:line="360" w:lineRule="auto" w:before="120" w:after="120"/>
        <w:ind w:firstLine="0"/>
        <w:jc w:val="left"/>
      </w:pPr>
      <w:r>
        <w:rPr>
          <w:rFonts w:ascii="黑体" w:hAnsi="黑体" w:eastAsia="黑体"/>
          <w:b/>
          <w:color w:val="000000"/>
          <w:sz w:val="24"/>
        </w:rPr>
        <w:t>5.3  RTX 3090实验部署</w:t>
      </w:r>
    </w:p>
    <w:p>
      <w:pPr>
        <w:spacing w:line="360" w:lineRule="auto" w:after="120"/>
        <w:ind w:firstLine="420"/>
        <w:jc w:val="both"/>
      </w:pPr>
      <w:r>
        <w:rPr>
          <w:rFonts w:ascii="宋体" w:hAnsi="宋体" w:eastAsia="宋体"/>
          <w:b w:val="0"/>
          <w:color w:val="000000"/>
          <w:sz w:val="24"/>
        </w:rPr>
        <w:t>全部实验在单卡NVIDIA RTX 3090（24GB VRAM）上完成，软件环境为Ubuntu 22.04、Python 3.10、PyTorch 2.1、CUDA 12.1、sentence-transformers 2.3、FAISS 1.7。图5展示了各阶段GPU资源占用，峰值显存12.5GB，全部实验可在单卡内完成。</w:t>
      </w:r>
    </w:p>
    <w:p>
      <w:pPr>
        <w:jc w:val="center"/>
      </w:pPr>
      <w:r>
        <w:drawing>
          <wp:inline xmlns:a="http://schemas.openxmlformats.org/drawingml/2006/main" xmlns:pic="http://schemas.openxmlformats.org/drawingml/2006/picture">
            <wp:extent cx="5029200" cy="2360852"/>
            <wp:docPr id="2" name="Picture 2"/>
            <wp:cNvGraphicFramePr>
              <a:graphicFrameLocks noChangeAspect="1"/>
            </wp:cNvGraphicFramePr>
            <a:graphic>
              <a:graphicData uri="http://schemas.openxmlformats.org/drawingml/2006/picture">
                <pic:pic>
                  <pic:nvPicPr>
                    <pic:cNvPr id="0" name="fig5_gpu.png"/>
                    <pic:cNvPicPr/>
                  </pic:nvPicPr>
                  <pic:blipFill>
                    <a:blip r:embed="rId10"/>
                    <a:stretch>
                      <a:fillRect/>
                    </a:stretch>
                  </pic:blipFill>
                  <pic:spPr>
                    <a:xfrm>
                      <a:off x="0" y="0"/>
                      <a:ext cx="5029200" cy="2360852"/>
                    </a:xfrm>
                    <a:prstGeom prst="rect"/>
                  </pic:spPr>
                </pic:pic>
              </a:graphicData>
            </a:graphic>
          </wp:inline>
        </w:drawing>
      </w:r>
    </w:p>
    <w:p>
      <w:pPr>
        <w:spacing w:after="240"/>
        <w:jc w:val="center"/>
      </w:pPr>
      <w:r>
        <w:rPr>
          <w:rFonts w:ascii="宋体" w:hAnsi="宋体" w:eastAsia="宋体"/>
          <w:b w:val="0"/>
          <w:color w:val="000000"/>
          <w:sz w:val="21"/>
        </w:rPr>
        <w:t>图5  RTX 3090单卡实验资源占用</w:t>
      </w:r>
    </w:p>
    <w:p>
      <w:pPr>
        <w:jc w:val="center"/>
      </w:pPr>
      <w:r>
        <w:rPr>
          <w:rFonts w:ascii="宋体" w:hAnsi="宋体" w:eastAsia="宋体"/>
          <w:b/>
          <w:color w:val="000000"/>
          <w:sz w:val="21"/>
        </w:rPr>
        <w:t>表5  RTX 3090实验部署资源占用（server@100.75.203.102实测）</w:t>
      </w:r>
    </w:p>
    <w:tbl>
      <w:tblPr>
        <w:tblW w:type="auto" w:w="0"/>
        <w:jc w:val="center"/>
        <w:tblLook w:firstColumn="1" w:firstRow="1" w:lastColumn="0" w:lastRow="0" w:noHBand="0" w:noVBand="1" w:val="04A0"/>
        <w:tblBorders>
          <w:top w:val="single" w:sz="12" w:color="000000"/>
          <w:bottom w:val="single" w:sz="12" w:color="000000"/>
          <w:left w:val="nil"/>
          <w:right w:val="nil"/>
          <w:insideV w:val="nil"/>
          <w:insideH w:val="nil"/>
        </w:tblBorders>
      </w:tblPr>
      <w:tblGrid>
        <w:gridCol w:w="1805"/>
        <w:gridCol w:w="1805"/>
        <w:gridCol w:w="1805"/>
        <w:gridCol w:w="1805"/>
        <w:gridCol w:w="1805"/>
      </w:tblGrid>
      <w:tr>
        <w:tc>
          <w:tcPr>
            <w:tcW w:type="dxa" w:w="1805"/>
          </w:tcPr>
          <w:p>
            <w:pPr>
              <w:jc w:val="center"/>
            </w:pPr>
            <w:r/>
            <w:r>
              <w:rPr>
                <w:rFonts w:ascii="宋体" w:hAnsi="宋体" w:eastAsia="宋体"/>
                <w:b/>
                <w:color w:val="000000"/>
                <w:sz w:val="21"/>
              </w:rPr>
              <w:t>实验阶段</w:t>
            </w:r>
          </w:p>
        </w:tc>
        <w:tc>
          <w:tcPr>
            <w:tcW w:type="dxa" w:w="1805"/>
          </w:tcPr>
          <w:p>
            <w:pPr>
              <w:jc w:val="center"/>
            </w:pPr>
            <w:r/>
            <w:r>
              <w:rPr>
                <w:rFonts w:ascii="宋体" w:hAnsi="宋体" w:eastAsia="宋体"/>
                <w:b/>
                <w:color w:val="000000"/>
                <w:sz w:val="21"/>
              </w:rPr>
              <w:t>模型/操作</w:t>
            </w:r>
          </w:p>
        </w:tc>
        <w:tc>
          <w:tcPr>
            <w:tcW w:type="dxa" w:w="1805"/>
          </w:tcPr>
          <w:p>
            <w:pPr>
              <w:jc w:val="center"/>
            </w:pPr>
            <w:r/>
            <w:r>
              <w:rPr>
                <w:rFonts w:ascii="宋体" w:hAnsi="宋体" w:eastAsia="宋体"/>
                <w:b/>
                <w:color w:val="000000"/>
                <w:sz w:val="21"/>
              </w:rPr>
              <w:t>Batch Size</w:t>
            </w:r>
          </w:p>
        </w:tc>
        <w:tc>
          <w:tcPr>
            <w:tcW w:type="dxa" w:w="1805"/>
          </w:tcPr>
          <w:p>
            <w:pPr>
              <w:jc w:val="center"/>
            </w:pPr>
            <w:r/>
            <w:r>
              <w:rPr>
                <w:rFonts w:ascii="宋体" w:hAnsi="宋体" w:eastAsia="宋体"/>
                <w:b/>
                <w:color w:val="000000"/>
                <w:sz w:val="21"/>
              </w:rPr>
              <w:t>峰值显存</w:t>
            </w:r>
          </w:p>
        </w:tc>
        <w:tc>
          <w:tcPr>
            <w:tcW w:type="dxa" w:w="1805"/>
          </w:tcPr>
          <w:p>
            <w:pPr>
              <w:jc w:val="center"/>
            </w:pPr>
            <w:r/>
            <w:r>
              <w:rPr>
                <w:rFonts w:ascii="宋体" w:hAnsi="宋体" w:eastAsia="宋体"/>
                <w:b/>
                <w:color w:val="000000"/>
                <w:sz w:val="21"/>
              </w:rPr>
              <w:t>耗时（实测）</w:t>
            </w:r>
          </w:p>
        </w:tc>
      </w:tr>
      <w:tr>
        <w:tc>
          <w:tcPr>
            <w:tcW w:type="dxa" w:w="1805"/>
          </w:tcPr>
          <w:p>
            <w:pPr>
              <w:jc w:val="center"/>
            </w:pPr>
            <w:r/>
            <w:r>
              <w:rPr>
                <w:rFonts w:ascii="宋体" w:hAnsi="宋体" w:eastAsia="宋体"/>
                <w:b w:val="0"/>
                <w:color w:val="000000"/>
                <w:sz w:val="21"/>
              </w:rPr>
              <w:t>文档编码</w:t>
            </w:r>
          </w:p>
        </w:tc>
        <w:tc>
          <w:tcPr>
            <w:tcW w:type="dxa" w:w="1805"/>
          </w:tcPr>
          <w:p>
            <w:pPr>
              <w:jc w:val="center"/>
            </w:pPr>
            <w:r/>
            <w:r>
              <w:rPr>
                <w:rFonts w:ascii="宋体" w:hAnsi="宋体" w:eastAsia="宋体"/>
                <w:b w:val="0"/>
                <w:color w:val="000000"/>
                <w:sz w:val="21"/>
              </w:rPr>
              <w:t>BGE-M3</w:t>
            </w:r>
          </w:p>
        </w:tc>
        <w:tc>
          <w:tcPr>
            <w:tcW w:type="dxa" w:w="1805"/>
          </w:tcPr>
          <w:p>
            <w:pPr>
              <w:jc w:val="center"/>
            </w:pPr>
            <w:r/>
            <w:r>
              <w:rPr>
                <w:rFonts w:ascii="宋体" w:hAnsi="宋体" w:eastAsia="宋体"/>
                <w:b w:val="0"/>
                <w:color w:val="000000"/>
                <w:sz w:val="21"/>
              </w:rPr>
              <w:t>64</w:t>
            </w:r>
          </w:p>
        </w:tc>
        <w:tc>
          <w:tcPr>
            <w:tcW w:type="dxa" w:w="1805"/>
          </w:tcPr>
          <w:p>
            <w:pPr>
              <w:jc w:val="center"/>
            </w:pPr>
            <w:r/>
            <w:r>
              <w:rPr>
                <w:rFonts w:ascii="宋体" w:hAnsi="宋体" w:eastAsia="宋体"/>
                <w:b w:val="0"/>
                <w:color w:val="000000"/>
                <w:sz w:val="21"/>
              </w:rPr>
              <w:t>3.83 GB</w:t>
            </w:r>
          </w:p>
        </w:tc>
        <w:tc>
          <w:tcPr>
            <w:tcW w:type="dxa" w:w="1805"/>
          </w:tcPr>
          <w:p>
            <w:pPr>
              <w:jc w:val="center"/>
            </w:pPr>
            <w:r/>
            <w:r>
              <w:rPr>
                <w:rFonts w:ascii="宋体" w:hAnsi="宋体" w:eastAsia="宋体"/>
                <w:b w:val="0"/>
                <w:color w:val="000000"/>
                <w:sz w:val="21"/>
              </w:rPr>
              <w:t>164.6 s</w:t>
            </w:r>
          </w:p>
        </w:tc>
      </w:tr>
      <w:tr>
        <w:tc>
          <w:tcPr>
            <w:tcW w:type="dxa" w:w="1805"/>
          </w:tcPr>
          <w:p>
            <w:pPr>
              <w:jc w:val="center"/>
            </w:pPr>
            <w:r/>
            <w:r>
              <w:rPr>
                <w:rFonts w:ascii="宋体" w:hAnsi="宋体" w:eastAsia="宋体"/>
                <w:b w:val="0"/>
                <w:color w:val="000000"/>
                <w:sz w:val="21"/>
              </w:rPr>
              <w:t>DriftSup训练</w:t>
            </w:r>
          </w:p>
        </w:tc>
        <w:tc>
          <w:tcPr>
            <w:tcW w:type="dxa" w:w="1805"/>
          </w:tcPr>
          <w:p>
            <w:pPr>
              <w:jc w:val="center"/>
            </w:pPr>
            <w:r/>
            <w:r>
              <w:rPr>
                <w:rFonts w:ascii="宋体" w:hAnsi="宋体" w:eastAsia="宋体"/>
                <w:b w:val="0"/>
                <w:color w:val="000000"/>
                <w:sz w:val="21"/>
              </w:rPr>
              <w:t>W_p + D_lang (50 epochs)</w:t>
            </w:r>
          </w:p>
        </w:tc>
        <w:tc>
          <w:tcPr>
            <w:tcW w:type="dxa" w:w="1805"/>
          </w:tcPr>
          <w:p>
            <w:pPr>
              <w:jc w:val="center"/>
            </w:pPr>
            <w:r/>
            <w:r>
              <w:rPr>
                <w:rFonts w:ascii="宋体" w:hAnsi="宋体" w:eastAsia="宋体"/>
                <w:b w:val="0"/>
                <w:color w:val="000000"/>
                <w:sz w:val="21"/>
              </w:rPr>
              <w:t>32</w:t>
            </w:r>
          </w:p>
        </w:tc>
        <w:tc>
          <w:tcPr>
            <w:tcW w:type="dxa" w:w="1805"/>
          </w:tcPr>
          <w:p>
            <w:pPr>
              <w:jc w:val="center"/>
            </w:pPr>
            <w:r/>
            <w:r>
              <w:rPr>
                <w:rFonts w:ascii="宋体" w:hAnsi="宋体" w:eastAsia="宋体"/>
                <w:b w:val="0"/>
                <w:color w:val="000000"/>
                <w:sz w:val="21"/>
              </w:rPr>
              <w:t>0.04 GB</w:t>
            </w:r>
          </w:p>
        </w:tc>
        <w:tc>
          <w:tcPr>
            <w:tcW w:type="dxa" w:w="1805"/>
          </w:tcPr>
          <w:p>
            <w:pPr>
              <w:jc w:val="center"/>
            </w:pPr>
            <w:r/>
            <w:r>
              <w:rPr>
                <w:rFonts w:ascii="宋体" w:hAnsi="宋体" w:eastAsia="宋体"/>
                <w:b w:val="0"/>
                <w:color w:val="000000"/>
                <w:sz w:val="21"/>
              </w:rPr>
              <w:t>21.7 s</w:t>
            </w:r>
          </w:p>
        </w:tc>
      </w:tr>
      <w:tr>
        <w:tc>
          <w:tcPr>
            <w:tcW w:type="dxa" w:w="1805"/>
          </w:tcPr>
          <w:p>
            <w:pPr>
              <w:jc w:val="center"/>
            </w:pPr>
            <w:r/>
            <w:r>
              <w:rPr>
                <w:rFonts w:ascii="宋体" w:hAnsi="宋体" w:eastAsia="宋体"/>
                <w:b w:val="0"/>
                <w:color w:val="000000"/>
                <w:sz w:val="21"/>
              </w:rPr>
              <w:t>检索评估</w:t>
            </w:r>
          </w:p>
        </w:tc>
        <w:tc>
          <w:tcPr>
            <w:tcW w:type="dxa" w:w="1805"/>
          </w:tcPr>
          <w:p>
            <w:pPr>
              <w:jc w:val="center"/>
            </w:pPr>
            <w:r/>
            <w:r>
              <w:rPr>
                <w:rFonts w:ascii="宋体" w:hAnsi="宋体" w:eastAsia="宋体"/>
                <w:b w:val="0"/>
                <w:color w:val="000000"/>
                <w:sz w:val="21"/>
              </w:rPr>
              <w:t>200查询×15000文档</w:t>
            </w:r>
          </w:p>
        </w:tc>
        <w:tc>
          <w:tcPr>
            <w:tcW w:type="dxa" w:w="1805"/>
          </w:tcPr>
          <w:p>
            <w:pPr>
              <w:jc w:val="center"/>
            </w:pPr>
            <w:r/>
            <w:r>
              <w:rPr>
                <w:rFonts w:ascii="宋体" w:hAnsi="宋体" w:eastAsia="宋体"/>
                <w:b w:val="0"/>
                <w:color w:val="000000"/>
                <w:sz w:val="21"/>
              </w:rPr>
              <w:t>—</w:t>
            </w:r>
          </w:p>
        </w:tc>
        <w:tc>
          <w:tcPr>
            <w:tcW w:type="dxa" w:w="1805"/>
          </w:tcPr>
          <w:p>
            <w:pPr>
              <w:jc w:val="center"/>
            </w:pPr>
            <w:r/>
            <w:r>
              <w:rPr>
                <w:rFonts w:ascii="宋体" w:hAnsi="宋体" w:eastAsia="宋体"/>
                <w:b w:val="0"/>
                <w:color w:val="000000"/>
                <w:sz w:val="21"/>
              </w:rPr>
              <w:t>3.83 GB</w:t>
            </w:r>
          </w:p>
        </w:tc>
        <w:tc>
          <w:tcPr>
            <w:tcW w:type="dxa" w:w="1805"/>
          </w:tcPr>
          <w:p>
            <w:pPr>
              <w:jc w:val="center"/>
            </w:pPr>
            <w:r/>
            <w:r>
              <w:rPr>
                <w:rFonts w:ascii="宋体" w:hAnsi="宋体" w:eastAsia="宋体"/>
                <w:b w:val="0"/>
                <w:color w:val="000000"/>
                <w:sz w:val="21"/>
              </w:rPr>
              <w:t>197.6 s</w:t>
            </w:r>
          </w:p>
        </w:tc>
      </w:tr>
      <w:tr>
        <w:tc>
          <w:tcPr>
            <w:tcW w:type="dxa" w:w="1805"/>
          </w:tcPr>
          <w:p>
            <w:pPr>
              <w:jc w:val="center"/>
            </w:pPr>
            <w:r/>
            <w:r>
              <w:rPr>
                <w:rFonts w:ascii="宋体" w:hAnsi="宋体" w:eastAsia="宋体"/>
                <w:b w:val="0"/>
                <w:color w:val="000000"/>
                <w:sz w:val="21"/>
              </w:rPr>
              <w:t>KG实体对齐</w:t>
            </w:r>
          </w:p>
        </w:tc>
        <w:tc>
          <w:tcPr>
            <w:tcW w:type="dxa" w:w="1805"/>
          </w:tcPr>
          <w:p>
            <w:pPr>
              <w:jc w:val="center"/>
            </w:pPr>
            <w:r/>
            <w:r>
              <w:rPr>
                <w:rFonts w:ascii="宋体" w:hAnsi="宋体" w:eastAsia="宋体"/>
                <w:b w:val="0"/>
                <w:color w:val="000000"/>
                <w:sz w:val="21"/>
              </w:rPr>
              <w:t>离线批处理</w:t>
            </w:r>
          </w:p>
        </w:tc>
        <w:tc>
          <w:tcPr>
            <w:tcW w:type="dxa" w:w="1805"/>
          </w:tcPr>
          <w:p>
            <w:pPr>
              <w:jc w:val="center"/>
            </w:pPr>
            <w:r/>
            <w:r>
              <w:rPr>
                <w:rFonts w:ascii="宋体" w:hAnsi="宋体" w:eastAsia="宋体"/>
                <w:b w:val="0"/>
                <w:color w:val="000000"/>
                <w:sz w:val="21"/>
              </w:rPr>
              <w:t>—</w:t>
            </w:r>
          </w:p>
        </w:tc>
        <w:tc>
          <w:tcPr>
            <w:tcW w:type="dxa" w:w="1805"/>
          </w:tcPr>
          <w:p>
            <w:pPr>
              <w:jc w:val="center"/>
            </w:pPr>
            <w:r/>
            <w:r>
              <w:rPr>
                <w:rFonts w:ascii="宋体" w:hAnsi="宋体" w:eastAsia="宋体"/>
                <w:b w:val="0"/>
                <w:color w:val="000000"/>
                <w:sz w:val="21"/>
              </w:rPr>
              <w:t>CPU</w:t>
            </w:r>
          </w:p>
        </w:tc>
        <w:tc>
          <w:tcPr>
            <w:tcW w:type="dxa" w:w="1805"/>
          </w:tcPr>
          <w:p>
            <w:pPr>
              <w:jc w:val="center"/>
            </w:pPr>
            <w:r/>
            <w:r>
              <w:rPr>
                <w:rFonts w:ascii="宋体" w:hAnsi="宋体" w:eastAsia="宋体"/>
                <w:b w:val="0"/>
                <w:color w:val="000000"/>
                <w:sz w:val="21"/>
              </w:rPr>
              <w:t>预构建</w:t>
            </w:r>
          </w:p>
        </w:tc>
      </w:tr>
      <w:tr>
        <w:tc>
          <w:tcPr>
            <w:tcW w:type="dxa" w:w="1805"/>
          </w:tcPr>
          <w:p>
            <w:pPr>
              <w:jc w:val="center"/>
            </w:pPr>
            <w:r/>
            <w:r>
              <w:rPr>
                <w:rFonts w:ascii="宋体" w:hAnsi="宋体" w:eastAsia="宋体"/>
                <w:b w:val="0"/>
                <w:color w:val="000000"/>
                <w:sz w:val="21"/>
              </w:rPr>
              <w:t>全流程合计</w:t>
            </w:r>
          </w:p>
        </w:tc>
        <w:tc>
          <w:tcPr>
            <w:tcW w:type="dxa" w:w="1805"/>
          </w:tcPr>
          <w:p>
            <w:pPr>
              <w:jc w:val="center"/>
            </w:pPr>
            <w:r/>
            <w:r>
              <w:rPr>
                <w:rFonts w:ascii="宋体" w:hAnsi="宋体" w:eastAsia="宋体"/>
                <w:b w:val="0"/>
                <w:color w:val="000000"/>
                <w:sz w:val="21"/>
              </w:rPr>
              <w:t>—</w:t>
            </w:r>
          </w:p>
        </w:tc>
        <w:tc>
          <w:tcPr>
            <w:tcW w:type="dxa" w:w="1805"/>
          </w:tcPr>
          <w:p>
            <w:pPr>
              <w:jc w:val="center"/>
            </w:pPr>
            <w:r/>
            <w:r>
              <w:rPr>
                <w:rFonts w:ascii="宋体" w:hAnsi="宋体" w:eastAsia="宋体"/>
                <w:b w:val="0"/>
                <w:color w:val="000000"/>
                <w:sz w:val="21"/>
              </w:rPr>
              <w:t>—</w:t>
            </w:r>
          </w:p>
        </w:tc>
        <w:tc>
          <w:tcPr>
            <w:tcW w:type="dxa" w:w="1805"/>
          </w:tcPr>
          <w:p>
            <w:pPr>
              <w:jc w:val="center"/>
            </w:pPr>
            <w:r/>
            <w:r>
              <w:rPr>
                <w:rFonts w:ascii="宋体" w:hAnsi="宋体" w:eastAsia="宋体"/>
                <w:b w:val="0"/>
                <w:color w:val="000000"/>
                <w:sz w:val="21"/>
              </w:rPr>
              <w:t>—</w:t>
            </w:r>
          </w:p>
        </w:tc>
        <w:tc>
          <w:tcPr>
            <w:tcW w:type="dxa" w:w="1805"/>
          </w:tcPr>
          <w:p>
            <w:pPr>
              <w:jc w:val="center"/>
            </w:pPr>
            <w:r/>
            <w:r>
              <w:rPr>
                <w:rFonts w:ascii="宋体" w:hAnsi="宋体" w:eastAsia="宋体"/>
                <w:b w:val="0"/>
                <w:color w:val="000000"/>
                <w:sz w:val="21"/>
              </w:rPr>
              <w:t>384.0 s</w:t>
            </w:r>
          </w:p>
        </w:tc>
      </w:tr>
    </w:tbl>
    <w:p/>
    <w:p>
      <w:pPr>
        <w:spacing w:line="360" w:lineRule="auto" w:before="120" w:after="120"/>
        <w:ind w:firstLine="0"/>
        <w:jc w:val="left"/>
      </w:pPr>
      <w:r>
        <w:rPr>
          <w:rFonts w:ascii="黑体" w:hAnsi="黑体" w:eastAsia="黑体"/>
          <w:b/>
          <w:color w:val="000000"/>
          <w:sz w:val="24"/>
        </w:rPr>
        <w:t>5.4  基线方法与评价指标</w:t>
      </w:r>
    </w:p>
    <w:p>
      <w:pPr>
        <w:spacing w:line="360" w:lineRule="auto" w:after="120"/>
        <w:ind w:firstLine="420"/>
        <w:jc w:val="both"/>
      </w:pPr>
      <w:r>
        <w:rPr>
          <w:rFonts w:ascii="宋体" w:hAnsi="宋体" w:eastAsia="宋体"/>
          <w:b w:val="0"/>
          <w:color w:val="000000"/>
          <w:sz w:val="24"/>
        </w:rPr>
        <w:t>基线分为四组：传统基线（BM25、BM25+机器翻译）；早期跨语言表示基线（MUSE、LASER、XLM-R）；现代强基线（LaBSE、multilingual-e5-large、BGE-M3）；KG增强基线（BGE-M3+KG，不含漂移抑制）。评价指标包括nDCG@10、MAP、Precision@10、Drift-Score和Drift-Reduction。统计检验采用配对Wilcoxon符号秩检验，报告均值±标准差、95%置信区间、p值和Cohen's d。</w:t>
      </w:r>
    </w:p>
    <w:p>
      <w:pPr>
        <w:spacing w:line="360" w:lineRule="auto" w:before="240" w:after="120"/>
        <w:ind w:firstLine="0"/>
        <w:jc w:val="left"/>
      </w:pPr>
      <w:r>
        <w:rPr>
          <w:rFonts w:ascii="黑体" w:hAnsi="黑体" w:eastAsia="黑体"/>
          <w:b/>
          <w:color w:val="000000"/>
          <w:sz w:val="28"/>
        </w:rPr>
        <w:t>6  实验结果与分析</w:t>
      </w:r>
    </w:p>
    <w:p>
      <w:pPr>
        <w:spacing w:line="360" w:lineRule="auto" w:before="120" w:after="120"/>
        <w:ind w:firstLine="0"/>
        <w:jc w:val="left"/>
      </w:pPr>
      <w:r>
        <w:rPr>
          <w:rFonts w:ascii="黑体" w:hAnsi="黑体" w:eastAsia="黑体"/>
          <w:b/>
          <w:color w:val="000000"/>
          <w:sz w:val="24"/>
        </w:rPr>
        <w:t>6.1  整体性能比较</w:t>
      </w:r>
    </w:p>
    <w:p>
      <w:pPr>
        <w:spacing w:line="360" w:lineRule="auto" w:after="120"/>
        <w:ind w:firstLine="420"/>
        <w:jc w:val="both"/>
      </w:pPr>
      <w:r>
        <w:rPr>
          <w:rFonts w:ascii="宋体" w:hAnsi="宋体" w:eastAsia="宋体"/>
          <w:b w:val="0"/>
          <w:color w:val="000000"/>
          <w:sz w:val="24"/>
        </w:rPr>
        <w:t>表6和图2展示了RTX 3090实测结果。在200组测试查询、15,000篇文献的扩大实验规模下，BGE-M3+KG取得最优综合表现：nDCG@10达0.0651，Drift-Score降至0.5520，较BGE-M3基线（nDCG@10=0.0507，Drift-Score=0.7086）分别提升28.4%和降低22.1%。DriftSup对抗训练单独使用时Drift-Score降低10.2%（0.7086→0.6366），DriftSup+KG组合方案的Drift-Score为0.6011（降低15.2%）。绝对nDCG值偏低系弱监督标注稀疏所致，将在讨论中分析。</w:t>
      </w:r>
    </w:p>
    <w:p>
      <w:pPr>
        <w:jc w:val="center"/>
      </w:pPr>
      <w:r>
        <w:drawing>
          <wp:inline xmlns:a="http://schemas.openxmlformats.org/drawingml/2006/main" xmlns:pic="http://schemas.openxmlformats.org/drawingml/2006/picture">
            <wp:extent cx="5303520" cy="2263193"/>
            <wp:docPr id="3" name="Picture 3"/>
            <wp:cNvGraphicFramePr>
              <a:graphicFrameLocks noChangeAspect="1"/>
            </wp:cNvGraphicFramePr>
            <a:graphic>
              <a:graphicData uri="http://schemas.openxmlformats.org/drawingml/2006/picture">
                <pic:pic>
                  <pic:nvPicPr>
                    <pic:cNvPr id="0" name="fig2_drift.png"/>
                    <pic:cNvPicPr/>
                  </pic:nvPicPr>
                  <pic:blipFill>
                    <a:blip r:embed="rId11"/>
                    <a:stretch>
                      <a:fillRect/>
                    </a:stretch>
                  </pic:blipFill>
                  <pic:spPr>
                    <a:xfrm>
                      <a:off x="0" y="0"/>
                      <a:ext cx="5303520" cy="2263193"/>
                    </a:xfrm>
                    <a:prstGeom prst="rect"/>
                  </pic:spPr>
                </pic:pic>
              </a:graphicData>
            </a:graphic>
          </wp:inline>
        </w:drawing>
      </w:r>
    </w:p>
    <w:p>
      <w:pPr>
        <w:spacing w:after="240"/>
        <w:jc w:val="center"/>
      </w:pPr>
      <w:r>
        <w:rPr>
          <w:rFonts w:ascii="宋体" w:hAnsi="宋体" w:eastAsia="宋体"/>
          <w:b w:val="0"/>
          <w:color w:val="000000"/>
          <w:sz w:val="21"/>
        </w:rPr>
        <w:t>图2  整体性能与语义漂移对比</w:t>
      </w:r>
    </w:p>
    <w:p>
      <w:pPr>
        <w:jc w:val="center"/>
      </w:pPr>
      <w:r>
        <w:rPr>
          <w:rFonts w:ascii="宋体" w:hAnsi="宋体" w:eastAsia="宋体"/>
          <w:b/>
          <w:color w:val="000000"/>
          <w:sz w:val="21"/>
        </w:rPr>
        <w:t>表6  跨语言检索性能比较（200组测试查询，RTX 3090实测）</w:t>
      </w:r>
    </w:p>
    <w:tbl>
      <w:tblPr>
        <w:tblW w:type="auto" w:w="0"/>
        <w:jc w:val="center"/>
        <w:tblLook w:firstColumn="1" w:firstRow="1" w:lastColumn="0" w:lastRow="0" w:noHBand="0" w:noVBand="1" w:val="04A0"/>
        <w:tblBorders>
          <w:top w:val="single" w:sz="12" w:color="000000"/>
          <w:bottom w:val="single" w:sz="12" w:color="000000"/>
          <w:left w:val="nil"/>
          <w:right w:val="nil"/>
          <w:insideV w:val="nil"/>
          <w:insideH w:val="nil"/>
        </w:tblBorders>
      </w:tblPr>
      <w:tblGrid>
        <w:gridCol w:w="1805"/>
        <w:gridCol w:w="1805"/>
        <w:gridCol w:w="1805"/>
        <w:gridCol w:w="1805"/>
        <w:gridCol w:w="1805"/>
      </w:tblGrid>
      <w:tr>
        <w:tc>
          <w:tcPr>
            <w:tcW w:type="dxa" w:w="1805"/>
          </w:tcPr>
          <w:p>
            <w:pPr>
              <w:jc w:val="center"/>
            </w:pPr>
            <w:r/>
            <w:r>
              <w:rPr>
                <w:rFonts w:ascii="宋体" w:hAnsi="宋体" w:eastAsia="宋体"/>
                <w:b/>
                <w:color w:val="000000"/>
                <w:sz w:val="21"/>
              </w:rPr>
              <w:t>方法</w:t>
            </w:r>
          </w:p>
        </w:tc>
        <w:tc>
          <w:tcPr>
            <w:tcW w:type="dxa" w:w="1805"/>
          </w:tcPr>
          <w:p>
            <w:pPr>
              <w:jc w:val="center"/>
            </w:pPr>
            <w:r/>
            <w:r>
              <w:rPr>
                <w:rFonts w:ascii="宋体" w:hAnsi="宋体" w:eastAsia="宋体"/>
                <w:b/>
                <w:color w:val="000000"/>
                <w:sz w:val="21"/>
              </w:rPr>
              <w:t>nDCG@10</w:t>
            </w:r>
          </w:p>
        </w:tc>
        <w:tc>
          <w:tcPr>
            <w:tcW w:type="dxa" w:w="1805"/>
          </w:tcPr>
          <w:p>
            <w:pPr>
              <w:jc w:val="center"/>
            </w:pPr>
            <w:r/>
            <w:r>
              <w:rPr>
                <w:rFonts w:ascii="宋体" w:hAnsi="宋体" w:eastAsia="宋体"/>
                <w:b/>
                <w:color w:val="000000"/>
                <w:sz w:val="21"/>
              </w:rPr>
              <w:t>MAP</w:t>
            </w:r>
          </w:p>
        </w:tc>
        <w:tc>
          <w:tcPr>
            <w:tcW w:type="dxa" w:w="1805"/>
          </w:tcPr>
          <w:p>
            <w:pPr>
              <w:jc w:val="center"/>
            </w:pPr>
            <w:r/>
            <w:r>
              <w:rPr>
                <w:rFonts w:ascii="宋体" w:hAnsi="宋体" w:eastAsia="宋体"/>
                <w:b/>
                <w:color w:val="000000"/>
                <w:sz w:val="21"/>
              </w:rPr>
              <w:t>P@10</w:t>
            </w:r>
          </w:p>
        </w:tc>
        <w:tc>
          <w:tcPr>
            <w:tcW w:type="dxa" w:w="1805"/>
          </w:tcPr>
          <w:p>
            <w:pPr>
              <w:jc w:val="center"/>
            </w:pPr>
            <w:r/>
            <w:r>
              <w:rPr>
                <w:rFonts w:ascii="宋体" w:hAnsi="宋体" w:eastAsia="宋体"/>
                <w:b/>
                <w:color w:val="000000"/>
                <w:sz w:val="21"/>
              </w:rPr>
              <w:t>Drift-Score</w:t>
            </w:r>
          </w:p>
        </w:tc>
      </w:tr>
      <w:tr>
        <w:tc>
          <w:tcPr>
            <w:tcW w:type="dxa" w:w="1805"/>
          </w:tcPr>
          <w:p>
            <w:pPr>
              <w:jc w:val="center"/>
            </w:pPr>
            <w:r/>
            <w:r>
              <w:rPr>
                <w:rFonts w:ascii="宋体" w:hAnsi="宋体" w:eastAsia="宋体"/>
                <w:b w:val="0"/>
                <w:color w:val="000000"/>
                <w:sz w:val="21"/>
              </w:rPr>
              <w:t>BGE-M3（基线）</w:t>
            </w:r>
          </w:p>
        </w:tc>
        <w:tc>
          <w:tcPr>
            <w:tcW w:type="dxa" w:w="1805"/>
          </w:tcPr>
          <w:p>
            <w:pPr>
              <w:jc w:val="center"/>
            </w:pPr>
            <w:r/>
            <w:r>
              <w:rPr>
                <w:rFonts w:ascii="宋体" w:hAnsi="宋体" w:eastAsia="宋体"/>
                <w:b w:val="0"/>
                <w:color w:val="000000"/>
                <w:sz w:val="21"/>
              </w:rPr>
              <w:t>0.0507±0.090</w:t>
            </w:r>
          </w:p>
        </w:tc>
        <w:tc>
          <w:tcPr>
            <w:tcW w:type="dxa" w:w="1805"/>
          </w:tcPr>
          <w:p>
            <w:pPr>
              <w:jc w:val="center"/>
            </w:pPr>
            <w:r/>
            <w:r>
              <w:rPr>
                <w:rFonts w:ascii="宋体" w:hAnsi="宋体" w:eastAsia="宋体"/>
                <w:b w:val="0"/>
                <w:color w:val="000000"/>
                <w:sz w:val="21"/>
              </w:rPr>
              <w:t>0.0274</w:t>
            </w:r>
          </w:p>
        </w:tc>
        <w:tc>
          <w:tcPr>
            <w:tcW w:type="dxa" w:w="1805"/>
          </w:tcPr>
          <w:p>
            <w:pPr>
              <w:jc w:val="center"/>
            </w:pPr>
            <w:r/>
            <w:r>
              <w:rPr>
                <w:rFonts w:ascii="宋体" w:hAnsi="宋体" w:eastAsia="宋体"/>
                <w:b w:val="0"/>
                <w:color w:val="000000"/>
                <w:sz w:val="21"/>
              </w:rPr>
              <w:t>0.0495</w:t>
            </w:r>
          </w:p>
        </w:tc>
        <w:tc>
          <w:tcPr>
            <w:tcW w:type="dxa" w:w="1805"/>
          </w:tcPr>
          <w:p>
            <w:pPr>
              <w:jc w:val="center"/>
            </w:pPr>
            <w:r/>
            <w:r>
              <w:rPr>
                <w:rFonts w:ascii="宋体" w:hAnsi="宋体" w:eastAsia="宋体"/>
                <w:b w:val="0"/>
                <w:color w:val="000000"/>
                <w:sz w:val="21"/>
              </w:rPr>
              <w:t>0.7086</w:t>
            </w:r>
          </w:p>
        </w:tc>
      </w:tr>
      <w:tr>
        <w:tc>
          <w:tcPr>
            <w:tcW w:type="dxa" w:w="1805"/>
          </w:tcPr>
          <w:p>
            <w:pPr>
              <w:jc w:val="center"/>
            </w:pPr>
            <w:r/>
            <w:r>
              <w:rPr>
                <w:rFonts w:ascii="宋体" w:hAnsi="宋体" w:eastAsia="宋体"/>
                <w:b w:val="0"/>
                <w:color w:val="000000"/>
                <w:sz w:val="21"/>
              </w:rPr>
              <w:t>DriftSup（+对抗）</w:t>
            </w:r>
          </w:p>
        </w:tc>
        <w:tc>
          <w:tcPr>
            <w:tcW w:type="dxa" w:w="1805"/>
          </w:tcPr>
          <w:p>
            <w:pPr>
              <w:jc w:val="center"/>
            </w:pPr>
            <w:r/>
            <w:r>
              <w:rPr>
                <w:rFonts w:ascii="宋体" w:hAnsi="宋体" w:eastAsia="宋体"/>
                <w:b w:val="0"/>
                <w:color w:val="000000"/>
                <w:sz w:val="21"/>
              </w:rPr>
              <w:t>0.0321±0.067</w:t>
            </w:r>
          </w:p>
        </w:tc>
        <w:tc>
          <w:tcPr>
            <w:tcW w:type="dxa" w:w="1805"/>
          </w:tcPr>
          <w:p>
            <w:pPr>
              <w:jc w:val="center"/>
            </w:pPr>
            <w:r/>
            <w:r>
              <w:rPr>
                <w:rFonts w:ascii="宋体" w:hAnsi="宋体" w:eastAsia="宋体"/>
                <w:b w:val="0"/>
                <w:color w:val="000000"/>
                <w:sz w:val="21"/>
              </w:rPr>
              <w:t>0.0152</w:t>
            </w:r>
          </w:p>
        </w:tc>
        <w:tc>
          <w:tcPr>
            <w:tcW w:type="dxa" w:w="1805"/>
          </w:tcPr>
          <w:p>
            <w:pPr>
              <w:jc w:val="center"/>
            </w:pPr>
            <w:r/>
            <w:r>
              <w:rPr>
                <w:rFonts w:ascii="宋体" w:hAnsi="宋体" w:eastAsia="宋体"/>
                <w:b w:val="0"/>
                <w:color w:val="000000"/>
                <w:sz w:val="21"/>
              </w:rPr>
              <w:t>0.0340</w:t>
            </w:r>
          </w:p>
        </w:tc>
        <w:tc>
          <w:tcPr>
            <w:tcW w:type="dxa" w:w="1805"/>
          </w:tcPr>
          <w:p>
            <w:pPr>
              <w:jc w:val="center"/>
            </w:pPr>
            <w:r/>
            <w:r>
              <w:rPr>
                <w:rFonts w:ascii="宋体" w:hAnsi="宋体" w:eastAsia="宋体"/>
                <w:b w:val="0"/>
                <w:color w:val="000000"/>
                <w:sz w:val="21"/>
              </w:rPr>
              <w:t>0.6366</w:t>
            </w:r>
          </w:p>
        </w:tc>
      </w:tr>
      <w:tr>
        <w:tc>
          <w:tcPr>
            <w:tcW w:type="dxa" w:w="1805"/>
          </w:tcPr>
          <w:p>
            <w:pPr>
              <w:jc w:val="center"/>
            </w:pPr>
            <w:r/>
            <w:r>
              <w:rPr>
                <w:rFonts w:ascii="宋体" w:hAnsi="宋体" w:eastAsia="宋体"/>
                <w:b w:val="0"/>
                <w:color w:val="000000"/>
                <w:sz w:val="21"/>
              </w:rPr>
              <w:t>DriftSup+KG</w:t>
            </w:r>
          </w:p>
        </w:tc>
        <w:tc>
          <w:tcPr>
            <w:tcW w:type="dxa" w:w="1805"/>
          </w:tcPr>
          <w:p>
            <w:pPr>
              <w:jc w:val="center"/>
            </w:pPr>
            <w:r/>
            <w:r>
              <w:rPr>
                <w:rFonts w:ascii="宋体" w:hAnsi="宋体" w:eastAsia="宋体"/>
                <w:b w:val="0"/>
                <w:color w:val="000000"/>
                <w:sz w:val="21"/>
              </w:rPr>
              <w:t>0.0567±0.098</w:t>
            </w:r>
          </w:p>
        </w:tc>
        <w:tc>
          <w:tcPr>
            <w:tcW w:type="dxa" w:w="1805"/>
          </w:tcPr>
          <w:p>
            <w:pPr>
              <w:jc w:val="center"/>
            </w:pPr>
            <w:r/>
            <w:r>
              <w:rPr>
                <w:rFonts w:ascii="宋体" w:hAnsi="宋体" w:eastAsia="宋体"/>
                <w:b w:val="0"/>
                <w:color w:val="000000"/>
                <w:sz w:val="21"/>
              </w:rPr>
              <w:t>0.0234</w:t>
            </w:r>
          </w:p>
        </w:tc>
        <w:tc>
          <w:tcPr>
            <w:tcW w:type="dxa" w:w="1805"/>
          </w:tcPr>
          <w:p>
            <w:pPr>
              <w:jc w:val="center"/>
            </w:pPr>
            <w:r/>
            <w:r>
              <w:rPr>
                <w:rFonts w:ascii="宋体" w:hAnsi="宋体" w:eastAsia="宋体"/>
                <w:b w:val="0"/>
                <w:color w:val="000000"/>
                <w:sz w:val="21"/>
              </w:rPr>
              <w:t>0.0545</w:t>
            </w:r>
          </w:p>
        </w:tc>
        <w:tc>
          <w:tcPr>
            <w:tcW w:type="dxa" w:w="1805"/>
          </w:tcPr>
          <w:p>
            <w:pPr>
              <w:jc w:val="center"/>
            </w:pPr>
            <w:r/>
            <w:r>
              <w:rPr>
                <w:rFonts w:ascii="宋体" w:hAnsi="宋体" w:eastAsia="宋体"/>
                <w:b w:val="0"/>
                <w:color w:val="000000"/>
                <w:sz w:val="21"/>
              </w:rPr>
              <w:t>0.6011</w:t>
            </w:r>
          </w:p>
        </w:tc>
      </w:tr>
      <w:tr>
        <w:tc>
          <w:tcPr>
            <w:tcW w:type="dxa" w:w="1805"/>
          </w:tcPr>
          <w:p>
            <w:pPr>
              <w:jc w:val="center"/>
            </w:pPr>
            <w:r/>
            <w:r>
              <w:rPr>
                <w:rFonts w:ascii="宋体" w:hAnsi="宋体" w:eastAsia="宋体"/>
                <w:b w:val="0"/>
                <w:color w:val="000000"/>
                <w:sz w:val="21"/>
              </w:rPr>
              <w:t>BGE-M3+KG（最优）</w:t>
            </w:r>
          </w:p>
        </w:tc>
        <w:tc>
          <w:tcPr>
            <w:tcW w:type="dxa" w:w="1805"/>
          </w:tcPr>
          <w:p>
            <w:pPr>
              <w:jc w:val="center"/>
            </w:pPr>
            <w:r/>
            <w:r>
              <w:rPr>
                <w:rFonts w:ascii="宋体" w:hAnsi="宋体" w:eastAsia="宋体"/>
                <w:b w:val="0"/>
                <w:color w:val="000000"/>
                <w:sz w:val="21"/>
              </w:rPr>
              <w:t>0.0651±0.098</w:t>
            </w:r>
          </w:p>
        </w:tc>
        <w:tc>
          <w:tcPr>
            <w:tcW w:type="dxa" w:w="1805"/>
          </w:tcPr>
          <w:p>
            <w:pPr>
              <w:jc w:val="center"/>
            </w:pPr>
            <w:r/>
            <w:r>
              <w:rPr>
                <w:rFonts w:ascii="宋体" w:hAnsi="宋体" w:eastAsia="宋体"/>
                <w:b w:val="0"/>
                <w:color w:val="000000"/>
                <w:sz w:val="21"/>
              </w:rPr>
              <w:t>0.0330</w:t>
            </w:r>
          </w:p>
        </w:tc>
        <w:tc>
          <w:tcPr>
            <w:tcW w:type="dxa" w:w="1805"/>
          </w:tcPr>
          <w:p>
            <w:pPr>
              <w:jc w:val="center"/>
            </w:pPr>
            <w:r/>
            <w:r>
              <w:rPr>
                <w:rFonts w:ascii="宋体" w:hAnsi="宋体" w:eastAsia="宋体"/>
                <w:b w:val="0"/>
                <w:color w:val="000000"/>
                <w:sz w:val="21"/>
              </w:rPr>
              <w:t>0.0650</w:t>
            </w:r>
          </w:p>
        </w:tc>
        <w:tc>
          <w:tcPr>
            <w:tcW w:type="dxa" w:w="1805"/>
          </w:tcPr>
          <w:p>
            <w:pPr>
              <w:jc w:val="center"/>
            </w:pPr>
            <w:r/>
            <w:r>
              <w:rPr>
                <w:rFonts w:ascii="宋体" w:hAnsi="宋体" w:eastAsia="宋体"/>
                <w:b w:val="0"/>
                <w:color w:val="000000"/>
                <w:sz w:val="21"/>
              </w:rPr>
              <w:t>0.5520</w:t>
            </w:r>
          </w:p>
        </w:tc>
      </w:tr>
    </w:tbl>
    <w:p/>
    <w:p>
      <w:pPr>
        <w:spacing w:line="360" w:lineRule="auto" w:before="120" w:after="120"/>
        <w:ind w:firstLine="0"/>
        <w:jc w:val="left"/>
      </w:pPr>
      <w:r>
        <w:rPr>
          <w:rFonts w:ascii="黑体" w:hAnsi="黑体" w:eastAsia="黑体"/>
          <w:b/>
          <w:color w:val="000000"/>
          <w:sz w:val="24"/>
        </w:rPr>
        <w:t>6.2  不同语言对表现</w:t>
      </w:r>
    </w:p>
    <w:p>
      <w:pPr>
        <w:spacing w:line="360" w:lineRule="auto" w:after="120"/>
        <w:ind w:firstLine="420"/>
        <w:jc w:val="both"/>
      </w:pPr>
      <w:r>
        <w:rPr>
          <w:rFonts w:ascii="宋体" w:hAnsi="宋体" w:eastAsia="宋体"/>
          <w:b w:val="0"/>
          <w:color w:val="000000"/>
          <w:sz w:val="24"/>
        </w:rPr>
        <w:t>图3展示了10组语言对的检索性能。中-英语言对表现最好（BGE-M3: nDCG@10=0.0527），低资源语言对（俄-阿、阿-西）表现较弱，与语料中华语/英语占比偏高（84%）及阿拉伯语、俄语样本不足（分别仅8篇和62篇）有关。</w:t>
      </w:r>
    </w:p>
    <w:p>
      <w:pPr>
        <w:jc w:val="center"/>
      </w:pPr>
      <w:r>
        <w:drawing>
          <wp:inline xmlns:a="http://schemas.openxmlformats.org/drawingml/2006/main" xmlns:pic="http://schemas.openxmlformats.org/drawingml/2006/picture">
            <wp:extent cx="5029200" cy="2485346"/>
            <wp:docPr id="4" name="Picture 4"/>
            <wp:cNvGraphicFramePr>
              <a:graphicFrameLocks noChangeAspect="1"/>
            </wp:cNvGraphicFramePr>
            <a:graphic>
              <a:graphicData uri="http://schemas.openxmlformats.org/drawingml/2006/picture">
                <pic:pic>
                  <pic:nvPicPr>
                    <pic:cNvPr id="0" name="fig3_langpairs.png"/>
                    <pic:cNvPicPr/>
                  </pic:nvPicPr>
                  <pic:blipFill>
                    <a:blip r:embed="rId12"/>
                    <a:stretch>
                      <a:fillRect/>
                    </a:stretch>
                  </pic:blipFill>
                  <pic:spPr>
                    <a:xfrm>
                      <a:off x="0" y="0"/>
                      <a:ext cx="5029200" cy="2485346"/>
                    </a:xfrm>
                    <a:prstGeom prst="rect"/>
                  </pic:spPr>
                </pic:pic>
              </a:graphicData>
            </a:graphic>
          </wp:inline>
        </w:drawing>
      </w:r>
    </w:p>
    <w:p>
      <w:pPr>
        <w:spacing w:after="240"/>
        <w:jc w:val="center"/>
      </w:pPr>
      <w:r>
        <w:rPr>
          <w:rFonts w:ascii="宋体" w:hAnsi="宋体" w:eastAsia="宋体"/>
          <w:b w:val="0"/>
          <w:color w:val="000000"/>
          <w:sz w:val="21"/>
        </w:rPr>
        <w:t>图3  10组语言对检索性能对比</w:t>
      </w:r>
    </w:p>
    <w:p>
      <w:pPr>
        <w:jc w:val="center"/>
      </w:pPr>
      <w:r>
        <w:rPr>
          <w:rFonts w:ascii="宋体" w:hAnsi="宋体" w:eastAsia="宋体"/>
          <w:b/>
          <w:color w:val="000000"/>
          <w:sz w:val="21"/>
        </w:rPr>
        <w:t>表7  不同语言对检索性能（RTX 3090实测）</w:t>
      </w:r>
    </w:p>
    <w:tbl>
      <w:tblPr>
        <w:tblW w:type="auto" w:w="0"/>
        <w:jc w:val="center"/>
        <w:tblLook w:firstColumn="1" w:firstRow="1" w:lastColumn="0" w:lastRow="0" w:noHBand="0" w:noVBand="1" w:val="04A0"/>
        <w:tblBorders>
          <w:top w:val="single" w:sz="12" w:color="000000"/>
          <w:bottom w:val="single" w:sz="12" w:color="000000"/>
          <w:left w:val="nil"/>
          <w:right w:val="nil"/>
          <w:insideV w:val="nil"/>
          <w:insideH w:val="nil"/>
        </w:tblBorders>
      </w:tblPr>
      <w:tblGrid>
        <w:gridCol w:w="2256"/>
        <w:gridCol w:w="2256"/>
        <w:gridCol w:w="2256"/>
        <w:gridCol w:w="2256"/>
      </w:tblGrid>
      <w:tr>
        <w:tc>
          <w:tcPr>
            <w:tcW w:type="dxa" w:w="2256"/>
          </w:tcPr>
          <w:p>
            <w:pPr>
              <w:jc w:val="center"/>
            </w:pPr>
            <w:r/>
            <w:r>
              <w:rPr>
                <w:rFonts w:ascii="宋体" w:hAnsi="宋体" w:eastAsia="宋体"/>
                <w:b/>
                <w:color w:val="000000"/>
                <w:sz w:val="21"/>
              </w:rPr>
              <w:t>语言对</w:t>
            </w:r>
          </w:p>
        </w:tc>
        <w:tc>
          <w:tcPr>
            <w:tcW w:type="dxa" w:w="2256"/>
          </w:tcPr>
          <w:p>
            <w:pPr>
              <w:jc w:val="center"/>
            </w:pPr>
            <w:r/>
            <w:r>
              <w:rPr>
                <w:rFonts w:ascii="宋体" w:hAnsi="宋体" w:eastAsia="宋体"/>
                <w:b/>
                <w:color w:val="000000"/>
                <w:sz w:val="21"/>
              </w:rPr>
              <w:t>BGE-M3</w:t>
            </w:r>
          </w:p>
        </w:tc>
        <w:tc>
          <w:tcPr>
            <w:tcW w:type="dxa" w:w="2256"/>
          </w:tcPr>
          <w:p>
            <w:pPr>
              <w:jc w:val="center"/>
            </w:pPr>
            <w:r/>
            <w:r>
              <w:rPr>
                <w:rFonts w:ascii="宋体" w:hAnsi="宋体" w:eastAsia="宋体"/>
                <w:b/>
                <w:color w:val="000000"/>
                <w:sz w:val="21"/>
              </w:rPr>
              <w:t>DriftSup+KG</w:t>
            </w:r>
          </w:p>
        </w:tc>
        <w:tc>
          <w:tcPr>
            <w:tcW w:type="dxa" w:w="2256"/>
          </w:tcPr>
          <w:p>
            <w:pPr>
              <w:jc w:val="center"/>
            </w:pPr>
            <w:r/>
            <w:r>
              <w:rPr>
                <w:rFonts w:ascii="宋体" w:hAnsi="宋体" w:eastAsia="宋体"/>
                <w:b/>
                <w:color w:val="000000"/>
                <w:sz w:val="21"/>
              </w:rPr>
              <w:t>查询数</w:t>
            </w:r>
          </w:p>
        </w:tc>
      </w:tr>
      <w:tr>
        <w:tc>
          <w:tcPr>
            <w:tcW w:type="dxa" w:w="2256"/>
          </w:tcPr>
          <w:p>
            <w:pPr>
              <w:jc w:val="center"/>
            </w:pPr>
            <w:r/>
            <w:r>
              <w:rPr>
                <w:rFonts w:ascii="宋体" w:hAnsi="宋体" w:eastAsia="宋体"/>
                <w:b w:val="0"/>
                <w:color w:val="000000"/>
                <w:sz w:val="21"/>
              </w:rPr>
              <w:t>中-英</w:t>
            </w:r>
          </w:p>
        </w:tc>
        <w:tc>
          <w:tcPr>
            <w:tcW w:type="dxa" w:w="2256"/>
          </w:tcPr>
          <w:p>
            <w:pPr>
              <w:jc w:val="center"/>
            </w:pPr>
            <w:r/>
            <w:r>
              <w:rPr>
                <w:rFonts w:ascii="宋体" w:hAnsi="宋体" w:eastAsia="宋体"/>
                <w:b w:val="0"/>
                <w:color w:val="000000"/>
                <w:sz w:val="21"/>
              </w:rPr>
              <w:t>0.0527</w:t>
            </w:r>
          </w:p>
        </w:tc>
        <w:tc>
          <w:tcPr>
            <w:tcW w:type="dxa" w:w="2256"/>
          </w:tcPr>
          <w:p>
            <w:pPr>
              <w:jc w:val="center"/>
            </w:pPr>
            <w:r/>
            <w:r>
              <w:rPr>
                <w:rFonts w:ascii="宋体" w:hAnsi="宋体" w:eastAsia="宋体"/>
                <w:b w:val="0"/>
                <w:color w:val="000000"/>
                <w:sz w:val="21"/>
              </w:rPr>
              <w:t>0.0426</w:t>
            </w:r>
          </w:p>
        </w:tc>
        <w:tc>
          <w:tcPr>
            <w:tcW w:type="dxa" w:w="2256"/>
          </w:tcPr>
          <w:p>
            <w:pPr>
              <w:jc w:val="center"/>
            </w:pPr>
            <w:r/>
            <w:r>
              <w:rPr>
                <w:rFonts w:ascii="宋体" w:hAnsi="宋体" w:eastAsia="宋体"/>
                <w:b w:val="0"/>
                <w:color w:val="000000"/>
                <w:sz w:val="21"/>
              </w:rPr>
              <w:t>40</w:t>
            </w:r>
          </w:p>
        </w:tc>
      </w:tr>
      <w:tr>
        <w:tc>
          <w:tcPr>
            <w:tcW w:type="dxa" w:w="2256"/>
          </w:tcPr>
          <w:p>
            <w:pPr>
              <w:jc w:val="center"/>
            </w:pPr>
            <w:r/>
            <w:r>
              <w:rPr>
                <w:rFonts w:ascii="宋体" w:hAnsi="宋体" w:eastAsia="宋体"/>
                <w:b w:val="0"/>
                <w:color w:val="000000"/>
                <w:sz w:val="21"/>
              </w:rPr>
              <w:t>中-俄</w:t>
            </w:r>
          </w:p>
        </w:tc>
        <w:tc>
          <w:tcPr>
            <w:tcW w:type="dxa" w:w="2256"/>
          </w:tcPr>
          <w:p>
            <w:pPr>
              <w:jc w:val="center"/>
            </w:pPr>
            <w:r/>
            <w:r>
              <w:rPr>
                <w:rFonts w:ascii="宋体" w:hAnsi="宋体" w:eastAsia="宋体"/>
                <w:b w:val="0"/>
                <w:color w:val="000000"/>
                <w:sz w:val="21"/>
              </w:rPr>
              <w:t>0.0512</w:t>
            </w:r>
          </w:p>
        </w:tc>
        <w:tc>
          <w:tcPr>
            <w:tcW w:type="dxa" w:w="2256"/>
          </w:tcPr>
          <w:p>
            <w:pPr>
              <w:jc w:val="center"/>
            </w:pPr>
            <w:r/>
            <w:r>
              <w:rPr>
                <w:rFonts w:ascii="宋体" w:hAnsi="宋体" w:eastAsia="宋体"/>
                <w:b w:val="0"/>
                <w:color w:val="000000"/>
                <w:sz w:val="21"/>
              </w:rPr>
              <w:t>0.0305</w:t>
            </w:r>
          </w:p>
        </w:tc>
        <w:tc>
          <w:tcPr>
            <w:tcW w:type="dxa" w:w="2256"/>
          </w:tcPr>
          <w:p>
            <w:pPr>
              <w:jc w:val="center"/>
            </w:pPr>
            <w:r/>
            <w:r>
              <w:rPr>
                <w:rFonts w:ascii="宋体" w:hAnsi="宋体" w:eastAsia="宋体"/>
                <w:b w:val="0"/>
                <w:color w:val="000000"/>
                <w:sz w:val="21"/>
              </w:rPr>
              <w:t>40</w:t>
            </w:r>
          </w:p>
        </w:tc>
      </w:tr>
      <w:tr>
        <w:tc>
          <w:tcPr>
            <w:tcW w:type="dxa" w:w="2256"/>
          </w:tcPr>
          <w:p>
            <w:pPr>
              <w:jc w:val="center"/>
            </w:pPr>
            <w:r/>
            <w:r>
              <w:rPr>
                <w:rFonts w:ascii="宋体" w:hAnsi="宋体" w:eastAsia="宋体"/>
                <w:b w:val="0"/>
                <w:color w:val="000000"/>
                <w:sz w:val="21"/>
              </w:rPr>
              <w:t>英-俄</w:t>
            </w:r>
          </w:p>
        </w:tc>
        <w:tc>
          <w:tcPr>
            <w:tcW w:type="dxa" w:w="2256"/>
          </w:tcPr>
          <w:p>
            <w:pPr>
              <w:jc w:val="center"/>
            </w:pPr>
            <w:r/>
            <w:r>
              <w:rPr>
                <w:rFonts w:ascii="宋体" w:hAnsi="宋体" w:eastAsia="宋体"/>
                <w:b w:val="0"/>
                <w:color w:val="000000"/>
                <w:sz w:val="21"/>
              </w:rPr>
              <w:t>0.0134</w:t>
            </w:r>
          </w:p>
        </w:tc>
        <w:tc>
          <w:tcPr>
            <w:tcW w:type="dxa" w:w="2256"/>
          </w:tcPr>
          <w:p>
            <w:pPr>
              <w:jc w:val="center"/>
            </w:pPr>
            <w:r/>
            <w:r>
              <w:rPr>
                <w:rFonts w:ascii="宋体" w:hAnsi="宋体" w:eastAsia="宋体"/>
                <w:b w:val="0"/>
                <w:color w:val="000000"/>
                <w:sz w:val="21"/>
              </w:rPr>
              <w:t>0.0190</w:t>
            </w:r>
          </w:p>
        </w:tc>
        <w:tc>
          <w:tcPr>
            <w:tcW w:type="dxa" w:w="2256"/>
          </w:tcPr>
          <w:p>
            <w:pPr>
              <w:jc w:val="center"/>
            </w:pPr>
            <w:r/>
            <w:r>
              <w:rPr>
                <w:rFonts w:ascii="宋体" w:hAnsi="宋体" w:eastAsia="宋体"/>
                <w:b w:val="0"/>
                <w:color w:val="000000"/>
                <w:sz w:val="21"/>
              </w:rPr>
              <w:t>40</w:t>
            </w:r>
          </w:p>
        </w:tc>
      </w:tr>
      <w:tr>
        <w:tc>
          <w:tcPr>
            <w:tcW w:type="dxa" w:w="2256"/>
          </w:tcPr>
          <w:p>
            <w:pPr>
              <w:jc w:val="center"/>
            </w:pPr>
            <w:r/>
            <w:r>
              <w:rPr>
                <w:rFonts w:ascii="宋体" w:hAnsi="宋体" w:eastAsia="宋体"/>
                <w:b w:val="0"/>
                <w:color w:val="000000"/>
                <w:sz w:val="21"/>
              </w:rPr>
              <w:t>英-阿</w:t>
            </w:r>
          </w:p>
        </w:tc>
        <w:tc>
          <w:tcPr>
            <w:tcW w:type="dxa" w:w="2256"/>
          </w:tcPr>
          <w:p>
            <w:pPr>
              <w:jc w:val="center"/>
            </w:pPr>
            <w:r/>
            <w:r>
              <w:rPr>
                <w:rFonts w:ascii="宋体" w:hAnsi="宋体" w:eastAsia="宋体"/>
                <w:b w:val="0"/>
                <w:color w:val="000000"/>
                <w:sz w:val="21"/>
              </w:rPr>
              <w:t>0.0134</w:t>
            </w:r>
          </w:p>
        </w:tc>
        <w:tc>
          <w:tcPr>
            <w:tcW w:type="dxa" w:w="2256"/>
          </w:tcPr>
          <w:p>
            <w:pPr>
              <w:jc w:val="center"/>
            </w:pPr>
            <w:r/>
            <w:r>
              <w:rPr>
                <w:rFonts w:ascii="宋体" w:hAnsi="宋体" w:eastAsia="宋体"/>
                <w:b w:val="0"/>
                <w:color w:val="000000"/>
                <w:sz w:val="21"/>
              </w:rPr>
              <w:t>0.0167</w:t>
            </w:r>
          </w:p>
        </w:tc>
        <w:tc>
          <w:tcPr>
            <w:tcW w:type="dxa" w:w="2256"/>
          </w:tcPr>
          <w:p>
            <w:pPr>
              <w:jc w:val="center"/>
            </w:pPr>
            <w:r/>
            <w:r>
              <w:rPr>
                <w:rFonts w:ascii="宋体" w:hAnsi="宋体" w:eastAsia="宋体"/>
                <w:b w:val="0"/>
                <w:color w:val="000000"/>
                <w:sz w:val="21"/>
              </w:rPr>
              <w:t>40</w:t>
            </w:r>
          </w:p>
        </w:tc>
      </w:tr>
      <w:tr>
        <w:tc>
          <w:tcPr>
            <w:tcW w:type="dxa" w:w="2256"/>
          </w:tcPr>
          <w:p>
            <w:pPr>
              <w:jc w:val="center"/>
            </w:pPr>
            <w:r/>
            <w:r>
              <w:rPr>
                <w:rFonts w:ascii="宋体" w:hAnsi="宋体" w:eastAsia="宋体"/>
                <w:b w:val="0"/>
                <w:color w:val="000000"/>
                <w:sz w:val="21"/>
              </w:rPr>
              <w:t>英-西</w:t>
            </w:r>
          </w:p>
        </w:tc>
        <w:tc>
          <w:tcPr>
            <w:tcW w:type="dxa" w:w="2256"/>
          </w:tcPr>
          <w:p>
            <w:pPr>
              <w:jc w:val="center"/>
            </w:pPr>
            <w:r/>
            <w:r>
              <w:rPr>
                <w:rFonts w:ascii="宋体" w:hAnsi="宋体" w:eastAsia="宋体"/>
                <w:b w:val="0"/>
                <w:color w:val="000000"/>
                <w:sz w:val="21"/>
              </w:rPr>
              <w:t>0.0134</w:t>
            </w:r>
          </w:p>
        </w:tc>
        <w:tc>
          <w:tcPr>
            <w:tcW w:type="dxa" w:w="2256"/>
          </w:tcPr>
          <w:p>
            <w:pPr>
              <w:jc w:val="center"/>
            </w:pPr>
            <w:r/>
            <w:r>
              <w:rPr>
                <w:rFonts w:ascii="宋体" w:hAnsi="宋体" w:eastAsia="宋体"/>
                <w:b w:val="0"/>
                <w:color w:val="000000"/>
                <w:sz w:val="21"/>
              </w:rPr>
              <w:t>0.0167</w:t>
            </w:r>
          </w:p>
        </w:tc>
        <w:tc>
          <w:tcPr>
            <w:tcW w:type="dxa" w:w="2256"/>
          </w:tcPr>
          <w:p>
            <w:pPr>
              <w:jc w:val="center"/>
            </w:pPr>
            <w:r/>
            <w:r>
              <w:rPr>
                <w:rFonts w:ascii="宋体" w:hAnsi="宋体" w:eastAsia="宋体"/>
                <w:b w:val="0"/>
                <w:color w:val="000000"/>
                <w:sz w:val="21"/>
              </w:rPr>
              <w:t>40</w:t>
            </w:r>
          </w:p>
        </w:tc>
      </w:tr>
      <w:tr>
        <w:tc>
          <w:tcPr>
            <w:tcW w:type="dxa" w:w="2256"/>
          </w:tcPr>
          <w:p>
            <w:pPr>
              <w:jc w:val="center"/>
            </w:pPr>
            <w:r/>
            <w:r>
              <w:rPr>
                <w:rFonts w:ascii="宋体" w:hAnsi="宋体" w:eastAsia="宋体"/>
                <w:b w:val="0"/>
                <w:color w:val="000000"/>
                <w:sz w:val="21"/>
              </w:rPr>
              <w:t>中-阿</w:t>
            </w:r>
          </w:p>
        </w:tc>
        <w:tc>
          <w:tcPr>
            <w:tcW w:type="dxa" w:w="2256"/>
          </w:tcPr>
          <w:p>
            <w:pPr>
              <w:jc w:val="center"/>
            </w:pPr>
            <w:r/>
            <w:r>
              <w:rPr>
                <w:rFonts w:ascii="宋体" w:hAnsi="宋体" w:eastAsia="宋体"/>
                <w:b w:val="0"/>
                <w:color w:val="000000"/>
                <w:sz w:val="21"/>
              </w:rPr>
              <w:t>0.0512</w:t>
            </w:r>
          </w:p>
        </w:tc>
        <w:tc>
          <w:tcPr>
            <w:tcW w:type="dxa" w:w="2256"/>
          </w:tcPr>
          <w:p>
            <w:pPr>
              <w:jc w:val="center"/>
            </w:pPr>
            <w:r/>
            <w:r>
              <w:rPr>
                <w:rFonts w:ascii="宋体" w:hAnsi="宋体" w:eastAsia="宋体"/>
                <w:b w:val="0"/>
                <w:color w:val="000000"/>
                <w:sz w:val="21"/>
              </w:rPr>
              <w:t>0.0262</w:t>
            </w:r>
          </w:p>
        </w:tc>
        <w:tc>
          <w:tcPr>
            <w:tcW w:type="dxa" w:w="2256"/>
          </w:tcPr>
          <w:p>
            <w:pPr>
              <w:jc w:val="center"/>
            </w:pPr>
            <w:r/>
            <w:r>
              <w:rPr>
                <w:rFonts w:ascii="宋体" w:hAnsi="宋体" w:eastAsia="宋体"/>
                <w:b w:val="0"/>
                <w:color w:val="000000"/>
                <w:sz w:val="21"/>
              </w:rPr>
              <w:t>40</w:t>
            </w:r>
          </w:p>
        </w:tc>
      </w:tr>
      <w:tr>
        <w:tc>
          <w:tcPr>
            <w:tcW w:type="dxa" w:w="2256"/>
          </w:tcPr>
          <w:p>
            <w:pPr>
              <w:jc w:val="center"/>
            </w:pPr>
            <w:r/>
            <w:r>
              <w:rPr>
                <w:rFonts w:ascii="宋体" w:hAnsi="宋体" w:eastAsia="宋体"/>
                <w:b w:val="0"/>
                <w:color w:val="000000"/>
                <w:sz w:val="21"/>
              </w:rPr>
              <w:t>中-西</w:t>
            </w:r>
          </w:p>
        </w:tc>
        <w:tc>
          <w:tcPr>
            <w:tcW w:type="dxa" w:w="2256"/>
          </w:tcPr>
          <w:p>
            <w:pPr>
              <w:jc w:val="center"/>
            </w:pPr>
            <w:r/>
            <w:r>
              <w:rPr>
                <w:rFonts w:ascii="宋体" w:hAnsi="宋体" w:eastAsia="宋体"/>
                <w:b w:val="0"/>
                <w:color w:val="000000"/>
                <w:sz w:val="21"/>
              </w:rPr>
              <w:t>0.0512</w:t>
            </w:r>
          </w:p>
        </w:tc>
        <w:tc>
          <w:tcPr>
            <w:tcW w:type="dxa" w:w="2256"/>
          </w:tcPr>
          <w:p>
            <w:pPr>
              <w:jc w:val="center"/>
            </w:pPr>
            <w:r/>
            <w:r>
              <w:rPr>
                <w:rFonts w:ascii="宋体" w:hAnsi="宋体" w:eastAsia="宋体"/>
                <w:b w:val="0"/>
                <w:color w:val="000000"/>
                <w:sz w:val="21"/>
              </w:rPr>
              <w:t>0.0315</w:t>
            </w:r>
          </w:p>
        </w:tc>
        <w:tc>
          <w:tcPr>
            <w:tcW w:type="dxa" w:w="2256"/>
          </w:tcPr>
          <w:p>
            <w:pPr>
              <w:jc w:val="center"/>
            </w:pPr>
            <w:r/>
            <w:r>
              <w:rPr>
                <w:rFonts w:ascii="宋体" w:hAnsi="宋体" w:eastAsia="宋体"/>
                <w:b w:val="0"/>
                <w:color w:val="000000"/>
                <w:sz w:val="21"/>
              </w:rPr>
              <w:t>40</w:t>
            </w:r>
          </w:p>
        </w:tc>
      </w:tr>
      <w:tr>
        <w:tc>
          <w:tcPr>
            <w:tcW w:type="dxa" w:w="2256"/>
          </w:tcPr>
          <w:p>
            <w:pPr>
              <w:jc w:val="center"/>
            </w:pPr>
            <w:r/>
            <w:r>
              <w:rPr>
                <w:rFonts w:ascii="宋体" w:hAnsi="宋体" w:eastAsia="宋体"/>
                <w:b w:val="0"/>
                <w:color w:val="000000"/>
                <w:sz w:val="21"/>
              </w:rPr>
              <w:t>俄-阿</w:t>
            </w:r>
          </w:p>
        </w:tc>
        <w:tc>
          <w:tcPr>
            <w:tcW w:type="dxa" w:w="2256"/>
          </w:tcPr>
          <w:p>
            <w:pPr>
              <w:jc w:val="center"/>
            </w:pPr>
            <w:r/>
            <w:r>
              <w:rPr>
                <w:rFonts w:ascii="宋体" w:hAnsi="宋体" w:eastAsia="宋体"/>
                <w:b w:val="0"/>
                <w:color w:val="000000"/>
                <w:sz w:val="21"/>
              </w:rPr>
              <w:t>0.0080</w:t>
            </w:r>
          </w:p>
        </w:tc>
        <w:tc>
          <w:tcPr>
            <w:tcW w:type="dxa" w:w="2256"/>
          </w:tcPr>
          <w:p>
            <w:pPr>
              <w:jc w:val="center"/>
            </w:pPr>
            <w:r/>
            <w:r>
              <w:rPr>
                <w:rFonts w:ascii="宋体" w:hAnsi="宋体" w:eastAsia="宋体"/>
                <w:b w:val="0"/>
                <w:color w:val="000000"/>
                <w:sz w:val="21"/>
              </w:rPr>
              <w:t>0.0074</w:t>
            </w:r>
          </w:p>
        </w:tc>
        <w:tc>
          <w:tcPr>
            <w:tcW w:type="dxa" w:w="2256"/>
          </w:tcPr>
          <w:p>
            <w:pPr>
              <w:jc w:val="center"/>
            </w:pPr>
            <w:r/>
            <w:r>
              <w:rPr>
                <w:rFonts w:ascii="宋体" w:hAnsi="宋体" w:eastAsia="宋体"/>
                <w:b w:val="0"/>
                <w:color w:val="000000"/>
                <w:sz w:val="21"/>
              </w:rPr>
              <w:t>40</w:t>
            </w:r>
          </w:p>
        </w:tc>
      </w:tr>
      <w:tr>
        <w:tc>
          <w:tcPr>
            <w:tcW w:type="dxa" w:w="2256"/>
          </w:tcPr>
          <w:p>
            <w:pPr>
              <w:jc w:val="center"/>
            </w:pPr>
            <w:r/>
            <w:r>
              <w:rPr>
                <w:rFonts w:ascii="宋体" w:hAnsi="宋体" w:eastAsia="宋体"/>
                <w:b w:val="0"/>
                <w:color w:val="000000"/>
                <w:sz w:val="21"/>
              </w:rPr>
              <w:t>俄-西</w:t>
            </w:r>
          </w:p>
        </w:tc>
        <w:tc>
          <w:tcPr>
            <w:tcW w:type="dxa" w:w="2256"/>
          </w:tcPr>
          <w:p>
            <w:pPr>
              <w:jc w:val="center"/>
            </w:pPr>
            <w:r/>
            <w:r>
              <w:rPr>
                <w:rFonts w:ascii="宋体" w:hAnsi="宋体" w:eastAsia="宋体"/>
                <w:b w:val="0"/>
                <w:color w:val="000000"/>
                <w:sz w:val="21"/>
              </w:rPr>
              <w:t>0.0068</w:t>
            </w:r>
          </w:p>
        </w:tc>
        <w:tc>
          <w:tcPr>
            <w:tcW w:type="dxa" w:w="2256"/>
          </w:tcPr>
          <w:p>
            <w:pPr>
              <w:jc w:val="center"/>
            </w:pPr>
            <w:r/>
            <w:r>
              <w:rPr>
                <w:rFonts w:ascii="宋体" w:hAnsi="宋体" w:eastAsia="宋体"/>
                <w:b w:val="0"/>
                <w:color w:val="000000"/>
                <w:sz w:val="21"/>
              </w:rPr>
              <w:t>0.0069</w:t>
            </w:r>
          </w:p>
        </w:tc>
        <w:tc>
          <w:tcPr>
            <w:tcW w:type="dxa" w:w="2256"/>
          </w:tcPr>
          <w:p>
            <w:pPr>
              <w:jc w:val="center"/>
            </w:pPr>
            <w:r/>
            <w:r>
              <w:rPr>
                <w:rFonts w:ascii="宋体" w:hAnsi="宋体" w:eastAsia="宋体"/>
                <w:b w:val="0"/>
                <w:color w:val="000000"/>
                <w:sz w:val="21"/>
              </w:rPr>
              <w:t>40</w:t>
            </w:r>
          </w:p>
        </w:tc>
      </w:tr>
      <w:tr>
        <w:tc>
          <w:tcPr>
            <w:tcW w:type="dxa" w:w="2256"/>
          </w:tcPr>
          <w:p>
            <w:pPr>
              <w:jc w:val="center"/>
            </w:pPr>
            <w:r/>
            <w:r>
              <w:rPr>
                <w:rFonts w:ascii="宋体" w:hAnsi="宋体" w:eastAsia="宋体"/>
                <w:b w:val="0"/>
                <w:color w:val="000000"/>
                <w:sz w:val="21"/>
              </w:rPr>
              <w:t>阿-西</w:t>
            </w:r>
          </w:p>
        </w:tc>
        <w:tc>
          <w:tcPr>
            <w:tcW w:type="dxa" w:w="2256"/>
          </w:tcPr>
          <w:p>
            <w:pPr>
              <w:jc w:val="center"/>
            </w:pPr>
            <w:r/>
            <w:r>
              <w:rPr>
                <w:rFonts w:ascii="宋体" w:hAnsi="宋体" w:eastAsia="宋体"/>
                <w:b w:val="0"/>
                <w:color w:val="000000"/>
                <w:sz w:val="21"/>
              </w:rPr>
              <w:t>0.0140</w:t>
            </w:r>
          </w:p>
        </w:tc>
        <w:tc>
          <w:tcPr>
            <w:tcW w:type="dxa" w:w="2256"/>
          </w:tcPr>
          <w:p>
            <w:pPr>
              <w:jc w:val="center"/>
            </w:pPr>
            <w:r/>
            <w:r>
              <w:rPr>
                <w:rFonts w:ascii="宋体" w:hAnsi="宋体" w:eastAsia="宋体"/>
                <w:b w:val="0"/>
                <w:color w:val="000000"/>
                <w:sz w:val="21"/>
              </w:rPr>
              <w:t>0.0014</w:t>
            </w:r>
          </w:p>
        </w:tc>
        <w:tc>
          <w:tcPr>
            <w:tcW w:type="dxa" w:w="2256"/>
          </w:tcPr>
          <w:p>
            <w:pPr>
              <w:jc w:val="center"/>
            </w:pPr>
            <w:r/>
            <w:r>
              <w:rPr>
                <w:rFonts w:ascii="宋体" w:hAnsi="宋体" w:eastAsia="宋体"/>
                <w:b w:val="0"/>
                <w:color w:val="000000"/>
                <w:sz w:val="21"/>
              </w:rPr>
              <w:t>40</w:t>
            </w:r>
          </w:p>
        </w:tc>
      </w:tr>
    </w:tbl>
    <w:p/>
    <w:p>
      <w:pPr>
        <w:spacing w:line="360" w:lineRule="auto" w:before="120" w:after="120"/>
        <w:ind w:firstLine="0"/>
        <w:jc w:val="left"/>
      </w:pPr>
      <w:r>
        <w:rPr>
          <w:rFonts w:ascii="黑体" w:hAnsi="黑体" w:eastAsia="黑体"/>
          <w:b/>
          <w:color w:val="000000"/>
          <w:sz w:val="24"/>
        </w:rPr>
        <w:t>6.3  消融实验</w:t>
      </w:r>
    </w:p>
    <w:p>
      <w:pPr>
        <w:spacing w:line="360" w:lineRule="auto" w:after="120"/>
        <w:ind w:firstLine="420"/>
        <w:jc w:val="both"/>
      </w:pPr>
      <w:r>
        <w:rPr>
          <w:rFonts w:ascii="宋体" w:hAnsi="宋体" w:eastAsia="宋体"/>
          <w:b w:val="0"/>
          <w:color w:val="000000"/>
          <w:sz w:val="24"/>
        </w:rPr>
        <w:t>图4和表8展示了消融实验结果。知识图谱增强对Drift-Score降低贡献最大（22.1%，0.7086→0.5520），同时使nDCG@10从0.0507提升至0.0651；DriftSup对抗训练单独降低Drift-Score 10.2%，但nDCG略有下降，表明对抗训练在漂移抑制与检索精度之间存在权衡。</w:t>
      </w:r>
    </w:p>
    <w:p>
      <w:pPr>
        <w:jc w:val="center"/>
      </w:pPr>
      <w:r>
        <w:drawing>
          <wp:inline xmlns:a="http://schemas.openxmlformats.org/drawingml/2006/main" xmlns:pic="http://schemas.openxmlformats.org/drawingml/2006/picture">
            <wp:extent cx="4572000" cy="2825589"/>
            <wp:docPr id="5" name="Picture 5"/>
            <wp:cNvGraphicFramePr>
              <a:graphicFrameLocks noChangeAspect="1"/>
            </wp:cNvGraphicFramePr>
            <a:graphic>
              <a:graphicData uri="http://schemas.openxmlformats.org/drawingml/2006/picture">
                <pic:pic>
                  <pic:nvPicPr>
                    <pic:cNvPr id="0" name="fig4_ablation.png"/>
                    <pic:cNvPicPr/>
                  </pic:nvPicPr>
                  <pic:blipFill>
                    <a:blip r:embed="rId13"/>
                    <a:stretch>
                      <a:fillRect/>
                    </a:stretch>
                  </pic:blipFill>
                  <pic:spPr>
                    <a:xfrm>
                      <a:off x="0" y="0"/>
                      <a:ext cx="4572000" cy="2825589"/>
                    </a:xfrm>
                    <a:prstGeom prst="rect"/>
                  </pic:spPr>
                </pic:pic>
              </a:graphicData>
            </a:graphic>
          </wp:inline>
        </w:drawing>
      </w:r>
    </w:p>
    <w:p>
      <w:pPr>
        <w:spacing w:after="240"/>
        <w:jc w:val="center"/>
      </w:pPr>
      <w:r>
        <w:rPr>
          <w:rFonts w:ascii="宋体" w:hAnsi="宋体" w:eastAsia="宋体"/>
          <w:b w:val="0"/>
          <w:color w:val="000000"/>
          <w:sz w:val="21"/>
        </w:rPr>
        <w:t>图4  消融实验结果</w:t>
      </w:r>
    </w:p>
    <w:p>
      <w:pPr>
        <w:jc w:val="center"/>
      </w:pPr>
      <w:r>
        <w:rPr>
          <w:rFonts w:ascii="宋体" w:hAnsi="宋体" w:eastAsia="宋体"/>
          <w:b/>
          <w:color w:val="000000"/>
          <w:sz w:val="21"/>
        </w:rPr>
        <w:t>表8  消融实验结果（RTX 3090实测）</w:t>
      </w:r>
    </w:p>
    <w:tbl>
      <w:tblPr>
        <w:tblW w:type="auto" w:w="0"/>
        <w:jc w:val="center"/>
        <w:tblLook w:firstColumn="1" w:firstRow="1" w:lastColumn="0" w:lastRow="0" w:noHBand="0" w:noVBand="1" w:val="04A0"/>
        <w:tblBorders>
          <w:top w:val="single" w:sz="12" w:color="000000"/>
          <w:bottom w:val="single" w:sz="12" w:color="000000"/>
          <w:left w:val="nil"/>
          <w:right w:val="nil"/>
          <w:insideV w:val="nil"/>
          <w:insideH w:val="nil"/>
        </w:tblBorders>
      </w:tblPr>
      <w:tblGrid>
        <w:gridCol w:w="2256"/>
        <w:gridCol w:w="2256"/>
        <w:gridCol w:w="2256"/>
        <w:gridCol w:w="2256"/>
      </w:tblGrid>
      <w:tr>
        <w:tc>
          <w:tcPr>
            <w:tcW w:type="dxa" w:w="2256"/>
          </w:tcPr>
          <w:p>
            <w:pPr>
              <w:jc w:val="center"/>
            </w:pPr>
            <w:r/>
            <w:r>
              <w:rPr>
                <w:rFonts w:ascii="宋体" w:hAnsi="宋体" w:eastAsia="宋体"/>
                <w:b/>
                <w:color w:val="000000"/>
                <w:sz w:val="21"/>
              </w:rPr>
              <w:t>配置</w:t>
            </w:r>
          </w:p>
        </w:tc>
        <w:tc>
          <w:tcPr>
            <w:tcW w:type="dxa" w:w="2256"/>
          </w:tcPr>
          <w:p>
            <w:pPr>
              <w:jc w:val="center"/>
            </w:pPr>
            <w:r/>
            <w:r>
              <w:rPr>
                <w:rFonts w:ascii="宋体" w:hAnsi="宋体" w:eastAsia="宋体"/>
                <w:b/>
                <w:color w:val="000000"/>
                <w:sz w:val="21"/>
              </w:rPr>
              <w:t>nDCG@10</w:t>
            </w:r>
          </w:p>
        </w:tc>
        <w:tc>
          <w:tcPr>
            <w:tcW w:type="dxa" w:w="2256"/>
          </w:tcPr>
          <w:p>
            <w:pPr>
              <w:jc w:val="center"/>
            </w:pPr>
            <w:r/>
            <w:r>
              <w:rPr>
                <w:rFonts w:ascii="宋体" w:hAnsi="宋体" w:eastAsia="宋体"/>
                <w:b/>
                <w:color w:val="000000"/>
                <w:sz w:val="21"/>
              </w:rPr>
              <w:t>Drift-Score</w:t>
            </w:r>
          </w:p>
        </w:tc>
        <w:tc>
          <w:tcPr>
            <w:tcW w:type="dxa" w:w="2256"/>
          </w:tcPr>
          <w:p>
            <w:pPr>
              <w:jc w:val="center"/>
            </w:pPr>
            <w:r/>
            <w:r>
              <w:rPr>
                <w:rFonts w:ascii="宋体" w:hAnsi="宋体" w:eastAsia="宋体"/>
                <w:b/>
                <w:color w:val="000000"/>
                <w:sz w:val="21"/>
              </w:rPr>
              <w:t>Drift-Reduction</w:t>
            </w:r>
          </w:p>
        </w:tc>
      </w:tr>
      <w:tr>
        <w:tc>
          <w:tcPr>
            <w:tcW w:type="dxa" w:w="2256"/>
          </w:tcPr>
          <w:p>
            <w:pPr>
              <w:jc w:val="center"/>
            </w:pPr>
            <w:r/>
            <w:r>
              <w:rPr>
                <w:rFonts w:ascii="宋体" w:hAnsi="宋体" w:eastAsia="宋体"/>
                <w:b w:val="0"/>
                <w:color w:val="000000"/>
                <w:sz w:val="21"/>
              </w:rPr>
              <w:t>BGE-M3基线</w:t>
            </w:r>
          </w:p>
        </w:tc>
        <w:tc>
          <w:tcPr>
            <w:tcW w:type="dxa" w:w="2256"/>
          </w:tcPr>
          <w:p>
            <w:pPr>
              <w:jc w:val="center"/>
            </w:pPr>
            <w:r/>
            <w:r>
              <w:rPr>
                <w:rFonts w:ascii="宋体" w:hAnsi="宋体" w:eastAsia="宋体"/>
                <w:b w:val="0"/>
                <w:color w:val="000000"/>
                <w:sz w:val="21"/>
              </w:rPr>
              <w:t>0.0507</w:t>
            </w:r>
          </w:p>
        </w:tc>
        <w:tc>
          <w:tcPr>
            <w:tcW w:type="dxa" w:w="2256"/>
          </w:tcPr>
          <w:p>
            <w:pPr>
              <w:jc w:val="center"/>
            </w:pPr>
            <w:r/>
            <w:r>
              <w:rPr>
                <w:rFonts w:ascii="宋体" w:hAnsi="宋体" w:eastAsia="宋体"/>
                <w:b w:val="0"/>
                <w:color w:val="000000"/>
                <w:sz w:val="21"/>
              </w:rPr>
              <w:t>0.7086</w:t>
            </w:r>
          </w:p>
        </w:tc>
        <w:tc>
          <w:tcPr>
            <w:tcW w:type="dxa" w:w="2256"/>
          </w:tcPr>
          <w:p>
            <w:pPr>
              <w:jc w:val="center"/>
            </w:pPr>
            <w:r/>
            <w:r>
              <w:rPr>
                <w:rFonts w:ascii="宋体" w:hAnsi="宋体" w:eastAsia="宋体"/>
                <w:b w:val="0"/>
                <w:color w:val="000000"/>
                <w:sz w:val="21"/>
              </w:rPr>
              <w:t>—</w:t>
            </w:r>
          </w:p>
        </w:tc>
      </w:tr>
      <w:tr>
        <w:tc>
          <w:tcPr>
            <w:tcW w:type="dxa" w:w="2256"/>
          </w:tcPr>
          <w:p>
            <w:pPr>
              <w:jc w:val="center"/>
            </w:pPr>
            <w:r/>
            <w:r>
              <w:rPr>
                <w:rFonts w:ascii="宋体" w:hAnsi="宋体" w:eastAsia="宋体"/>
                <w:b w:val="0"/>
                <w:color w:val="000000"/>
                <w:sz w:val="21"/>
              </w:rPr>
              <w:t>+DriftSup对抗</w:t>
            </w:r>
          </w:p>
        </w:tc>
        <w:tc>
          <w:tcPr>
            <w:tcW w:type="dxa" w:w="2256"/>
          </w:tcPr>
          <w:p>
            <w:pPr>
              <w:jc w:val="center"/>
            </w:pPr>
            <w:r/>
            <w:r>
              <w:rPr>
                <w:rFonts w:ascii="宋体" w:hAnsi="宋体" w:eastAsia="宋体"/>
                <w:b w:val="0"/>
                <w:color w:val="000000"/>
                <w:sz w:val="21"/>
              </w:rPr>
              <w:t>0.0321</w:t>
            </w:r>
          </w:p>
        </w:tc>
        <w:tc>
          <w:tcPr>
            <w:tcW w:type="dxa" w:w="2256"/>
          </w:tcPr>
          <w:p>
            <w:pPr>
              <w:jc w:val="center"/>
            </w:pPr>
            <w:r/>
            <w:r>
              <w:rPr>
                <w:rFonts w:ascii="宋体" w:hAnsi="宋体" w:eastAsia="宋体"/>
                <w:b w:val="0"/>
                <w:color w:val="000000"/>
                <w:sz w:val="21"/>
              </w:rPr>
              <w:t>0.6366</w:t>
            </w:r>
          </w:p>
        </w:tc>
        <w:tc>
          <w:tcPr>
            <w:tcW w:type="dxa" w:w="2256"/>
          </w:tcPr>
          <w:p>
            <w:pPr>
              <w:jc w:val="center"/>
            </w:pPr>
            <w:r/>
            <w:r>
              <w:rPr>
                <w:rFonts w:ascii="宋体" w:hAnsi="宋体" w:eastAsia="宋体"/>
                <w:b w:val="0"/>
                <w:color w:val="000000"/>
                <w:sz w:val="21"/>
              </w:rPr>
              <w:t>10.2%</w:t>
            </w:r>
          </w:p>
        </w:tc>
      </w:tr>
      <w:tr>
        <w:tc>
          <w:tcPr>
            <w:tcW w:type="dxa" w:w="2256"/>
          </w:tcPr>
          <w:p>
            <w:pPr>
              <w:jc w:val="center"/>
            </w:pPr>
            <w:r/>
            <w:r>
              <w:rPr>
                <w:rFonts w:ascii="宋体" w:hAnsi="宋体" w:eastAsia="宋体"/>
                <w:b w:val="0"/>
                <w:color w:val="000000"/>
                <w:sz w:val="21"/>
              </w:rPr>
              <w:t>+KG增强</w:t>
            </w:r>
          </w:p>
        </w:tc>
        <w:tc>
          <w:tcPr>
            <w:tcW w:type="dxa" w:w="2256"/>
          </w:tcPr>
          <w:p>
            <w:pPr>
              <w:jc w:val="center"/>
            </w:pPr>
            <w:r/>
            <w:r>
              <w:rPr>
                <w:rFonts w:ascii="宋体" w:hAnsi="宋体" w:eastAsia="宋体"/>
                <w:b w:val="0"/>
                <w:color w:val="000000"/>
                <w:sz w:val="21"/>
              </w:rPr>
              <w:t>0.0651</w:t>
            </w:r>
          </w:p>
        </w:tc>
        <w:tc>
          <w:tcPr>
            <w:tcW w:type="dxa" w:w="2256"/>
          </w:tcPr>
          <w:p>
            <w:pPr>
              <w:jc w:val="center"/>
            </w:pPr>
            <w:r/>
            <w:r>
              <w:rPr>
                <w:rFonts w:ascii="宋体" w:hAnsi="宋体" w:eastAsia="宋体"/>
                <w:b w:val="0"/>
                <w:color w:val="000000"/>
                <w:sz w:val="21"/>
              </w:rPr>
              <w:t>0.5520</w:t>
            </w:r>
          </w:p>
        </w:tc>
        <w:tc>
          <w:tcPr>
            <w:tcW w:type="dxa" w:w="2256"/>
          </w:tcPr>
          <w:p>
            <w:pPr>
              <w:jc w:val="center"/>
            </w:pPr>
            <w:r/>
            <w:r>
              <w:rPr>
                <w:rFonts w:ascii="宋体" w:hAnsi="宋体" w:eastAsia="宋体"/>
                <w:b w:val="0"/>
                <w:color w:val="000000"/>
                <w:sz w:val="21"/>
              </w:rPr>
              <w:t>22.1%</w:t>
            </w:r>
          </w:p>
        </w:tc>
      </w:tr>
      <w:tr>
        <w:tc>
          <w:tcPr>
            <w:tcW w:type="dxa" w:w="2256"/>
          </w:tcPr>
          <w:p>
            <w:pPr>
              <w:jc w:val="center"/>
            </w:pPr>
            <w:r/>
            <w:r>
              <w:rPr>
                <w:rFonts w:ascii="宋体" w:hAnsi="宋体" w:eastAsia="宋体"/>
                <w:b w:val="0"/>
                <w:color w:val="000000"/>
                <w:sz w:val="21"/>
              </w:rPr>
              <w:t>DriftSup+KG</w:t>
            </w:r>
          </w:p>
        </w:tc>
        <w:tc>
          <w:tcPr>
            <w:tcW w:type="dxa" w:w="2256"/>
          </w:tcPr>
          <w:p>
            <w:pPr>
              <w:jc w:val="center"/>
            </w:pPr>
            <w:r/>
            <w:r>
              <w:rPr>
                <w:rFonts w:ascii="宋体" w:hAnsi="宋体" w:eastAsia="宋体"/>
                <w:b w:val="0"/>
                <w:color w:val="000000"/>
                <w:sz w:val="21"/>
              </w:rPr>
              <w:t>0.0567</w:t>
            </w:r>
          </w:p>
        </w:tc>
        <w:tc>
          <w:tcPr>
            <w:tcW w:type="dxa" w:w="2256"/>
          </w:tcPr>
          <w:p>
            <w:pPr>
              <w:jc w:val="center"/>
            </w:pPr>
            <w:r/>
            <w:r>
              <w:rPr>
                <w:rFonts w:ascii="宋体" w:hAnsi="宋体" w:eastAsia="宋体"/>
                <w:b w:val="0"/>
                <w:color w:val="000000"/>
                <w:sz w:val="21"/>
              </w:rPr>
              <w:t>0.6011</w:t>
            </w:r>
          </w:p>
        </w:tc>
        <w:tc>
          <w:tcPr>
            <w:tcW w:type="dxa" w:w="2256"/>
          </w:tcPr>
          <w:p>
            <w:pPr>
              <w:jc w:val="center"/>
            </w:pPr>
            <w:r/>
            <w:r>
              <w:rPr>
                <w:rFonts w:ascii="宋体" w:hAnsi="宋体" w:eastAsia="宋体"/>
                <w:b w:val="0"/>
                <w:color w:val="000000"/>
                <w:sz w:val="21"/>
              </w:rPr>
              <w:t>15.2%</w:t>
            </w:r>
          </w:p>
        </w:tc>
      </w:tr>
    </w:tbl>
    <w:p/>
    <w:p>
      <w:pPr>
        <w:spacing w:line="360" w:lineRule="auto" w:before="120" w:after="120"/>
        <w:ind w:firstLine="0"/>
        <w:jc w:val="left"/>
      </w:pPr>
      <w:r>
        <w:rPr>
          <w:rFonts w:ascii="黑体" w:hAnsi="黑体" w:eastAsia="黑体"/>
          <w:b/>
          <w:color w:val="000000"/>
          <w:sz w:val="24"/>
        </w:rPr>
        <w:t>6.4  不同查询类型表现</w:t>
      </w:r>
    </w:p>
    <w:p>
      <w:pPr>
        <w:jc w:val="center"/>
      </w:pPr>
      <w:r>
        <w:rPr>
          <w:rFonts w:ascii="宋体" w:hAnsi="宋体" w:eastAsia="宋体"/>
          <w:b/>
          <w:color w:val="000000"/>
          <w:sz w:val="21"/>
        </w:rPr>
        <w:t>表9  不同查询类型表现（DriftSup+KG，实测）</w:t>
      </w:r>
    </w:p>
    <w:tbl>
      <w:tblPr>
        <w:tblW w:type="auto" w:w="0"/>
        <w:jc w:val="center"/>
        <w:tblLook w:firstColumn="1" w:firstRow="1" w:lastColumn="0" w:lastRow="0" w:noHBand="0" w:noVBand="1" w:val="04A0"/>
        <w:tblBorders>
          <w:top w:val="single" w:sz="12" w:color="000000"/>
          <w:bottom w:val="single" w:sz="12" w:color="000000"/>
          <w:left w:val="nil"/>
          <w:right w:val="nil"/>
          <w:insideV w:val="nil"/>
          <w:insideH w:val="nil"/>
        </w:tblBorders>
      </w:tblPr>
      <w:tblGrid>
        <w:gridCol w:w="2256"/>
        <w:gridCol w:w="2256"/>
        <w:gridCol w:w="2256"/>
        <w:gridCol w:w="2256"/>
      </w:tblGrid>
      <w:tr>
        <w:tc>
          <w:tcPr>
            <w:tcW w:type="dxa" w:w="2256"/>
          </w:tcPr>
          <w:p>
            <w:pPr>
              <w:jc w:val="center"/>
            </w:pPr>
            <w:r/>
            <w:r>
              <w:rPr>
                <w:rFonts w:ascii="宋体" w:hAnsi="宋体" w:eastAsia="宋体"/>
                <w:b/>
                <w:color w:val="000000"/>
                <w:sz w:val="21"/>
              </w:rPr>
              <w:t>查询类型</w:t>
            </w:r>
          </w:p>
        </w:tc>
        <w:tc>
          <w:tcPr>
            <w:tcW w:type="dxa" w:w="2256"/>
          </w:tcPr>
          <w:p>
            <w:pPr>
              <w:jc w:val="center"/>
            </w:pPr>
            <w:r/>
            <w:r>
              <w:rPr>
                <w:rFonts w:ascii="宋体" w:hAnsi="宋体" w:eastAsia="宋体"/>
                <w:b/>
                <w:color w:val="000000"/>
                <w:sz w:val="21"/>
              </w:rPr>
              <w:t>数量</w:t>
            </w:r>
          </w:p>
        </w:tc>
        <w:tc>
          <w:tcPr>
            <w:tcW w:type="dxa" w:w="2256"/>
          </w:tcPr>
          <w:p>
            <w:pPr>
              <w:jc w:val="center"/>
            </w:pPr>
            <w:r/>
            <w:r>
              <w:rPr>
                <w:rFonts w:ascii="宋体" w:hAnsi="宋体" w:eastAsia="宋体"/>
                <w:b/>
                <w:color w:val="000000"/>
                <w:sz w:val="21"/>
              </w:rPr>
              <w:t>nDCG@10</w:t>
            </w:r>
          </w:p>
        </w:tc>
        <w:tc>
          <w:tcPr>
            <w:tcW w:type="dxa" w:w="2256"/>
          </w:tcPr>
          <w:p>
            <w:pPr>
              <w:jc w:val="center"/>
            </w:pPr>
            <w:r/>
            <w:r>
              <w:rPr>
                <w:rFonts w:ascii="宋体" w:hAnsi="宋体" w:eastAsia="宋体"/>
                <w:b/>
                <w:color w:val="000000"/>
                <w:sz w:val="21"/>
              </w:rPr>
              <w:t>主要挑战</w:t>
            </w:r>
          </w:p>
        </w:tc>
      </w:tr>
      <w:tr>
        <w:tc>
          <w:tcPr>
            <w:tcW w:type="dxa" w:w="2256"/>
          </w:tcPr>
          <w:p>
            <w:pPr>
              <w:jc w:val="center"/>
            </w:pPr>
            <w:r/>
            <w:r>
              <w:rPr>
                <w:rFonts w:ascii="宋体" w:hAnsi="宋体" w:eastAsia="宋体"/>
                <w:b w:val="0"/>
                <w:color w:val="000000"/>
                <w:sz w:val="21"/>
              </w:rPr>
              <w:t>文献发现</w:t>
            </w:r>
          </w:p>
        </w:tc>
        <w:tc>
          <w:tcPr>
            <w:tcW w:type="dxa" w:w="2256"/>
          </w:tcPr>
          <w:p>
            <w:pPr>
              <w:jc w:val="center"/>
            </w:pPr>
            <w:r/>
            <w:r>
              <w:rPr>
                <w:rFonts w:ascii="宋体" w:hAnsi="宋体" w:eastAsia="宋体"/>
                <w:b w:val="0"/>
                <w:color w:val="000000"/>
                <w:sz w:val="21"/>
              </w:rPr>
              <w:t>103</w:t>
            </w:r>
          </w:p>
        </w:tc>
        <w:tc>
          <w:tcPr>
            <w:tcW w:type="dxa" w:w="2256"/>
          </w:tcPr>
          <w:p>
            <w:pPr>
              <w:jc w:val="center"/>
            </w:pPr>
            <w:r/>
            <w:r>
              <w:rPr>
                <w:rFonts w:ascii="宋体" w:hAnsi="宋体" w:eastAsia="宋体"/>
                <w:b w:val="0"/>
                <w:color w:val="000000"/>
                <w:sz w:val="21"/>
              </w:rPr>
              <w:t>0.0725</w:t>
            </w:r>
          </w:p>
        </w:tc>
        <w:tc>
          <w:tcPr>
            <w:tcW w:type="dxa" w:w="2256"/>
          </w:tcPr>
          <w:p>
            <w:pPr>
              <w:jc w:val="center"/>
            </w:pPr>
            <w:r/>
            <w:r>
              <w:rPr>
                <w:rFonts w:ascii="宋体" w:hAnsi="宋体" w:eastAsia="宋体"/>
                <w:b w:val="0"/>
                <w:color w:val="000000"/>
                <w:sz w:val="21"/>
              </w:rPr>
              <w:t>主题词汇跨语言对齐</w:t>
            </w:r>
          </w:p>
        </w:tc>
      </w:tr>
      <w:tr>
        <w:tc>
          <w:tcPr>
            <w:tcW w:type="dxa" w:w="2256"/>
          </w:tcPr>
          <w:p>
            <w:pPr>
              <w:jc w:val="center"/>
            </w:pPr>
            <w:r/>
            <w:r>
              <w:rPr>
                <w:rFonts w:ascii="宋体" w:hAnsi="宋体" w:eastAsia="宋体"/>
                <w:b w:val="0"/>
                <w:color w:val="000000"/>
                <w:sz w:val="21"/>
              </w:rPr>
              <w:t>事实查询</w:t>
            </w:r>
          </w:p>
        </w:tc>
        <w:tc>
          <w:tcPr>
            <w:tcW w:type="dxa" w:w="2256"/>
          </w:tcPr>
          <w:p>
            <w:pPr>
              <w:jc w:val="center"/>
            </w:pPr>
            <w:r/>
            <w:r>
              <w:rPr>
                <w:rFonts w:ascii="宋体" w:hAnsi="宋体" w:eastAsia="宋体"/>
                <w:b w:val="0"/>
                <w:color w:val="000000"/>
                <w:sz w:val="21"/>
              </w:rPr>
              <w:t>36</w:t>
            </w:r>
          </w:p>
        </w:tc>
        <w:tc>
          <w:tcPr>
            <w:tcW w:type="dxa" w:w="2256"/>
          </w:tcPr>
          <w:p>
            <w:pPr>
              <w:jc w:val="center"/>
            </w:pPr>
            <w:r/>
            <w:r>
              <w:rPr>
                <w:rFonts w:ascii="宋体" w:hAnsi="宋体" w:eastAsia="宋体"/>
                <w:b w:val="0"/>
                <w:color w:val="000000"/>
                <w:sz w:val="21"/>
              </w:rPr>
              <w:t>0.0509</w:t>
            </w:r>
          </w:p>
        </w:tc>
        <w:tc>
          <w:tcPr>
            <w:tcW w:type="dxa" w:w="2256"/>
          </w:tcPr>
          <w:p>
            <w:pPr>
              <w:jc w:val="center"/>
            </w:pPr>
            <w:r/>
            <w:r>
              <w:rPr>
                <w:rFonts w:ascii="宋体" w:hAnsi="宋体" w:eastAsia="宋体"/>
                <w:b w:val="0"/>
                <w:color w:val="000000"/>
                <w:sz w:val="21"/>
              </w:rPr>
              <w:t>精确匹配与语义理解平衡</w:t>
            </w:r>
          </w:p>
        </w:tc>
      </w:tr>
      <w:tr>
        <w:tc>
          <w:tcPr>
            <w:tcW w:type="dxa" w:w="2256"/>
          </w:tcPr>
          <w:p>
            <w:pPr>
              <w:jc w:val="center"/>
            </w:pPr>
            <w:r/>
            <w:r>
              <w:rPr>
                <w:rFonts w:ascii="宋体" w:hAnsi="宋体" w:eastAsia="宋体"/>
                <w:b w:val="0"/>
                <w:color w:val="000000"/>
                <w:sz w:val="21"/>
              </w:rPr>
              <w:t>关系探索</w:t>
            </w:r>
          </w:p>
        </w:tc>
        <w:tc>
          <w:tcPr>
            <w:tcW w:type="dxa" w:w="2256"/>
          </w:tcPr>
          <w:p>
            <w:pPr>
              <w:jc w:val="center"/>
            </w:pPr>
            <w:r/>
            <w:r>
              <w:rPr>
                <w:rFonts w:ascii="宋体" w:hAnsi="宋体" w:eastAsia="宋体"/>
                <w:b w:val="0"/>
                <w:color w:val="000000"/>
                <w:sz w:val="21"/>
              </w:rPr>
              <w:t>40</w:t>
            </w:r>
          </w:p>
        </w:tc>
        <w:tc>
          <w:tcPr>
            <w:tcW w:type="dxa" w:w="2256"/>
          </w:tcPr>
          <w:p>
            <w:pPr>
              <w:jc w:val="center"/>
            </w:pPr>
            <w:r/>
            <w:r>
              <w:rPr>
                <w:rFonts w:ascii="宋体" w:hAnsi="宋体" w:eastAsia="宋体"/>
                <w:b w:val="0"/>
                <w:color w:val="000000"/>
                <w:sz w:val="21"/>
              </w:rPr>
              <w:t>0.0447</w:t>
            </w:r>
          </w:p>
        </w:tc>
        <w:tc>
          <w:tcPr>
            <w:tcW w:type="dxa" w:w="2256"/>
          </w:tcPr>
          <w:p>
            <w:pPr>
              <w:jc w:val="center"/>
            </w:pPr>
            <w:r/>
            <w:r>
              <w:rPr>
                <w:rFonts w:ascii="宋体" w:hAnsi="宋体" w:eastAsia="宋体"/>
                <w:b w:val="0"/>
                <w:color w:val="000000"/>
                <w:sz w:val="21"/>
              </w:rPr>
              <w:t>多跳推理的跨语言传递</w:t>
            </w:r>
          </w:p>
        </w:tc>
      </w:tr>
      <w:tr>
        <w:tc>
          <w:tcPr>
            <w:tcW w:type="dxa" w:w="2256"/>
          </w:tcPr>
          <w:p>
            <w:pPr>
              <w:jc w:val="center"/>
            </w:pPr>
            <w:r/>
            <w:r>
              <w:rPr>
                <w:rFonts w:ascii="宋体" w:hAnsi="宋体" w:eastAsia="宋体"/>
                <w:b w:val="0"/>
                <w:color w:val="000000"/>
                <w:sz w:val="21"/>
              </w:rPr>
              <w:t>趋势分析</w:t>
            </w:r>
          </w:p>
        </w:tc>
        <w:tc>
          <w:tcPr>
            <w:tcW w:type="dxa" w:w="2256"/>
          </w:tcPr>
          <w:p>
            <w:pPr>
              <w:jc w:val="center"/>
            </w:pPr>
            <w:r/>
            <w:r>
              <w:rPr>
                <w:rFonts w:ascii="宋体" w:hAnsi="宋体" w:eastAsia="宋体"/>
                <w:b w:val="0"/>
                <w:color w:val="000000"/>
                <w:sz w:val="21"/>
              </w:rPr>
              <w:t>21</w:t>
            </w:r>
          </w:p>
        </w:tc>
        <w:tc>
          <w:tcPr>
            <w:tcW w:type="dxa" w:w="2256"/>
          </w:tcPr>
          <w:p>
            <w:pPr>
              <w:jc w:val="center"/>
            </w:pPr>
            <w:r/>
            <w:r>
              <w:rPr>
                <w:rFonts w:ascii="宋体" w:hAnsi="宋体" w:eastAsia="宋体"/>
                <w:b w:val="0"/>
                <w:color w:val="000000"/>
                <w:sz w:val="21"/>
              </w:rPr>
              <w:t>0.0125</w:t>
            </w:r>
          </w:p>
        </w:tc>
        <w:tc>
          <w:tcPr>
            <w:tcW w:type="dxa" w:w="2256"/>
          </w:tcPr>
          <w:p>
            <w:pPr>
              <w:jc w:val="center"/>
            </w:pPr>
            <w:r/>
            <w:r>
              <w:rPr>
                <w:rFonts w:ascii="宋体" w:hAnsi="宋体" w:eastAsia="宋体"/>
                <w:b w:val="0"/>
                <w:color w:val="000000"/>
                <w:sz w:val="21"/>
              </w:rPr>
              <w:t>时间序列语义一致性</w:t>
            </w:r>
          </w:p>
        </w:tc>
      </w:tr>
    </w:tbl>
    <w:p/>
    <w:p>
      <w:pPr>
        <w:spacing w:line="360" w:lineRule="auto" w:after="120"/>
        <w:ind w:firstLine="420"/>
        <w:jc w:val="both"/>
      </w:pPr>
      <w:r>
        <w:rPr>
          <w:rFonts w:ascii="宋体" w:hAnsi="宋体" w:eastAsia="宋体"/>
          <w:b w:val="0"/>
          <w:color w:val="000000"/>
          <w:sz w:val="24"/>
        </w:rPr>
        <w:t>文献发现型查询表现最好，关系探索型查询的KG增益最大（+5.6%），验证了知识图谱增强对多跳推理查询的特殊价值。事实查询表现较弱，说明模型在精确实体、数值和政策条款等任务上仍存在不足。</w:t>
      </w:r>
    </w:p>
    <w:p>
      <w:pPr>
        <w:spacing w:line="360" w:lineRule="auto" w:before="120" w:after="120"/>
        <w:ind w:firstLine="0"/>
        <w:jc w:val="left"/>
      </w:pPr>
      <w:r>
        <w:rPr>
          <w:rFonts w:ascii="黑体" w:hAnsi="黑体" w:eastAsia="黑体"/>
          <w:b/>
          <w:color w:val="000000"/>
          <w:sz w:val="24"/>
        </w:rPr>
        <w:t>6.5  统计检验</w:t>
      </w:r>
    </w:p>
    <w:p>
      <w:pPr>
        <w:spacing w:line="360" w:lineRule="auto" w:after="120"/>
        <w:ind w:firstLine="420"/>
        <w:jc w:val="both"/>
      </w:pPr>
      <w:r>
        <w:rPr>
          <w:rFonts w:ascii="宋体" w:hAnsi="宋体" w:eastAsia="宋体"/>
          <w:b w:val="0"/>
          <w:color w:val="000000"/>
          <w:sz w:val="24"/>
        </w:rPr>
        <w:t>表10汇总了统计检验结果。BGE-M3+KG较BGE-M3基线的Drift-Score降幅达22.1%，nDCG@10提升28.4%；DriftSup+KG与BGE-M3的nDCG差异未达显著（p=0.465，Cohen's d=0.064），表明在弱监督标注条件下需进一步扩展人工标注规模以提升统计效力。</w:t>
      </w:r>
    </w:p>
    <w:p>
      <w:pPr>
        <w:jc w:val="center"/>
      </w:pPr>
      <w:r>
        <w:rPr>
          <w:rFonts w:ascii="宋体" w:hAnsi="宋体" w:eastAsia="宋体"/>
          <w:b/>
          <w:color w:val="000000"/>
          <w:sz w:val="21"/>
        </w:rPr>
        <w:t>表10  统计检验结果（Wilcoxon，200查询）</w:t>
      </w:r>
    </w:p>
    <w:tbl>
      <w:tblPr>
        <w:tblW w:type="auto" w:w="0"/>
        <w:jc w:val="center"/>
        <w:tblLook w:firstColumn="1" w:firstRow="1" w:lastColumn="0" w:lastRow="0" w:noHBand="0" w:noVBand="1" w:val="04A0"/>
        <w:tblBorders>
          <w:top w:val="single" w:sz="12" w:color="000000"/>
          <w:bottom w:val="single" w:sz="12" w:color="000000"/>
          <w:left w:val="nil"/>
          <w:right w:val="nil"/>
          <w:insideV w:val="nil"/>
          <w:insideH w:val="nil"/>
        </w:tblBorders>
      </w:tblPr>
      <w:tblGrid>
        <w:gridCol w:w="1805"/>
        <w:gridCol w:w="1805"/>
        <w:gridCol w:w="1805"/>
        <w:gridCol w:w="1805"/>
        <w:gridCol w:w="1805"/>
      </w:tblGrid>
      <w:tr>
        <w:tc>
          <w:tcPr>
            <w:tcW w:type="dxa" w:w="1805"/>
          </w:tcPr>
          <w:p>
            <w:pPr>
              <w:jc w:val="center"/>
            </w:pPr>
            <w:r/>
            <w:r>
              <w:rPr>
                <w:rFonts w:ascii="宋体" w:hAnsi="宋体" w:eastAsia="宋体"/>
                <w:b/>
                <w:color w:val="000000"/>
                <w:sz w:val="21"/>
              </w:rPr>
              <w:t>对比</w:t>
            </w:r>
          </w:p>
        </w:tc>
        <w:tc>
          <w:tcPr>
            <w:tcW w:type="dxa" w:w="1805"/>
          </w:tcPr>
          <w:p>
            <w:pPr>
              <w:jc w:val="center"/>
            </w:pPr>
            <w:r/>
            <w:r>
              <w:rPr>
                <w:rFonts w:ascii="宋体" w:hAnsi="宋体" w:eastAsia="宋体"/>
                <w:b/>
                <w:color w:val="000000"/>
                <w:sz w:val="21"/>
              </w:rPr>
              <w:t>ΔnDCG@10</w:t>
            </w:r>
          </w:p>
        </w:tc>
        <w:tc>
          <w:tcPr>
            <w:tcW w:type="dxa" w:w="1805"/>
          </w:tcPr>
          <w:p>
            <w:pPr>
              <w:jc w:val="center"/>
            </w:pPr>
            <w:r/>
            <w:r>
              <w:rPr>
                <w:rFonts w:ascii="宋体" w:hAnsi="宋体" w:eastAsia="宋体"/>
                <w:b/>
                <w:color w:val="000000"/>
                <w:sz w:val="21"/>
              </w:rPr>
              <w:t>ΔDrift-Score</w:t>
            </w:r>
          </w:p>
        </w:tc>
        <w:tc>
          <w:tcPr>
            <w:tcW w:type="dxa" w:w="1805"/>
          </w:tcPr>
          <w:p>
            <w:pPr>
              <w:jc w:val="center"/>
            </w:pPr>
            <w:r/>
            <w:r>
              <w:rPr>
                <w:rFonts w:ascii="宋体" w:hAnsi="宋体" w:eastAsia="宋体"/>
                <w:b/>
                <w:color w:val="000000"/>
                <w:sz w:val="21"/>
              </w:rPr>
              <w:t>p值</w:t>
            </w:r>
          </w:p>
        </w:tc>
        <w:tc>
          <w:tcPr>
            <w:tcW w:type="dxa" w:w="1805"/>
          </w:tcPr>
          <w:p>
            <w:pPr>
              <w:jc w:val="center"/>
            </w:pPr>
            <w:r/>
            <w:r>
              <w:rPr>
                <w:rFonts w:ascii="宋体" w:hAnsi="宋体" w:eastAsia="宋体"/>
                <w:b/>
                <w:color w:val="000000"/>
                <w:sz w:val="21"/>
              </w:rPr>
              <w:t>Cohen's d</w:t>
            </w:r>
          </w:p>
        </w:tc>
      </w:tr>
      <w:tr>
        <w:tc>
          <w:tcPr>
            <w:tcW w:type="dxa" w:w="1805"/>
          </w:tcPr>
          <w:p>
            <w:pPr>
              <w:jc w:val="center"/>
            </w:pPr>
            <w:r/>
            <w:r>
              <w:rPr>
                <w:rFonts w:ascii="宋体" w:hAnsi="宋体" w:eastAsia="宋体"/>
                <w:b w:val="0"/>
                <w:color w:val="000000"/>
                <w:sz w:val="21"/>
              </w:rPr>
              <w:t>BGE-M3+KG vs BGE-M3</w:t>
            </w:r>
          </w:p>
        </w:tc>
        <w:tc>
          <w:tcPr>
            <w:tcW w:type="dxa" w:w="1805"/>
          </w:tcPr>
          <w:p>
            <w:pPr>
              <w:jc w:val="center"/>
            </w:pPr>
            <w:r/>
            <w:r>
              <w:rPr>
                <w:rFonts w:ascii="宋体" w:hAnsi="宋体" w:eastAsia="宋体"/>
                <w:b w:val="0"/>
                <w:color w:val="000000"/>
                <w:sz w:val="21"/>
              </w:rPr>
              <w:t>+0.0144</w:t>
            </w:r>
          </w:p>
        </w:tc>
        <w:tc>
          <w:tcPr>
            <w:tcW w:type="dxa" w:w="1805"/>
          </w:tcPr>
          <w:p>
            <w:pPr>
              <w:jc w:val="center"/>
            </w:pPr>
            <w:r/>
            <w:r>
              <w:rPr>
                <w:rFonts w:ascii="宋体" w:hAnsi="宋体" w:eastAsia="宋体"/>
                <w:b w:val="0"/>
                <w:color w:val="000000"/>
                <w:sz w:val="21"/>
              </w:rPr>
              <w:t>−0.1566</w:t>
            </w:r>
          </w:p>
        </w:tc>
        <w:tc>
          <w:tcPr>
            <w:tcW w:type="dxa" w:w="1805"/>
          </w:tcPr>
          <w:p>
            <w:pPr>
              <w:jc w:val="center"/>
            </w:pPr>
            <w:r/>
            <w:r>
              <w:rPr>
                <w:rFonts w:ascii="宋体" w:hAnsi="宋体" w:eastAsia="宋体"/>
                <w:b w:val="0"/>
                <w:color w:val="000000"/>
                <w:sz w:val="21"/>
              </w:rPr>
              <w:t>—</w:t>
            </w:r>
          </w:p>
        </w:tc>
        <w:tc>
          <w:tcPr>
            <w:tcW w:type="dxa" w:w="1805"/>
          </w:tcPr>
          <w:p>
            <w:pPr>
              <w:jc w:val="center"/>
            </w:pPr>
            <w:r/>
            <w:r>
              <w:rPr>
                <w:rFonts w:ascii="宋体" w:hAnsi="宋体" w:eastAsia="宋体"/>
                <w:b w:val="0"/>
                <w:color w:val="000000"/>
                <w:sz w:val="21"/>
              </w:rPr>
              <w:t>—</w:t>
            </w:r>
          </w:p>
        </w:tc>
      </w:tr>
      <w:tr>
        <w:tc>
          <w:tcPr>
            <w:tcW w:type="dxa" w:w="1805"/>
          </w:tcPr>
          <w:p>
            <w:pPr>
              <w:jc w:val="center"/>
            </w:pPr>
            <w:r/>
            <w:r>
              <w:rPr>
                <w:rFonts w:ascii="宋体" w:hAnsi="宋体" w:eastAsia="宋体"/>
                <w:b w:val="0"/>
                <w:color w:val="000000"/>
                <w:sz w:val="21"/>
              </w:rPr>
              <w:t>DriftSup+KG vs BGE-M3</w:t>
            </w:r>
          </w:p>
        </w:tc>
        <w:tc>
          <w:tcPr>
            <w:tcW w:type="dxa" w:w="1805"/>
          </w:tcPr>
          <w:p>
            <w:pPr>
              <w:jc w:val="center"/>
            </w:pPr>
            <w:r/>
            <w:r>
              <w:rPr>
                <w:rFonts w:ascii="宋体" w:hAnsi="宋体" w:eastAsia="宋体"/>
                <w:b w:val="0"/>
                <w:color w:val="000000"/>
                <w:sz w:val="21"/>
              </w:rPr>
              <w:t>+0.0060</w:t>
            </w:r>
          </w:p>
        </w:tc>
        <w:tc>
          <w:tcPr>
            <w:tcW w:type="dxa" w:w="1805"/>
          </w:tcPr>
          <w:p>
            <w:pPr>
              <w:jc w:val="center"/>
            </w:pPr>
            <w:r/>
            <w:r>
              <w:rPr>
                <w:rFonts w:ascii="宋体" w:hAnsi="宋体" w:eastAsia="宋体"/>
                <w:b w:val="0"/>
                <w:color w:val="000000"/>
                <w:sz w:val="21"/>
              </w:rPr>
              <w:t>−0.1075</w:t>
            </w:r>
          </w:p>
        </w:tc>
        <w:tc>
          <w:tcPr>
            <w:tcW w:type="dxa" w:w="1805"/>
          </w:tcPr>
          <w:p>
            <w:pPr>
              <w:jc w:val="center"/>
            </w:pPr>
            <w:r/>
            <w:r>
              <w:rPr>
                <w:rFonts w:ascii="宋体" w:hAnsi="宋体" w:eastAsia="宋体"/>
                <w:b w:val="0"/>
                <w:color w:val="000000"/>
                <w:sz w:val="21"/>
              </w:rPr>
              <w:t>0.465</w:t>
            </w:r>
          </w:p>
        </w:tc>
        <w:tc>
          <w:tcPr>
            <w:tcW w:type="dxa" w:w="1805"/>
          </w:tcPr>
          <w:p>
            <w:pPr>
              <w:jc w:val="center"/>
            </w:pPr>
            <w:r/>
            <w:r>
              <w:rPr>
                <w:rFonts w:ascii="宋体" w:hAnsi="宋体" w:eastAsia="宋体"/>
                <w:b w:val="0"/>
                <w:color w:val="000000"/>
                <w:sz w:val="21"/>
              </w:rPr>
              <w:t>0.064</w:t>
            </w:r>
          </w:p>
        </w:tc>
      </w:tr>
      <w:tr>
        <w:tc>
          <w:tcPr>
            <w:tcW w:type="dxa" w:w="1805"/>
          </w:tcPr>
          <w:p>
            <w:pPr>
              <w:jc w:val="center"/>
            </w:pPr>
            <w:r/>
            <w:r>
              <w:rPr>
                <w:rFonts w:ascii="宋体" w:hAnsi="宋体" w:eastAsia="宋体"/>
                <w:b w:val="0"/>
                <w:color w:val="000000"/>
                <w:sz w:val="21"/>
              </w:rPr>
              <w:t>DriftSup vs BGE-M3</w:t>
            </w:r>
          </w:p>
        </w:tc>
        <w:tc>
          <w:tcPr>
            <w:tcW w:type="dxa" w:w="1805"/>
          </w:tcPr>
          <w:p>
            <w:pPr>
              <w:jc w:val="center"/>
            </w:pPr>
            <w:r/>
            <w:r>
              <w:rPr>
                <w:rFonts w:ascii="宋体" w:hAnsi="宋体" w:eastAsia="宋体"/>
                <w:b w:val="0"/>
                <w:color w:val="000000"/>
                <w:sz w:val="21"/>
              </w:rPr>
              <w:t>−0.0186</w:t>
            </w:r>
          </w:p>
        </w:tc>
        <w:tc>
          <w:tcPr>
            <w:tcW w:type="dxa" w:w="1805"/>
          </w:tcPr>
          <w:p>
            <w:pPr>
              <w:jc w:val="center"/>
            </w:pPr>
            <w:r/>
            <w:r>
              <w:rPr>
                <w:rFonts w:ascii="宋体" w:hAnsi="宋体" w:eastAsia="宋体"/>
                <w:b w:val="0"/>
                <w:color w:val="000000"/>
                <w:sz w:val="21"/>
              </w:rPr>
              <w:t>−0.0720</w:t>
            </w:r>
          </w:p>
        </w:tc>
        <w:tc>
          <w:tcPr>
            <w:tcW w:type="dxa" w:w="1805"/>
          </w:tcPr>
          <w:p>
            <w:pPr>
              <w:jc w:val="center"/>
            </w:pPr>
            <w:r/>
            <w:r>
              <w:rPr>
                <w:rFonts w:ascii="宋体" w:hAnsi="宋体" w:eastAsia="宋体"/>
                <w:b w:val="0"/>
                <w:color w:val="000000"/>
                <w:sz w:val="21"/>
              </w:rPr>
              <w:t>—</w:t>
            </w:r>
          </w:p>
        </w:tc>
        <w:tc>
          <w:tcPr>
            <w:tcW w:type="dxa" w:w="1805"/>
          </w:tcPr>
          <w:p>
            <w:pPr>
              <w:jc w:val="center"/>
            </w:pPr>
            <w:r/>
            <w:r>
              <w:rPr>
                <w:rFonts w:ascii="宋体" w:hAnsi="宋体" w:eastAsia="宋体"/>
                <w:b w:val="0"/>
                <w:color w:val="000000"/>
                <w:sz w:val="21"/>
              </w:rPr>
              <w:t>—</w:t>
            </w:r>
          </w:p>
        </w:tc>
      </w:tr>
    </w:tbl>
    <w:p/>
    <w:p>
      <w:pPr>
        <w:spacing w:line="360" w:lineRule="auto" w:before="240" w:after="120"/>
        <w:ind w:firstLine="0"/>
        <w:jc w:val="left"/>
      </w:pPr>
      <w:r>
        <w:rPr>
          <w:rFonts w:ascii="黑体" w:hAnsi="黑体" w:eastAsia="黑体"/>
          <w:b/>
          <w:color w:val="000000"/>
          <w:sz w:val="28"/>
        </w:rPr>
        <w:t>7  讨论</w:t>
      </w:r>
    </w:p>
    <w:p>
      <w:pPr>
        <w:spacing w:line="360" w:lineRule="auto" w:before="120" w:after="120"/>
        <w:ind w:firstLine="0"/>
        <w:jc w:val="left"/>
      </w:pPr>
      <w:r>
        <w:rPr>
          <w:rFonts w:ascii="黑体" w:hAnsi="黑体" w:eastAsia="黑体"/>
          <w:b/>
          <w:color w:val="000000"/>
          <w:sz w:val="24"/>
        </w:rPr>
        <w:t>7.1  理论映射的必要性</w:t>
      </w:r>
    </w:p>
    <w:p>
      <w:pPr>
        <w:spacing w:line="360" w:lineRule="auto" w:after="120"/>
        <w:ind w:firstLine="420"/>
        <w:jc w:val="both"/>
      </w:pPr>
      <w:r>
        <w:rPr>
          <w:rFonts w:ascii="宋体" w:hAnsi="宋体" w:eastAsia="宋体"/>
          <w:b w:val="0"/>
          <w:color w:val="000000"/>
          <w:sz w:val="24"/>
        </w:rPr>
        <w:t>对图情领域论文而言，理论框架不能只作为引言装饰。本文通过映射表把ΔS_intra转化为单语排序保持，把ΔS_inter转化为跨语言正样本对齐，把语义漂移转化为相似度—相关性偏差，把信息气味失真转化为用户层面的结果解释问题。这样既保留了图情理论底色，也避免算法部分成为独立工程实现。</w:t>
      </w:r>
    </w:p>
    <w:p>
      <w:pPr>
        <w:spacing w:line="360" w:lineRule="auto" w:before="120" w:after="120"/>
        <w:ind w:firstLine="0"/>
        <w:jc w:val="left"/>
      </w:pPr>
      <w:r>
        <w:rPr>
          <w:rFonts w:ascii="黑体" w:hAnsi="黑体" w:eastAsia="黑体"/>
          <w:b/>
          <w:color w:val="000000"/>
          <w:sz w:val="24"/>
        </w:rPr>
        <w:t>7.2  轻量微调与算力可行性</w:t>
      </w:r>
    </w:p>
    <w:p>
      <w:pPr>
        <w:spacing w:line="360" w:lineRule="auto" w:after="120"/>
        <w:ind w:firstLine="420"/>
        <w:jc w:val="both"/>
      </w:pPr>
      <w:r>
        <w:rPr>
          <w:rFonts w:ascii="宋体" w:hAnsi="宋体" w:eastAsia="宋体"/>
          <w:b w:val="0"/>
          <w:color w:val="000000"/>
          <w:sz w:val="24"/>
        </w:rPr>
        <w:t>50个标准化查询不适合支撑550M级模型的全参数训练。本文采用冻结主干和轻量微调策略，在RTX 3090单卡上即可完成全部实验（峰值显存12.5GB，总训练时间约70秒）。这一设计降低了复现门槛，对高校图书馆和情报机构的本地化部署具有实际意义。</w:t>
      </w:r>
    </w:p>
    <w:p>
      <w:pPr>
        <w:spacing w:line="360" w:lineRule="auto" w:before="120" w:after="120"/>
        <w:ind w:firstLine="0"/>
        <w:jc w:val="left"/>
      </w:pPr>
      <w:r>
        <w:rPr>
          <w:rFonts w:ascii="黑体" w:hAnsi="黑体" w:eastAsia="黑体"/>
          <w:b/>
          <w:color w:val="000000"/>
          <w:sz w:val="24"/>
        </w:rPr>
        <w:t>7.3  KG增强的适用边界</w:t>
      </w:r>
    </w:p>
    <w:p>
      <w:pPr>
        <w:spacing w:line="360" w:lineRule="auto" w:after="120"/>
        <w:ind w:firstLine="420"/>
        <w:jc w:val="both"/>
      </w:pPr>
      <w:r>
        <w:rPr>
          <w:rFonts w:ascii="宋体" w:hAnsi="宋体" w:eastAsia="宋体"/>
          <w:b w:val="0"/>
          <w:color w:val="000000"/>
          <w:sz w:val="24"/>
        </w:rPr>
        <w:t>知识图谱增强对主题检索和关系探索收益最大，对事实查询收益有限。KG若实体链接错误，反而可能放大误差。因此，score_final中的融合权重α应根据查询类型自适应调整——关系探索类查询可提高KG权重，事实查询类应降低KG权重。</w:t>
      </w:r>
    </w:p>
    <w:p>
      <w:pPr>
        <w:spacing w:line="360" w:lineRule="auto" w:before="120" w:after="120"/>
        <w:ind w:firstLine="0"/>
        <w:jc w:val="left"/>
      </w:pPr>
      <w:r>
        <w:rPr>
          <w:rFonts w:ascii="黑体" w:hAnsi="黑体" w:eastAsia="黑体"/>
          <w:b/>
          <w:color w:val="000000"/>
          <w:sz w:val="24"/>
        </w:rPr>
        <w:t>7.4  与LLM/RAG的关系</w:t>
      </w:r>
    </w:p>
    <w:p>
      <w:pPr>
        <w:spacing w:line="360" w:lineRule="auto" w:after="120"/>
        <w:ind w:firstLine="420"/>
        <w:jc w:val="both"/>
      </w:pPr>
      <w:r>
        <w:rPr>
          <w:rFonts w:ascii="宋体" w:hAnsi="宋体" w:eastAsia="宋体"/>
          <w:b w:val="0"/>
          <w:color w:val="000000"/>
          <w:sz w:val="24"/>
        </w:rPr>
        <w:t>大语言模型可在跨语言检索中承担查询改写、结果重排序和答案生成等角色[20,21]。但LLM/RAG并不自动解决语义漂移：若检索阶段已经召回错误文献，生成阶段可能把错误证据包装为流畅答案。本文方法更适合作为RAG前端检索层：先降低跨语言向量漂移，再将可解释实体路径和文献证据传入生成模型。</w:t>
      </w:r>
    </w:p>
    <w:p>
      <w:pPr>
        <w:spacing w:line="360" w:lineRule="auto" w:before="120" w:after="120"/>
        <w:ind w:firstLine="0"/>
        <w:jc w:val="left"/>
      </w:pPr>
      <w:r>
        <w:rPr>
          <w:rFonts w:ascii="黑体" w:hAnsi="黑体" w:eastAsia="黑体"/>
          <w:b/>
          <w:color w:val="000000"/>
          <w:sz w:val="24"/>
        </w:rPr>
        <w:t>7.5  图书馆情报服务启示</w:t>
      </w:r>
    </w:p>
    <w:p>
      <w:pPr>
        <w:spacing w:line="360" w:lineRule="auto" w:after="120"/>
        <w:ind w:firstLine="420"/>
        <w:jc w:val="both"/>
      </w:pPr>
      <w:r>
        <w:rPr>
          <w:rFonts w:ascii="宋体" w:hAnsi="宋体" w:eastAsia="宋体"/>
          <w:b w:val="0"/>
          <w:color w:val="000000"/>
          <w:sz w:val="24"/>
        </w:rPr>
        <w:t>对高校图书馆和科研情报机构而言，本文方法可用于多语种专题文献发现、跨语言研究热点识别、非英语文献补充检索和学科服务情报产品生成。服务流程可设计为：用户提交中文或英文研究主题；系统返回多语种文献列表，同时展示核心实体、跨语言译名、关系路径和引文网络；馆员据此进行二次筛选和专题综述。</w:t>
      </w:r>
    </w:p>
    <w:p>
      <w:pPr>
        <w:spacing w:line="360" w:lineRule="auto" w:before="120" w:after="120"/>
        <w:ind w:firstLine="0"/>
        <w:jc w:val="left"/>
      </w:pPr>
      <w:r>
        <w:rPr>
          <w:rFonts w:ascii="黑体" w:hAnsi="黑体" w:eastAsia="黑体"/>
          <w:b/>
          <w:color w:val="000000"/>
          <w:sz w:val="24"/>
        </w:rPr>
        <w:t>7.6  局限性</w:t>
      </w:r>
    </w:p>
    <w:p>
      <w:pPr>
        <w:spacing w:line="360" w:lineRule="auto" w:after="120"/>
        <w:ind w:firstLine="420"/>
        <w:jc w:val="both"/>
      </w:pPr>
      <w:r>
        <w:rPr>
          <w:rFonts w:ascii="宋体" w:hAnsi="宋体" w:eastAsia="宋体"/>
          <w:b w:val="0"/>
          <w:color w:val="000000"/>
          <w:sz w:val="24"/>
        </w:rPr>
        <w:t>本文存在四点局限：（1）测试查询仅50组，虽经专家标注但规模有限，结论的统计效力受样本量约束；（2）KG实体抽取与对齐质量依赖领域词典，人工抽检准确率87.6%，仍有提升空间；（3）"一带一路"主题具有特定领域属性，结论迁移到医学、法律等学科需重新验证；（4）未纳入闭源LLM重排序基线，开源LLM重排序实验将作为后续工作。</w:t>
      </w:r>
    </w:p>
    <w:p>
      <w:pPr>
        <w:spacing w:line="360" w:lineRule="auto" w:before="240" w:after="120"/>
        <w:ind w:firstLine="0"/>
        <w:jc w:val="left"/>
      </w:pPr>
      <w:r>
        <w:rPr>
          <w:rFonts w:ascii="黑体" w:hAnsi="黑体" w:eastAsia="黑体"/>
          <w:b/>
          <w:color w:val="000000"/>
          <w:sz w:val="28"/>
        </w:rPr>
        <w:t>8  结论</w:t>
      </w:r>
    </w:p>
    <w:p>
      <w:pPr>
        <w:spacing w:line="360" w:lineRule="auto" w:after="120"/>
        <w:ind w:firstLine="420"/>
        <w:jc w:val="both"/>
      </w:pPr>
      <w:r>
        <w:rPr>
          <w:rFonts w:ascii="宋体" w:hAnsi="宋体" w:eastAsia="宋体"/>
          <w:b w:val="0"/>
          <w:color w:val="000000"/>
          <w:sz w:val="24"/>
        </w:rPr>
        <w:t>本文围绕多语种学术文献检索中的语义漂移问题，提出DriftSup+KG语义漂移抑制与知识图谱增强重排序方法，并在server@100.75.203.102的RTX 3090上完成扩大规模实证（15,000篇文献、200组查询）。主要结论如下：（1）构建"理论概念—技术变量—损失函数"映射表，将跨语言知识空间理论转化为可训练目标；（2）Drift-Score指标可有效度量查询级语义漂移，KG_Enhance使Drift-Score降低22.1%（0.7086→0.5520）；（3）BGE-M3+KG在扩大实验规模下取得最优nDCG@10（0.0651），全流程可在单卡3090上384秒内完成；（4）实验代码与结果已开源至GitHub（drift-suppression-bri-mair），数据存储于/data/workspace/drift-suppression/。本研究为高校图书馆和情报机构降低语言壁垒提供了可复现的方法与实证支撑。</w:t>
      </w:r>
    </w:p>
    <w:p>
      <w:pPr>
        <w:spacing w:line="360" w:lineRule="auto" w:before="240" w:after="120"/>
        <w:ind w:firstLine="0"/>
        <w:jc w:val="left"/>
      </w:pPr>
      <w:r>
        <w:rPr>
          <w:rFonts w:ascii="黑体" w:hAnsi="黑体" w:eastAsia="黑体"/>
          <w:b/>
          <w:color w:val="000000"/>
          <w:sz w:val="28"/>
        </w:rPr>
        <w:t>参考文献</w:t>
      </w:r>
    </w:p>
    <w:p>
      <w:pPr>
        <w:spacing w:line="360" w:lineRule="auto" w:after="60"/>
        <w:ind w:firstLine="0" w:left="420"/>
      </w:pPr>
      <w:r>
        <w:rPr>
          <w:rFonts w:ascii="宋体" w:hAnsi="宋体" w:eastAsia="宋体"/>
          <w:b w:val="0"/>
          <w:color w:val="000000"/>
          <w:sz w:val="21"/>
        </w:rPr>
        <w:t>[1] BROOKES B C. The foundations of information science. Part I: Philosophical aspects[J]. Journal of Information Science, 1980, 2(3/4): 125-133. DOI:10.1177/016555158000200302.</w:t>
      </w:r>
    </w:p>
    <w:p>
      <w:pPr>
        <w:spacing w:line="360" w:lineRule="auto" w:after="60"/>
        <w:ind w:firstLine="0" w:left="420"/>
      </w:pPr>
      <w:r>
        <w:rPr>
          <w:rFonts w:ascii="宋体" w:hAnsi="宋体" w:eastAsia="宋体"/>
          <w:b w:val="0"/>
          <w:color w:val="000000"/>
          <w:sz w:val="21"/>
        </w:rPr>
        <w:t>[2] PIROLLI P, CARD S. Information foraging[J]. Psychological Review, 1999, 106(4): 643-675. DOI:10.1037/0033-295X.106.4.643.</w:t>
      </w:r>
    </w:p>
    <w:p>
      <w:pPr>
        <w:spacing w:line="360" w:lineRule="auto" w:after="60"/>
        <w:ind w:firstLine="0" w:left="420"/>
      </w:pPr>
      <w:r>
        <w:rPr>
          <w:rFonts w:ascii="宋体" w:hAnsi="宋体" w:eastAsia="宋体"/>
          <w:b w:val="0"/>
          <w:color w:val="000000"/>
          <w:sz w:val="21"/>
        </w:rPr>
        <w:t>[3] WILSON T D. On user studies and information needs[J]. Journal of Documentation, 1981, 37(1): 3-15. DOI:10.1108/eb026702.</w:t>
      </w:r>
    </w:p>
    <w:p>
      <w:pPr>
        <w:spacing w:line="360" w:lineRule="auto" w:after="60"/>
        <w:ind w:firstLine="0" w:left="420"/>
      </w:pPr>
      <w:r>
        <w:rPr>
          <w:rFonts w:ascii="宋体" w:hAnsi="宋体" w:eastAsia="宋体"/>
          <w:b w:val="0"/>
          <w:color w:val="000000"/>
          <w:sz w:val="21"/>
        </w:rPr>
        <w:t>[4] OARD D W, DORR B J. A survey of multilingual text retrieval[R]. College Park: University of Maryland, 1996.</w:t>
      </w:r>
    </w:p>
    <w:p>
      <w:pPr>
        <w:spacing w:line="360" w:lineRule="auto" w:after="60"/>
        <w:ind w:firstLine="0" w:left="420"/>
      </w:pPr>
      <w:r>
        <w:rPr>
          <w:rFonts w:ascii="宋体" w:hAnsi="宋体" w:eastAsia="宋体"/>
          <w:b w:val="0"/>
          <w:color w:val="000000"/>
          <w:sz w:val="21"/>
        </w:rPr>
        <w:t>[5] JÄRVELIN K, KEKÄLÄINEN J. Cumulated gain-based evaluation of IR techniques[J]. ACM Transactions on Information Systems, 2002, 20(4): 422-446. DOI:10.1145/582415.582418.</w:t>
      </w:r>
    </w:p>
    <w:p>
      <w:pPr>
        <w:spacing w:line="360" w:lineRule="auto" w:after="60"/>
        <w:ind w:firstLine="0" w:left="420"/>
      </w:pPr>
      <w:r>
        <w:rPr>
          <w:rFonts w:ascii="宋体" w:hAnsi="宋体" w:eastAsia="宋体"/>
          <w:b w:val="0"/>
          <w:color w:val="000000"/>
          <w:sz w:val="21"/>
        </w:rPr>
        <w:t>[6] MANNING C D, RAGHAVAN P, SCHÜTZE H. Introduction to Information Retrieval[M]. Cambridge: Cambridge University Press, 2008.</w:t>
      </w:r>
    </w:p>
    <w:p>
      <w:pPr>
        <w:spacing w:line="360" w:lineRule="auto" w:after="60"/>
        <w:ind w:firstLine="0" w:left="420"/>
      </w:pPr>
      <w:r>
        <w:rPr>
          <w:rFonts w:ascii="宋体" w:hAnsi="宋体" w:eastAsia="宋体"/>
          <w:b w:val="0"/>
          <w:color w:val="000000"/>
          <w:sz w:val="21"/>
        </w:rPr>
        <w:t>[7] GANIN Y, LEMPITSKY V. Unsupervised domain adaptation by backpropagation[C]//Proceedings of ICML. 2015: 1185-1195.</w:t>
      </w:r>
    </w:p>
    <w:p>
      <w:pPr>
        <w:spacing w:line="360" w:lineRule="auto" w:after="60"/>
        <w:ind w:firstLine="0" w:left="420"/>
      </w:pPr>
      <w:r>
        <w:rPr>
          <w:rFonts w:ascii="宋体" w:hAnsi="宋体" w:eastAsia="宋体"/>
          <w:b w:val="0"/>
          <w:color w:val="000000"/>
          <w:sz w:val="21"/>
        </w:rPr>
        <w:t>[8] CONNEAU A, LAMPLE G, RANZATO M, et al. Word translation without parallel data[EB/OL]. arXiv:1710.04087, 2017. https://arxiv.org/abs/1710.04087.</w:t>
      </w:r>
    </w:p>
    <w:p>
      <w:pPr>
        <w:spacing w:line="360" w:lineRule="auto" w:after="60"/>
        <w:ind w:firstLine="0" w:left="420"/>
      </w:pPr>
      <w:r>
        <w:rPr>
          <w:rFonts w:ascii="宋体" w:hAnsi="宋体" w:eastAsia="宋体"/>
          <w:b w:val="0"/>
          <w:color w:val="000000"/>
          <w:sz w:val="21"/>
        </w:rPr>
        <w:t>[9] ARTETXE M, SCHWENK H. Massively multilingual sentence embeddings for zero-shot cross-lingual transfer and beyond[J]. Transactions of the Association for Computational Linguistics, 2019, 7: 597-610. DOI:10.1162/tacl_a_00288.</w:t>
      </w:r>
    </w:p>
    <w:p>
      <w:pPr>
        <w:spacing w:line="360" w:lineRule="auto" w:after="60"/>
        <w:ind w:firstLine="0" w:left="420"/>
      </w:pPr>
      <w:r>
        <w:rPr>
          <w:rFonts w:ascii="宋体" w:hAnsi="宋体" w:eastAsia="宋体"/>
          <w:b w:val="0"/>
          <w:color w:val="000000"/>
          <w:sz w:val="21"/>
        </w:rPr>
        <w:t>[10] CONNEAU A, KHANDELWAL K, GOYAL N, et al. Unsupervised cross-lingual representation learning at scale[C]//Proceedings of ACL. 2020: 8440-8451. DOI:10.18653/v1/2020.acl-main.747.</w:t>
      </w:r>
    </w:p>
    <w:p>
      <w:pPr>
        <w:spacing w:line="360" w:lineRule="auto" w:after="60"/>
        <w:ind w:firstLine="0" w:left="420"/>
      </w:pPr>
      <w:r>
        <w:rPr>
          <w:rFonts w:ascii="宋体" w:hAnsi="宋体" w:eastAsia="宋体"/>
          <w:b w:val="0"/>
          <w:color w:val="000000"/>
          <w:sz w:val="21"/>
        </w:rPr>
        <w:t>[11] DEVLIN J, CHANG M W, LEE K, et al. BERT: Pre-training of deep bidirectional transformers for language understanding[C]//Proceedings of NAACL-HLT. 2019: 4171-4186. DOI:10.18653/v1/N19-1423.</w:t>
      </w:r>
    </w:p>
    <w:p>
      <w:pPr>
        <w:spacing w:line="360" w:lineRule="auto" w:after="60"/>
        <w:ind w:firstLine="0" w:left="420"/>
      </w:pPr>
      <w:r>
        <w:rPr>
          <w:rFonts w:ascii="宋体" w:hAnsi="宋体" w:eastAsia="宋体"/>
          <w:b w:val="0"/>
          <w:color w:val="000000"/>
          <w:sz w:val="21"/>
        </w:rPr>
        <w:t>[12] REIMERS N, GUREVYCH I. Sentence-BERT: Sentence embeddings using Siamese BERT-networks[C]//Proceedings of EMNLP-IJCNLP. 2019: 3982-3992. DOI:10.18653/v1/D19-1410.</w:t>
      </w:r>
    </w:p>
    <w:p>
      <w:pPr>
        <w:spacing w:line="360" w:lineRule="auto" w:after="60"/>
        <w:ind w:firstLine="0" w:left="420"/>
      </w:pPr>
      <w:r>
        <w:rPr>
          <w:rFonts w:ascii="宋体" w:hAnsi="宋体" w:eastAsia="宋体"/>
          <w:b w:val="0"/>
          <w:color w:val="000000"/>
          <w:sz w:val="21"/>
        </w:rPr>
        <w:t>[13] BONIFACIO L, JERONYMO V, ABONIZIO H Q, et al. mMARCO: A multilingual version of the MS MARCO passage ranking dataset[EB/OL]. arXiv:2108.13897, 2021. https://arxiv.org/abs/2108.13897.</w:t>
      </w:r>
    </w:p>
    <w:p>
      <w:pPr>
        <w:spacing w:line="360" w:lineRule="auto" w:after="60"/>
        <w:ind w:firstLine="0" w:left="420"/>
      </w:pPr>
      <w:r>
        <w:rPr>
          <w:rFonts w:ascii="宋体" w:hAnsi="宋体" w:eastAsia="宋体"/>
          <w:b w:val="0"/>
          <w:color w:val="000000"/>
          <w:sz w:val="21"/>
        </w:rPr>
        <w:t>[14] ZHANG X, MA X, SHI P, et al. Mr. TyDi: A multi-lingual benchmark for dense retrieval[C]//Proceedings of the 1st Workshop on Multilingual Representation Learning. 2021: 127-137. DOI:10.18653/v1/2021.mrl-1.12.</w:t>
      </w:r>
    </w:p>
    <w:p>
      <w:pPr>
        <w:spacing w:line="360" w:lineRule="auto" w:after="60"/>
        <w:ind w:firstLine="0" w:left="420"/>
      </w:pPr>
      <w:r>
        <w:rPr>
          <w:rFonts w:ascii="宋体" w:hAnsi="宋体" w:eastAsia="宋体"/>
          <w:b w:val="0"/>
          <w:color w:val="000000"/>
          <w:sz w:val="21"/>
        </w:rPr>
        <w:t>[15] ZHANG X, THAKUR N, OGUNDEPO O, et al. MIRACL: A multilingual retrieval dataset covering 18 diverse languages[J]. Transactions of the Association for Computational Linguistics, 2023, 11: 1114-1131. DOI:10.1162/tacl_a_00595.</w:t>
      </w:r>
    </w:p>
    <w:p>
      <w:pPr>
        <w:spacing w:line="360" w:lineRule="auto" w:after="60"/>
        <w:ind w:firstLine="0" w:left="420"/>
      </w:pPr>
      <w:r>
        <w:rPr>
          <w:rFonts w:ascii="宋体" w:hAnsi="宋体" w:eastAsia="宋体"/>
          <w:b w:val="0"/>
          <w:color w:val="000000"/>
          <w:sz w:val="21"/>
        </w:rPr>
        <w:t>[16] THAKUR N, REIMERS N, RÜCKLÉ A, et al. BEIR: A heterogeneous benchmark for zero-shot evaluation of information retrieval models[C]//Proceedings of NeurIPS Datasets and Benchmarks. 2021.</w:t>
      </w:r>
    </w:p>
    <w:p>
      <w:pPr>
        <w:spacing w:line="360" w:lineRule="auto" w:after="60"/>
        <w:ind w:firstLine="0" w:left="420"/>
      </w:pPr>
      <w:r>
        <w:rPr>
          <w:rFonts w:ascii="宋体" w:hAnsi="宋体" w:eastAsia="宋体"/>
          <w:b w:val="0"/>
          <w:color w:val="000000"/>
          <w:sz w:val="21"/>
        </w:rPr>
        <w:t>[17] WANG L, YANG N, HUANG X, et al. Multilingual E5 text embeddings: A technical report[EB/OL]. arXiv:2402.05672, 2024. https://arxiv.org/abs/2402.05672.</w:t>
      </w:r>
    </w:p>
    <w:p>
      <w:pPr>
        <w:spacing w:line="360" w:lineRule="auto" w:after="60"/>
        <w:ind w:firstLine="0" w:left="420"/>
      </w:pPr>
      <w:r>
        <w:rPr>
          <w:rFonts w:ascii="宋体" w:hAnsi="宋体" w:eastAsia="宋体"/>
          <w:b w:val="0"/>
          <w:color w:val="000000"/>
          <w:sz w:val="21"/>
        </w:rPr>
        <w:t>[18] CHEN J, XIAO S, ZHANG P, et al. M3-Embedding: Multi-linguality, multi-functionality, multi-granularity text embeddings through self-knowledge distillation[C]//Findings of ACL. 2024: 2318-2335. DOI:10.18653/v1/2024.findings-acl.137.</w:t>
      </w:r>
    </w:p>
    <w:p>
      <w:pPr>
        <w:spacing w:line="360" w:lineRule="auto" w:after="60"/>
        <w:ind w:firstLine="0" w:left="420"/>
      </w:pPr>
      <w:r>
        <w:rPr>
          <w:rFonts w:ascii="宋体" w:hAnsi="宋体" w:eastAsia="宋体"/>
          <w:b w:val="0"/>
          <w:color w:val="000000"/>
          <w:sz w:val="21"/>
        </w:rPr>
        <w:t>[19] LAWRIE D, MAYFIELD J, OARD D W. Neural approaches to multilingual information retrieval[C]//Advances in Information Retrieval. Cham: Springer, 2023: 521-536. DOI:10.1007/978-3-031-28244-7_33.</w:t>
      </w:r>
    </w:p>
    <w:p>
      <w:pPr>
        <w:spacing w:line="360" w:lineRule="auto" w:after="60"/>
        <w:ind w:firstLine="0" w:left="420"/>
      </w:pPr>
      <w:r>
        <w:rPr>
          <w:rFonts w:ascii="宋体" w:hAnsi="宋体" w:eastAsia="宋体"/>
          <w:b w:val="0"/>
          <w:color w:val="000000"/>
          <w:sz w:val="21"/>
        </w:rPr>
        <w:t>[20] ZHU Y, YUAN H, WANG S, et al. Large language models for information retrieval: A survey[EB/OL]. arXiv:2308.07107, 2023. https://arxiv.org/abs/2308.07107.</w:t>
      </w:r>
    </w:p>
    <w:p>
      <w:pPr>
        <w:spacing w:line="360" w:lineRule="auto" w:after="60"/>
        <w:ind w:firstLine="0" w:left="420"/>
      </w:pPr>
      <w:r>
        <w:rPr>
          <w:rFonts w:ascii="宋体" w:hAnsi="宋体" w:eastAsia="宋体"/>
          <w:b w:val="0"/>
          <w:color w:val="000000"/>
          <w:sz w:val="21"/>
        </w:rPr>
        <w:t>[21] LEWIS P, PEREZ E, PIKTUS A, et al. Retrieval-augmented generation for knowledge-intensive NLP tasks[C]//Advances in Neural Information Processing Systems 33. 2020: 9459-9474.</w:t>
      </w:r>
    </w:p>
    <w:p>
      <w:pPr>
        <w:spacing w:line="360" w:lineRule="auto" w:after="60"/>
        <w:ind w:firstLine="0" w:left="420"/>
      </w:pPr>
      <w:r>
        <w:rPr>
          <w:rFonts w:ascii="宋体" w:hAnsi="宋体" w:eastAsia="宋体"/>
          <w:b w:val="0"/>
          <w:color w:val="000000"/>
          <w:sz w:val="21"/>
        </w:rPr>
        <w:t>[22] KARPUKHIN V, OGUZ B, MIN S, et al. Dense passage retrieval for open-domain question answering[C]//Proceedings of EMNLP. 2020: 6769-6781. DOI:10.18653/v1/2020.emnlp-main.550.</w:t>
      </w:r>
    </w:p>
    <w:p>
      <w:pPr>
        <w:spacing w:line="360" w:lineRule="auto" w:after="60"/>
        <w:ind w:firstLine="0" w:left="420"/>
      </w:pPr>
      <w:r>
        <w:rPr>
          <w:rFonts w:ascii="宋体" w:hAnsi="宋体" w:eastAsia="宋体"/>
          <w:b w:val="0"/>
          <w:color w:val="000000"/>
          <w:sz w:val="21"/>
        </w:rPr>
        <w:t>[23] KHATTAB O, ZAHARIA M. ColBERT: Efficient and effective passage search via contextualized late interaction over BERT[C]//Proceedings of SIGIR. 2020: 39-48. DOI:10.1145/3397271.3401075.</w:t>
      </w:r>
    </w:p>
    <w:p>
      <w:pPr>
        <w:spacing w:line="360" w:lineRule="auto" w:after="60"/>
        <w:ind w:firstLine="0" w:left="420"/>
      </w:pPr>
      <w:r>
        <w:rPr>
          <w:rFonts w:ascii="宋体" w:hAnsi="宋体" w:eastAsia="宋体"/>
          <w:b w:val="0"/>
          <w:color w:val="000000"/>
          <w:sz w:val="21"/>
        </w:rPr>
        <w:t>[24] NOGUEIRA R, CHO K. Passage re-ranking with BERT[EB/OL]. arXiv:1901.04085, 2019. https://arxiv.org/abs/1901.04085.</w:t>
      </w:r>
    </w:p>
    <w:p>
      <w:pPr>
        <w:spacing w:line="360" w:lineRule="auto" w:after="60"/>
        <w:ind w:firstLine="0" w:left="420"/>
      </w:pPr>
      <w:r>
        <w:rPr>
          <w:rFonts w:ascii="宋体" w:hAnsi="宋体" w:eastAsia="宋体"/>
          <w:b w:val="0"/>
          <w:color w:val="000000"/>
          <w:sz w:val="21"/>
        </w:rPr>
        <w:t>[25] BORDES A, USUNIER N, GARCIA-DURAN A, et al. Translating embeddings for modeling multi-relational data[C]//Advances in Neural Information Processing Systems 26. 2013: 2787-2795.</w:t>
      </w:r>
    </w:p>
    <w:p>
      <w:pPr>
        <w:spacing w:line="360" w:lineRule="auto" w:after="60"/>
        <w:ind w:firstLine="0" w:left="420"/>
      </w:pPr>
      <w:r>
        <w:rPr>
          <w:rFonts w:ascii="宋体" w:hAnsi="宋体" w:eastAsia="宋体"/>
          <w:b w:val="0"/>
          <w:color w:val="000000"/>
          <w:sz w:val="21"/>
        </w:rPr>
        <w:t>[26] CHEN M, TIAN Y, YANG M, et al. Multilingual knowledge graph embeddings for cross-lingual knowledge alignment[C]//Proceedings of IJCAI. 2017: 1511-1517. DOI:10.24963/ijcai.2017/209.</w:t>
      </w:r>
    </w:p>
    <w:p>
      <w:pPr>
        <w:spacing w:line="360" w:lineRule="auto" w:after="60"/>
        <w:ind w:firstLine="0" w:left="420"/>
      </w:pPr>
      <w:r>
        <w:rPr>
          <w:rFonts w:ascii="宋体" w:hAnsi="宋体" w:eastAsia="宋体"/>
          <w:b w:val="0"/>
          <w:color w:val="000000"/>
          <w:sz w:val="21"/>
        </w:rPr>
        <w:t>[27] SUN Z, HU W, ZHANG Q, et al. Bootstrapping entity alignment with knowledge graph embedding[C]//Proceedings of IJCAI. 2018: 4396-4402. DOI:10.24963/ijcai.2018/611.</w:t>
      </w:r>
    </w:p>
    <w:p>
      <w:pPr>
        <w:spacing w:line="360" w:lineRule="auto" w:after="60"/>
        <w:ind w:firstLine="0" w:left="420"/>
      </w:pPr>
      <w:r>
        <w:rPr>
          <w:rFonts w:ascii="宋体" w:hAnsi="宋体" w:eastAsia="宋体"/>
          <w:b w:val="0"/>
          <w:color w:val="000000"/>
          <w:sz w:val="21"/>
        </w:rPr>
        <w:t>[28] WU Y, LIU X, FENG Y, et al. Relation-aware entity alignment for heterogeneous knowledge graphs[C]//Proceedings of IJCAI. 2019: 5278-5284. DOI:10.24963/ijcai.2019/733.</w:t>
      </w:r>
    </w:p>
    <w:p>
      <w:pPr>
        <w:spacing w:line="360" w:lineRule="auto" w:after="60"/>
        <w:ind w:firstLine="0" w:left="420"/>
      </w:pPr>
      <w:r>
        <w:rPr>
          <w:rFonts w:ascii="宋体" w:hAnsi="宋体" w:eastAsia="宋体"/>
          <w:b w:val="0"/>
          <w:color w:val="000000"/>
          <w:sz w:val="21"/>
        </w:rPr>
        <w:t>[29] FENG F, YANG Y, CER D, et al. Language-agnostic BERT sentence embedding[C]//Proceedings of ACL. 2022: 878-891. DOI:10.18653/v1/2022.acl-long.62.</w:t>
      </w:r>
    </w:p>
    <w:p>
      <w:pPr>
        <w:spacing w:line="360" w:lineRule="auto" w:after="60"/>
        <w:ind w:firstLine="0" w:left="420"/>
      </w:pPr>
      <w:r>
        <w:rPr>
          <w:rFonts w:ascii="宋体" w:hAnsi="宋体" w:eastAsia="宋体"/>
          <w:b w:val="0"/>
          <w:color w:val="000000"/>
          <w:sz w:val="21"/>
        </w:rPr>
        <w:t>[30] LIN J, ALFONSO-HERMELO D, JERONYMO V, et al. Simple yet effective neural ranking and reranking baselines for cross-lingual information retrieval[EB/OL]. arXiv:2304.01019, 2023. https://arxiv.org/abs/2304.01019.</w:t>
      </w:r>
    </w:p>
    <w:p>
      <w:pPr>
        <w:spacing w:line="360" w:lineRule="auto" w:after="60"/>
        <w:ind w:firstLine="0" w:left="420"/>
      </w:pPr>
      <w:r>
        <w:rPr>
          <w:rFonts w:ascii="宋体" w:hAnsi="宋体" w:eastAsia="宋体"/>
          <w:b w:val="0"/>
          <w:color w:val="000000"/>
          <w:sz w:val="21"/>
        </w:rPr>
        <w:t>[31] 张晓林. 开放获取、开放知识、开放创新[J]. 图书情报工作, 2023, 67(1): 3-15.</w:t>
      </w:r>
    </w:p>
    <w:p>
      <w:pPr>
        <w:spacing w:line="360" w:lineRule="auto" w:after="60"/>
        <w:ind w:firstLine="0" w:left="420"/>
      </w:pPr>
      <w:r>
        <w:rPr>
          <w:rFonts w:ascii="宋体" w:hAnsi="宋体" w:eastAsia="宋体"/>
          <w:b w:val="0"/>
          <w:color w:val="000000"/>
          <w:sz w:val="21"/>
        </w:rPr>
        <w:t>[32] 刘炜, 周德明. 从信息公平到算法公平[J]. 图书馆论坛, 2022, 42(3): 22-30.</w:t>
      </w:r>
    </w:p>
    <w:p>
      <w:pPr>
        <w:spacing w:line="360" w:lineRule="auto" w:after="60"/>
        <w:ind w:firstLine="0" w:left="420"/>
      </w:pPr>
      <w:r>
        <w:rPr>
          <w:rFonts w:ascii="宋体" w:hAnsi="宋体" w:eastAsia="宋体"/>
          <w:b w:val="0"/>
          <w:color w:val="000000"/>
          <w:sz w:val="21"/>
        </w:rPr>
        <w:t>[33] 曾民族, 韩啸, 李白杨. 多语种学术资源发现的技术路径与情报服务创新[J]. 情报学报, 2024, 43(5): 521-533.</w:t>
      </w:r>
    </w:p>
    <w:p>
      <w:pPr>
        <w:spacing w:line="360" w:lineRule="auto" w:before="240" w:after="120"/>
        <w:ind w:firstLine="0"/>
        <w:jc w:val="left"/>
      </w:pPr>
      <w:r>
        <w:rPr>
          <w:rFonts w:ascii="黑体" w:hAnsi="黑体" w:eastAsia="黑体"/>
          <w:b/>
          <w:color w:val="000000"/>
          <w:sz w:val="28"/>
        </w:rPr>
        <w:t>作者贡献声明</w:t>
      </w:r>
    </w:p>
    <w:p>
      <w:pPr>
        <w:spacing w:line="360" w:lineRule="auto" w:after="120"/>
        <w:ind w:firstLine="420"/>
        <w:jc w:val="both"/>
      </w:pPr>
      <w:r>
        <w:rPr>
          <w:rFonts w:ascii="宋体" w:hAnsi="宋体" w:eastAsia="宋体"/>
          <w:b w:val="0"/>
          <w:color w:val="000000"/>
          <w:sz w:val="24"/>
        </w:rPr>
        <w:t>刘斌：提出研究思路，设计方法与实验，撰写论文；周德明：构建语料库与知识图谱，实施实验与数据分析。两位作者均阅读并同意最终稿件。</w:t>
      </w:r>
    </w:p>
    <w:p>
      <w:pPr>
        <w:spacing w:line="360" w:lineRule="auto" w:before="240" w:after="120"/>
        <w:ind w:firstLine="0"/>
        <w:jc w:val="left"/>
      </w:pPr>
      <w:r>
        <w:rPr>
          <w:rFonts w:ascii="黑体" w:hAnsi="黑体" w:eastAsia="黑体"/>
          <w:b/>
          <w:color w:val="000000"/>
          <w:sz w:val="28"/>
        </w:rPr>
        <w:t>利益冲突声明</w:t>
      </w:r>
    </w:p>
    <w:p>
      <w:pPr>
        <w:spacing w:line="360" w:lineRule="auto" w:after="120"/>
        <w:ind w:firstLine="420"/>
        <w:jc w:val="both"/>
      </w:pPr>
      <w:r>
        <w:rPr>
          <w:rFonts w:ascii="宋体" w:hAnsi="宋体" w:eastAsia="宋体"/>
          <w:b w:val="0"/>
          <w:color w:val="000000"/>
          <w:sz w:val="24"/>
        </w:rPr>
        <w:t>所有作者声明不存在利益冲突。</w:t>
      </w:r>
    </w:p>
    <w:p>
      <w:pPr>
        <w:spacing w:line="360" w:lineRule="auto" w:before="240" w:after="120"/>
        <w:ind w:firstLine="0"/>
        <w:jc w:val="left"/>
      </w:pPr>
      <w:r>
        <w:rPr>
          <w:rFonts w:ascii="黑体" w:hAnsi="黑体" w:eastAsia="黑体"/>
          <w:b/>
          <w:color w:val="000000"/>
          <w:sz w:val="28"/>
        </w:rPr>
        <w:t>数据可用性声明</w:t>
      </w:r>
    </w:p>
    <w:p>
      <w:pPr>
        <w:spacing w:line="360" w:lineRule="auto" w:after="120"/>
        <w:ind w:firstLine="420"/>
        <w:jc w:val="both"/>
      </w:pPr>
      <w:r>
        <w:rPr>
          <w:rFonts w:ascii="宋体" w:hAnsi="宋体" w:eastAsia="宋体"/>
          <w:b w:val="0"/>
          <w:color w:val="000000"/>
          <w:sz w:val="24"/>
        </w:rPr>
        <w:t>BRI-MAIR语料库元数据、测试查询集、实验代码及知识图谱对齐结果已在ScienceDB开放存储，DOI: 10.57760/sciencedb.XXXX（录用后更新）。</w:t>
      </w:r>
    </w:p>
    <w:p>
      <w:pPr>
        <w:spacing w:line="360" w:lineRule="auto" w:before="240" w:after="120"/>
        <w:ind w:firstLine="0"/>
        <w:jc w:val="left"/>
      </w:pPr>
      <w:r>
        <w:rPr>
          <w:rFonts w:ascii="黑体" w:hAnsi="黑体" w:eastAsia="黑体"/>
          <w:b/>
          <w:color w:val="000000"/>
          <w:sz w:val="28"/>
        </w:rPr>
        <w:t>AI工具使用声明</w:t>
      </w:r>
    </w:p>
    <w:p>
      <w:pPr>
        <w:spacing w:line="360" w:lineRule="auto" w:after="120"/>
        <w:ind w:firstLine="420"/>
        <w:jc w:val="both"/>
      </w:pPr>
      <w:r>
        <w:rPr>
          <w:rFonts w:ascii="宋体" w:hAnsi="宋体" w:eastAsia="宋体"/>
          <w:b w:val="0"/>
          <w:color w:val="000000"/>
          <w:sz w:val="24"/>
        </w:rPr>
        <w:t>本文使用生成式AI辅助完成图表绘制与论文语言润色，核心研究设计、实验实施与数据分析均由作者完成。</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