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/>
          <w:sz w:val="21"/>
        </w:rPr>
      </w:pPr>
      <w:r>
        <w:rPr>
          <w:rFonts w:hint="default"/>
          <w:sz w:val="21"/>
        </w:rPr>
        <w:t>{{</w:t>
      </w:r>
      <w:r>
        <w:rPr>
          <w:rFonts w:hint="default" w:ascii="Noto Serif" w:hAnsi="Noto Serif" w:eastAsia="Noto Serif" w:cs="Noto Serif"/>
          <w:i w:val="0"/>
          <w:iCs w:val="0"/>
          <w:caps w:val="0"/>
          <w:snapToGrid w:val="0"/>
          <w:color w:val="000000"/>
          <w:spacing w:val="0"/>
          <w:kern w:val="0"/>
          <w:sz w:val="24"/>
          <w:szCs w:val="24"/>
          <w:shd w:val="clear" w:fill="FFFEF7"/>
          <w:lang w:eastAsia="zh-CN" w:bidi="ar"/>
        </w:rPr>
        <w:t>@</w:t>
      </w:r>
      <w:r>
        <w:rPr>
          <w:rFonts w:hint="default"/>
          <w:sz w:val="21"/>
        </w:rPr>
        <w:t>barcode}}</w:t>
      </w:r>
    </w:p>
    <w:p>
      <w:pPr>
        <w:spacing w:before="120" w:line="203" w:lineRule="auto"/>
        <w:ind w:left="6703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四、开标一览</w:t>
      </w:r>
      <w:r>
        <w:rPr>
          <w:rFonts w:ascii="Microsoft YaHei" w:hAnsi="Microsoft YaHei" w:eastAsia="Microsoft YaHei" w:cs="Microsoft YaHei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表</w:t>
      </w:r>
    </w:p>
    <w:p>
      <w:pPr>
        <w:spacing w:line="336" w:lineRule="auto"/>
        <w:rPr>
          <w:rFonts w:ascii="Arial"/>
          <w:sz w:val="21"/>
        </w:rPr>
      </w:pPr>
    </w:p>
    <w:p>
      <w:pPr>
        <w:spacing w:before="75" w:line="224" w:lineRule="auto"/>
        <w:ind w:left="915"/>
        <w:rPr>
          <w:rFonts w:ascii="仿宋" w:hAnsi="仿宋" w:eastAsia="仿宋" w:cs="仿宋"/>
          <w:sz w:val="23"/>
          <w:szCs w:val="23"/>
        </w:rPr>
      </w:pPr>
      <w:r>
        <w:rPr>
          <w:rFonts w:ascii="仿宋" w:hAnsi="仿宋" w:eastAsia="仿宋" w:cs="仿宋"/>
          <w:spacing w:val="-6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银行名</w:t>
      </w:r>
      <w:r>
        <w:rPr>
          <w:rFonts w:ascii="仿宋" w:hAnsi="仿宋" w:eastAsia="仿宋" w:cs="仿宋"/>
          <w:spacing w:val="-3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称</w:t>
      </w:r>
      <w:r>
        <w:rPr>
          <w:rFonts w:ascii="仿宋" w:hAnsi="仿宋" w:eastAsia="仿宋" w:cs="仿宋"/>
          <w:spacing w:val="-3"/>
          <w:sz w:val="23"/>
          <w:szCs w:val="23"/>
        </w:rPr>
        <w:t xml:space="preserve"> </w:t>
      </w:r>
      <w:r>
        <w:rPr>
          <w:rFonts w:ascii="仿宋" w:hAnsi="仿宋" w:eastAsia="仿宋" w:cs="仿宋"/>
          <w:spacing w:val="-3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(公章</w:t>
      </w:r>
      <w:bookmarkStart w:id="0" w:name="_GoBack"/>
      <w:bookmarkEnd w:id="0"/>
      <w:r>
        <w:rPr>
          <w:rFonts w:ascii="仿宋" w:hAnsi="仿宋" w:eastAsia="仿宋" w:cs="仿宋"/>
          <w:spacing w:val="-3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)</w:t>
      </w:r>
      <w:r>
        <w:rPr>
          <w:rFonts w:ascii="仿宋" w:hAnsi="仿宋" w:eastAsia="仿宋" w:cs="仿宋"/>
          <w:spacing w:val="-3"/>
          <w:sz w:val="23"/>
          <w:szCs w:val="23"/>
        </w:rPr>
        <w:t xml:space="preserve"> </w:t>
      </w:r>
      <w:r>
        <w:rPr>
          <w:rFonts w:ascii="仿宋" w:hAnsi="仿宋" w:eastAsia="仿宋" w:cs="仿宋"/>
          <w:spacing w:val="-3"/>
          <w:sz w:val="23"/>
          <w:szCs w:val="23"/>
          <w14:textOutline w14:w="4358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</w:p>
    <w:p/>
    <w:p/>
    <w:p>
      <w:pPr>
        <w:spacing w:line="156" w:lineRule="exact"/>
      </w:pPr>
    </w:p>
    <w:tbl>
      <w:tblPr>
        <w:tblStyle w:val="4"/>
        <w:tblW w:w="1400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428"/>
        <w:gridCol w:w="2960"/>
        <w:gridCol w:w="5518"/>
        <w:gridCol w:w="332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21" w:hRule="atLeast"/>
        </w:trPr>
        <w:tc>
          <w:tcPr>
            <w:tcW w:w="774" w:type="dxa"/>
            <w:vMerge w:val="restart"/>
            <w:tcBorders>
              <w:bottom w:val="nil"/>
            </w:tcBorders>
            <w:vAlign w:val="top"/>
          </w:tcPr>
          <w:p>
            <w:pPr>
              <w:spacing w:before="221" w:line="210" w:lineRule="auto"/>
              <w:ind w:left="208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序</w:t>
            </w:r>
            <w:r>
              <w:rPr>
                <w:rFonts w:ascii="Microsoft YaHei" w:hAnsi="Microsoft YaHei" w:eastAsia="Microsoft YaHei" w:cs="Microsoft YaHei"/>
                <w:spacing w:val="7"/>
                <w:sz w:val="17"/>
                <w:szCs w:val="17"/>
              </w:rPr>
              <w:t>号</w:t>
            </w:r>
          </w:p>
        </w:tc>
        <w:tc>
          <w:tcPr>
            <w:tcW w:w="4388" w:type="dxa"/>
            <w:gridSpan w:val="2"/>
            <w:vAlign w:val="top"/>
          </w:tcPr>
          <w:p>
            <w:pPr>
              <w:spacing w:before="60" w:line="210" w:lineRule="auto"/>
              <w:ind w:left="183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评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分内容</w:t>
            </w:r>
          </w:p>
        </w:tc>
        <w:tc>
          <w:tcPr>
            <w:tcW w:w="5518" w:type="dxa"/>
            <w:vMerge w:val="restart"/>
            <w:tcBorders>
              <w:bottom w:val="nil"/>
            </w:tcBorders>
            <w:vAlign w:val="top"/>
          </w:tcPr>
          <w:p>
            <w:pPr>
              <w:spacing w:before="221" w:line="209" w:lineRule="auto"/>
              <w:ind w:left="258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数据</w:t>
            </w:r>
          </w:p>
        </w:tc>
        <w:tc>
          <w:tcPr>
            <w:tcW w:w="3329" w:type="dxa"/>
            <w:vMerge w:val="restart"/>
            <w:tcBorders>
              <w:bottom w:val="nil"/>
            </w:tcBorders>
            <w:vAlign w:val="top"/>
          </w:tcPr>
          <w:p>
            <w:pPr>
              <w:spacing w:before="221" w:line="210" w:lineRule="auto"/>
              <w:ind w:left="1483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说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17" w:hRule="atLeast"/>
        </w:trPr>
        <w:tc>
          <w:tcPr>
            <w:tcW w:w="7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28" w:type="dxa"/>
            <w:vAlign w:val="top"/>
          </w:tcPr>
          <w:p>
            <w:pPr>
              <w:spacing w:before="56" w:line="210" w:lineRule="auto"/>
              <w:ind w:left="353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一级指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标</w:t>
            </w:r>
          </w:p>
        </w:tc>
        <w:tc>
          <w:tcPr>
            <w:tcW w:w="2960" w:type="dxa"/>
            <w:vAlign w:val="top"/>
          </w:tcPr>
          <w:p>
            <w:pPr>
              <w:spacing w:before="56" w:line="210" w:lineRule="auto"/>
              <w:ind w:left="1121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二级指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标</w:t>
            </w:r>
          </w:p>
        </w:tc>
        <w:tc>
          <w:tcPr>
            <w:tcW w:w="551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32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55" w:hRule="atLeast"/>
        </w:trPr>
        <w:tc>
          <w:tcPr>
            <w:tcW w:w="774" w:type="dxa"/>
            <w:vMerge w:val="restart"/>
            <w:tcBorders>
              <w:bottom w:val="nil"/>
            </w:tcBorders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before="73" w:line="172" w:lineRule="auto"/>
              <w:ind w:left="35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  <w:tc>
          <w:tcPr>
            <w:tcW w:w="1428" w:type="dxa"/>
            <w:vMerge w:val="restart"/>
            <w:tcBorders>
              <w:bottom w:val="nil"/>
            </w:tcBorders>
            <w:vAlign w:val="top"/>
          </w:tcPr>
          <w:p>
            <w:pPr>
              <w:spacing w:line="358" w:lineRule="auto"/>
              <w:rPr>
                <w:rFonts w:ascii="Arial"/>
                <w:sz w:val="21"/>
              </w:rPr>
            </w:pPr>
          </w:p>
          <w:p>
            <w:pPr>
              <w:spacing w:line="359" w:lineRule="auto"/>
              <w:rPr>
                <w:rFonts w:ascii="Arial"/>
                <w:sz w:val="21"/>
              </w:rPr>
            </w:pPr>
          </w:p>
          <w:p>
            <w:pPr>
              <w:spacing w:before="73" w:line="210" w:lineRule="auto"/>
              <w:ind w:left="44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安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全性</w:t>
            </w:r>
          </w:p>
        </w:tc>
        <w:tc>
          <w:tcPr>
            <w:tcW w:w="2960" w:type="dxa"/>
            <w:vAlign w:val="top"/>
          </w:tcPr>
          <w:p>
            <w:pPr>
              <w:spacing w:before="74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资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本充足率</w:t>
            </w:r>
          </w:p>
        </w:tc>
        <w:tc>
          <w:tcPr>
            <w:tcW w:w="5518" w:type="dxa"/>
            <w:vAlign w:val="top"/>
          </w:tcPr>
          <w:p>
            <w:pPr>
              <w:spacing w:before="75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hint="default" w:ascii="Microsoft YaHei" w:hAnsi="Microsoft YaHei" w:eastAsia="Microsoft YaHei" w:cs="Microsoft YaHei"/>
                <w:spacing w:val="-6"/>
                <w:sz w:val="17"/>
                <w:szCs w:val="17"/>
              </w:rPr>
              <w:t>{{</w:t>
            </w: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年度</w:t>
            </w:r>
            <w:r>
              <w:rPr>
                <w:rFonts w:hint="default" w:ascii="Microsoft YaHei" w:hAnsi="Microsoft YaHei" w:eastAsia="Microsoft YaHei" w:cs="Microsoft YaHei"/>
                <w:spacing w:val="-6"/>
                <w:sz w:val="17"/>
                <w:szCs w:val="17"/>
              </w:rPr>
              <w:t>}}</w:t>
            </w:r>
            <w:r>
              <w:rPr>
                <w:rFonts w:ascii="Microsoft YaHei" w:hAnsi="Microsoft YaHei" w:eastAsia="Microsoft YaHei" w:cs="Microsoft YaHei"/>
                <w:spacing w:val="-6"/>
                <w:sz w:val="17"/>
                <w:szCs w:val="17"/>
              </w:rPr>
              <w:t xml:space="preserve">  年末：     </w:t>
            </w:r>
            <w:r>
              <w:rPr>
                <w:rFonts w:hint="default" w:ascii="Microsoft YaHei" w:hAnsi="Microsoft YaHei" w:eastAsia="Microsoft YaHei" w:cs="Microsoft YaHei"/>
                <w:spacing w:val="-6"/>
                <w:sz w:val="17"/>
                <w:szCs w:val="17"/>
              </w:rPr>
              <w:t>{{</w:t>
            </w: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资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本充足率</w:t>
            </w:r>
            <w:r>
              <w:rPr>
                <w:rFonts w:hint="default" w:ascii="Microsoft YaHei" w:hAnsi="Microsoft YaHei" w:eastAsia="Microsoft YaHei" w:cs="Microsoft YaHei"/>
                <w:spacing w:val="-6"/>
                <w:sz w:val="17"/>
                <w:szCs w:val="17"/>
              </w:rPr>
              <w:t>}}</w:t>
            </w:r>
            <w:r>
              <w:rPr>
                <w:rFonts w:ascii="Microsoft YaHei" w:hAnsi="Microsoft YaHei" w:eastAsia="Microsoft YaHei" w:cs="Microsoft YaHei"/>
                <w:spacing w:val="-6"/>
                <w:sz w:val="17"/>
                <w:szCs w:val="17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pacing w:val="-4"/>
                <w:sz w:val="17"/>
                <w:szCs w:val="17"/>
              </w:rPr>
              <w:t>%</w:t>
            </w:r>
          </w:p>
        </w:tc>
        <w:tc>
          <w:tcPr>
            <w:tcW w:w="3329" w:type="dxa"/>
            <w:vAlign w:val="top"/>
          </w:tcPr>
          <w:p>
            <w:pPr>
              <w:spacing w:before="74" w:line="209" w:lineRule="auto"/>
              <w:ind w:left="11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>总行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2021 年末数据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55" w:hRule="atLeast"/>
        </w:trPr>
        <w:tc>
          <w:tcPr>
            <w:tcW w:w="77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2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960" w:type="dxa"/>
            <w:vAlign w:val="top"/>
          </w:tcPr>
          <w:p>
            <w:pPr>
              <w:spacing w:before="75" w:line="209" w:lineRule="auto"/>
              <w:ind w:left="10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不良贷款率</w:t>
            </w:r>
          </w:p>
        </w:tc>
        <w:tc>
          <w:tcPr>
            <w:tcW w:w="5518" w:type="dxa"/>
            <w:vAlign w:val="top"/>
          </w:tcPr>
          <w:p>
            <w:pPr>
              <w:spacing w:before="75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6"/>
                <w:sz w:val="17"/>
                <w:szCs w:val="17"/>
              </w:rPr>
              <w:t xml:space="preserve">2021 年末：           </w:t>
            </w:r>
            <w:r>
              <w:rPr>
                <w:rFonts w:ascii="Microsoft YaHei" w:hAnsi="Microsoft YaHei" w:eastAsia="Microsoft YaHei" w:cs="Microsoft YaHei"/>
                <w:spacing w:val="-4"/>
                <w:sz w:val="17"/>
                <w:szCs w:val="17"/>
              </w:rPr>
              <w:t>%</w:t>
            </w:r>
          </w:p>
        </w:tc>
        <w:tc>
          <w:tcPr>
            <w:tcW w:w="3329" w:type="dxa"/>
            <w:vAlign w:val="top"/>
          </w:tcPr>
          <w:p>
            <w:pPr>
              <w:spacing w:before="74" w:line="209" w:lineRule="auto"/>
              <w:ind w:left="11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>总行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2021 年末数据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55" w:hRule="atLeast"/>
        </w:trPr>
        <w:tc>
          <w:tcPr>
            <w:tcW w:w="77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2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960" w:type="dxa"/>
            <w:vAlign w:val="top"/>
          </w:tcPr>
          <w:p>
            <w:pPr>
              <w:spacing w:before="74" w:line="210" w:lineRule="auto"/>
              <w:ind w:left="107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1"/>
                <w:sz w:val="17"/>
                <w:szCs w:val="17"/>
              </w:rPr>
              <w:t>拨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备覆盖率</w:t>
            </w:r>
          </w:p>
        </w:tc>
        <w:tc>
          <w:tcPr>
            <w:tcW w:w="5518" w:type="dxa"/>
            <w:vAlign w:val="top"/>
          </w:tcPr>
          <w:p>
            <w:pPr>
              <w:spacing w:before="75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6"/>
                <w:sz w:val="17"/>
                <w:szCs w:val="17"/>
              </w:rPr>
              <w:t xml:space="preserve">2021 年末：           </w:t>
            </w:r>
            <w:r>
              <w:rPr>
                <w:rFonts w:ascii="Microsoft YaHei" w:hAnsi="Microsoft YaHei" w:eastAsia="Microsoft YaHei" w:cs="Microsoft YaHei"/>
                <w:spacing w:val="-4"/>
                <w:sz w:val="17"/>
                <w:szCs w:val="17"/>
              </w:rPr>
              <w:t>%</w:t>
            </w:r>
          </w:p>
        </w:tc>
        <w:tc>
          <w:tcPr>
            <w:tcW w:w="3329" w:type="dxa"/>
            <w:vAlign w:val="top"/>
          </w:tcPr>
          <w:p>
            <w:pPr>
              <w:spacing w:before="74" w:line="209" w:lineRule="auto"/>
              <w:ind w:left="11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>总行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2021 年末数据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55" w:hRule="atLeast"/>
        </w:trPr>
        <w:tc>
          <w:tcPr>
            <w:tcW w:w="77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2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960" w:type="dxa"/>
            <w:vAlign w:val="top"/>
          </w:tcPr>
          <w:p>
            <w:pPr>
              <w:spacing w:before="74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2"/>
                <w:sz w:val="17"/>
                <w:szCs w:val="17"/>
              </w:rPr>
              <w:t>流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动性覆盖率</w:t>
            </w:r>
          </w:p>
        </w:tc>
        <w:tc>
          <w:tcPr>
            <w:tcW w:w="5518" w:type="dxa"/>
            <w:vAlign w:val="top"/>
          </w:tcPr>
          <w:p>
            <w:pPr>
              <w:spacing w:before="75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6"/>
                <w:sz w:val="17"/>
                <w:szCs w:val="17"/>
              </w:rPr>
              <w:t xml:space="preserve">2021 年末：           </w:t>
            </w:r>
            <w:r>
              <w:rPr>
                <w:rFonts w:ascii="Microsoft YaHei" w:hAnsi="Microsoft YaHei" w:eastAsia="Microsoft YaHei" w:cs="Microsoft YaHei"/>
                <w:spacing w:val="-4"/>
                <w:sz w:val="17"/>
                <w:szCs w:val="17"/>
              </w:rPr>
              <w:t>%</w:t>
            </w:r>
          </w:p>
        </w:tc>
        <w:tc>
          <w:tcPr>
            <w:tcW w:w="3329" w:type="dxa"/>
            <w:vAlign w:val="top"/>
          </w:tcPr>
          <w:p>
            <w:pPr>
              <w:spacing w:before="74" w:line="209" w:lineRule="auto"/>
              <w:ind w:left="11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>总行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2021 年末数据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55" w:hRule="atLeast"/>
        </w:trPr>
        <w:tc>
          <w:tcPr>
            <w:tcW w:w="7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960" w:type="dxa"/>
            <w:vAlign w:val="top"/>
          </w:tcPr>
          <w:p>
            <w:pPr>
              <w:spacing w:before="74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流</w:t>
            </w: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动性比例</w:t>
            </w:r>
          </w:p>
        </w:tc>
        <w:tc>
          <w:tcPr>
            <w:tcW w:w="5518" w:type="dxa"/>
            <w:vAlign w:val="top"/>
          </w:tcPr>
          <w:p>
            <w:pPr>
              <w:spacing w:before="75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6"/>
                <w:sz w:val="17"/>
                <w:szCs w:val="17"/>
              </w:rPr>
              <w:t xml:space="preserve">2021 年末：           </w:t>
            </w:r>
            <w:r>
              <w:rPr>
                <w:rFonts w:ascii="Microsoft YaHei" w:hAnsi="Microsoft YaHei" w:eastAsia="Microsoft YaHei" w:cs="Microsoft YaHei"/>
                <w:spacing w:val="-4"/>
                <w:sz w:val="17"/>
                <w:szCs w:val="17"/>
              </w:rPr>
              <w:t>%</w:t>
            </w:r>
          </w:p>
        </w:tc>
        <w:tc>
          <w:tcPr>
            <w:tcW w:w="3329" w:type="dxa"/>
            <w:vAlign w:val="top"/>
          </w:tcPr>
          <w:p>
            <w:pPr>
              <w:spacing w:before="74" w:line="209" w:lineRule="auto"/>
              <w:ind w:left="11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>总行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2021 年末数据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96" w:hRule="atLeast"/>
        </w:trPr>
        <w:tc>
          <w:tcPr>
            <w:tcW w:w="774" w:type="dxa"/>
            <w:vAlign w:val="top"/>
          </w:tcPr>
          <w:p>
            <w:pPr>
              <w:spacing w:before="125" w:line="172" w:lineRule="auto"/>
              <w:ind w:left="345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2</w:t>
            </w:r>
          </w:p>
        </w:tc>
        <w:tc>
          <w:tcPr>
            <w:tcW w:w="1428" w:type="dxa"/>
            <w:vAlign w:val="top"/>
          </w:tcPr>
          <w:p>
            <w:pPr>
              <w:spacing w:before="96" w:line="210" w:lineRule="auto"/>
              <w:ind w:left="448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收</w:t>
            </w:r>
            <w:r>
              <w:rPr>
                <w:rFonts w:ascii="Microsoft YaHei" w:hAnsi="Microsoft YaHei" w:eastAsia="Microsoft YaHei" w:cs="Microsoft YaHei"/>
                <w:spacing w:val="6"/>
                <w:sz w:val="17"/>
                <w:szCs w:val="17"/>
              </w:rPr>
              <w:t>益性</w:t>
            </w:r>
          </w:p>
        </w:tc>
        <w:tc>
          <w:tcPr>
            <w:tcW w:w="2960" w:type="dxa"/>
            <w:vAlign w:val="top"/>
          </w:tcPr>
          <w:p>
            <w:pPr>
              <w:spacing w:before="97" w:line="210" w:lineRule="auto"/>
              <w:ind w:left="106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1"/>
                <w:sz w:val="17"/>
                <w:szCs w:val="17"/>
              </w:rPr>
              <w:t>存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款利率</w:t>
            </w:r>
          </w:p>
        </w:tc>
        <w:tc>
          <w:tcPr>
            <w:tcW w:w="5518" w:type="dxa"/>
            <w:vAlign w:val="top"/>
          </w:tcPr>
          <w:p>
            <w:pPr>
              <w:spacing w:before="96" w:line="209" w:lineRule="auto"/>
              <w:ind w:left="10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3"/>
                <w:sz w:val="17"/>
                <w:szCs w:val="17"/>
              </w:rPr>
              <w:t xml:space="preserve">本期承诺存款利率是         %，  较央行同期限基准利率上浮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BP</w:t>
            </w:r>
          </w:p>
        </w:tc>
        <w:tc>
          <w:tcPr>
            <w:tcW w:w="3329" w:type="dxa"/>
            <w:vAlign w:val="top"/>
          </w:tcPr>
          <w:p>
            <w:pPr>
              <w:spacing w:before="96" w:line="209" w:lineRule="auto"/>
              <w:ind w:left="111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基准利率以开标当日人行公布的为</w:t>
            </w:r>
            <w:r>
              <w:rPr>
                <w:rFonts w:ascii="Microsoft YaHei" w:hAnsi="Microsoft YaHei" w:eastAsia="Microsoft YaHei" w:cs="Microsoft YaHei"/>
                <w:spacing w:val="7"/>
                <w:sz w:val="17"/>
                <w:szCs w:val="17"/>
              </w:rPr>
              <w:t>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96" w:hRule="atLeast"/>
        </w:trPr>
        <w:tc>
          <w:tcPr>
            <w:tcW w:w="774" w:type="dxa"/>
            <w:vMerge w:val="restart"/>
            <w:tcBorders>
              <w:bottom w:val="nil"/>
            </w:tcBorders>
            <w:vAlign w:val="top"/>
          </w:tcPr>
          <w:p>
            <w:pPr>
              <w:spacing w:line="368" w:lineRule="auto"/>
              <w:rPr>
                <w:rFonts w:ascii="Arial"/>
                <w:sz w:val="21"/>
              </w:rPr>
            </w:pPr>
          </w:p>
          <w:p>
            <w:pPr>
              <w:spacing w:before="73" w:line="172" w:lineRule="auto"/>
              <w:ind w:left="344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3</w:t>
            </w:r>
          </w:p>
        </w:tc>
        <w:tc>
          <w:tcPr>
            <w:tcW w:w="1428" w:type="dxa"/>
            <w:vMerge w:val="restart"/>
            <w:tcBorders>
              <w:bottom w:val="nil"/>
            </w:tcBorders>
            <w:vAlign w:val="top"/>
          </w:tcPr>
          <w:p>
            <w:pPr>
              <w:spacing w:line="340" w:lineRule="auto"/>
              <w:rPr>
                <w:rFonts w:ascii="Arial"/>
                <w:sz w:val="21"/>
              </w:rPr>
            </w:pPr>
          </w:p>
          <w:p>
            <w:pPr>
              <w:spacing w:before="73" w:line="210" w:lineRule="auto"/>
              <w:ind w:left="447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7"/>
                <w:sz w:val="17"/>
                <w:szCs w:val="17"/>
              </w:rPr>
              <w:t>贡献</w:t>
            </w:r>
            <w:r>
              <w:rPr>
                <w:rFonts w:ascii="Microsoft YaHei" w:hAnsi="Microsoft YaHei" w:eastAsia="Microsoft YaHei" w:cs="Microsoft YaHei"/>
                <w:spacing w:val="6"/>
                <w:sz w:val="17"/>
                <w:szCs w:val="17"/>
              </w:rPr>
              <w:t>度</w:t>
            </w:r>
          </w:p>
        </w:tc>
        <w:tc>
          <w:tcPr>
            <w:tcW w:w="2960" w:type="dxa"/>
            <w:vAlign w:val="top"/>
          </w:tcPr>
          <w:p>
            <w:pPr>
              <w:spacing w:before="98" w:line="210" w:lineRule="auto"/>
              <w:ind w:left="10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4"/>
                <w:sz w:val="17"/>
                <w:szCs w:val="17"/>
              </w:rPr>
              <w:t>在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陕西省资产规模情况</w:t>
            </w:r>
          </w:p>
        </w:tc>
        <w:tc>
          <w:tcPr>
            <w:tcW w:w="5518" w:type="dxa"/>
            <w:vAlign w:val="top"/>
          </w:tcPr>
          <w:p>
            <w:pPr>
              <w:spacing w:before="99" w:line="210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5"/>
                <w:sz w:val="17"/>
                <w:szCs w:val="17"/>
              </w:rPr>
              <w:t>2021 年末：         亿元</w:t>
            </w:r>
          </w:p>
        </w:tc>
        <w:tc>
          <w:tcPr>
            <w:tcW w:w="3329" w:type="dxa"/>
            <w:vAlign w:val="top"/>
          </w:tcPr>
          <w:p>
            <w:pPr>
              <w:spacing w:before="98" w:line="209" w:lineRule="auto"/>
              <w:ind w:left="114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2"/>
                <w:sz w:val="17"/>
                <w:szCs w:val="17"/>
              </w:rPr>
              <w:t>2021</w:t>
            </w: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 xml:space="preserve"> 年末数据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28" w:hRule="atLeast"/>
        </w:trPr>
        <w:tc>
          <w:tcPr>
            <w:tcW w:w="7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960" w:type="dxa"/>
            <w:vAlign w:val="top"/>
          </w:tcPr>
          <w:p>
            <w:pPr>
              <w:spacing w:before="213" w:line="210" w:lineRule="auto"/>
              <w:ind w:left="10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4"/>
                <w:sz w:val="17"/>
                <w:szCs w:val="17"/>
              </w:rPr>
              <w:t>在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陕西省纳税规模情况</w:t>
            </w:r>
          </w:p>
        </w:tc>
        <w:tc>
          <w:tcPr>
            <w:tcW w:w="5518" w:type="dxa"/>
            <w:vAlign w:val="top"/>
          </w:tcPr>
          <w:p>
            <w:pPr>
              <w:spacing w:before="58" w:line="233" w:lineRule="auto"/>
              <w:ind w:left="109" w:right="47" w:firstLine="3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021 年末：       万元，其中，个人所得税   万元，企业所得税   万元， </w:t>
            </w:r>
            <w:r>
              <w:rPr>
                <w:rFonts w:ascii="Microsoft YaHei" w:hAnsi="Microsoft YaHei" w:eastAsia="Microsoft YaHei" w:cs="Microsoft YaHei"/>
                <w:spacing w:val="13"/>
                <w:sz w:val="17"/>
                <w:szCs w:val="17"/>
              </w:rPr>
              <w:t>增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值税   万元</w:t>
            </w:r>
          </w:p>
        </w:tc>
        <w:tc>
          <w:tcPr>
            <w:tcW w:w="3329" w:type="dxa"/>
            <w:vAlign w:val="top"/>
          </w:tcPr>
          <w:p>
            <w:pPr>
              <w:spacing w:before="213" w:line="209" w:lineRule="auto"/>
              <w:ind w:left="114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2"/>
                <w:sz w:val="17"/>
                <w:szCs w:val="17"/>
              </w:rPr>
              <w:t>2021</w:t>
            </w:r>
            <w:r>
              <w:rPr>
                <w:rFonts w:ascii="Microsoft YaHei" w:hAnsi="Microsoft YaHei" w:eastAsia="Microsoft YaHei" w:cs="Microsoft YaHei"/>
                <w:spacing w:val="-1"/>
                <w:sz w:val="17"/>
                <w:szCs w:val="17"/>
              </w:rPr>
              <w:t xml:space="preserve"> 年末数据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17" w:hRule="atLeast"/>
        </w:trPr>
        <w:tc>
          <w:tcPr>
            <w:tcW w:w="774" w:type="dxa"/>
            <w:vMerge w:val="restart"/>
            <w:tcBorders>
              <w:bottom w:val="nil"/>
            </w:tcBorders>
            <w:vAlign w:val="top"/>
          </w:tcPr>
          <w:p>
            <w:pPr>
              <w:spacing w:line="379" w:lineRule="auto"/>
              <w:rPr>
                <w:rFonts w:ascii="Arial"/>
                <w:sz w:val="21"/>
              </w:rPr>
            </w:pPr>
          </w:p>
          <w:p>
            <w:pPr>
              <w:spacing w:before="73" w:line="172" w:lineRule="auto"/>
              <w:ind w:left="343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4</w:t>
            </w:r>
          </w:p>
        </w:tc>
        <w:tc>
          <w:tcPr>
            <w:tcW w:w="1428" w:type="dxa"/>
            <w:vMerge w:val="restart"/>
            <w:tcBorders>
              <w:bottom w:val="nil"/>
            </w:tcBorders>
            <w:vAlign w:val="top"/>
          </w:tcPr>
          <w:p>
            <w:pPr>
              <w:spacing w:line="350" w:lineRule="auto"/>
              <w:rPr>
                <w:rFonts w:ascii="Arial"/>
                <w:sz w:val="21"/>
              </w:rPr>
            </w:pPr>
          </w:p>
          <w:p>
            <w:pPr>
              <w:spacing w:before="73" w:line="209" w:lineRule="auto"/>
              <w:ind w:left="35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其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他事项</w:t>
            </w:r>
          </w:p>
        </w:tc>
        <w:tc>
          <w:tcPr>
            <w:tcW w:w="2960" w:type="dxa"/>
            <w:vAlign w:val="top"/>
          </w:tcPr>
          <w:p>
            <w:pPr>
              <w:spacing w:before="108" w:line="209" w:lineRule="auto"/>
              <w:ind w:left="109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1"/>
                <w:sz w:val="17"/>
                <w:szCs w:val="17"/>
              </w:rPr>
              <w:t>一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般性存款余额</w:t>
            </w:r>
          </w:p>
        </w:tc>
        <w:tc>
          <w:tcPr>
            <w:tcW w:w="5518" w:type="dxa"/>
            <w:vAlign w:val="top"/>
          </w:tcPr>
          <w:p>
            <w:pPr>
              <w:spacing w:before="109" w:line="209" w:lineRule="auto"/>
              <w:ind w:left="112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-8"/>
                <w:sz w:val="17"/>
                <w:szCs w:val="17"/>
              </w:rPr>
              <w:t>202</w:t>
            </w:r>
            <w:r>
              <w:rPr>
                <w:rFonts w:ascii="Microsoft YaHei" w:hAnsi="Microsoft YaHei" w:eastAsia="Microsoft YaHei" w:cs="Microsoft YaHei"/>
                <w:spacing w:val="-6"/>
                <w:sz w:val="17"/>
                <w:szCs w:val="17"/>
              </w:rPr>
              <w:t>2</w:t>
            </w:r>
            <w:r>
              <w:rPr>
                <w:rFonts w:ascii="Microsoft YaHei" w:hAnsi="Microsoft YaHei" w:eastAsia="Microsoft YaHei" w:cs="Microsoft YaHei"/>
                <w:spacing w:val="-4"/>
                <w:sz w:val="17"/>
                <w:szCs w:val="17"/>
              </w:rPr>
              <w:t xml:space="preserve"> 年 7 月末：         亿元</w:t>
            </w:r>
          </w:p>
        </w:tc>
        <w:tc>
          <w:tcPr>
            <w:tcW w:w="3329" w:type="dxa"/>
            <w:vAlign w:val="top"/>
          </w:tcPr>
          <w:p>
            <w:pPr>
              <w:spacing w:before="108" w:line="209" w:lineRule="auto"/>
              <w:ind w:left="114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"/>
                <w:sz w:val="17"/>
                <w:szCs w:val="17"/>
              </w:rPr>
              <w:t>2022 年 7 月末省级分行数据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33" w:hRule="atLeast"/>
        </w:trPr>
        <w:tc>
          <w:tcPr>
            <w:tcW w:w="77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960" w:type="dxa"/>
            <w:vAlign w:val="top"/>
          </w:tcPr>
          <w:p>
            <w:pPr>
              <w:spacing w:before="61" w:line="233" w:lineRule="auto"/>
              <w:ind w:left="109" w:right="150" w:firstLine="4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5"/>
                <w:sz w:val="17"/>
                <w:szCs w:val="17"/>
              </w:rPr>
              <w:t>为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本期国库定期存款可提供的符合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7"/>
                <w:sz w:val="17"/>
                <w:szCs w:val="17"/>
              </w:rPr>
              <w:t>条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件的国债或地方政府债情况</w:t>
            </w:r>
          </w:p>
        </w:tc>
        <w:tc>
          <w:tcPr>
            <w:tcW w:w="5518" w:type="dxa"/>
            <w:vAlign w:val="top"/>
          </w:tcPr>
          <w:p>
            <w:pPr>
              <w:spacing w:before="61" w:line="209" w:lineRule="auto"/>
              <w:ind w:left="115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8"/>
                <w:sz w:val="17"/>
                <w:szCs w:val="17"/>
              </w:rPr>
              <w:t>为本期国库定</w:t>
            </w:r>
            <w:r>
              <w:rPr>
                <w:rFonts w:ascii="Microsoft YaHei" w:hAnsi="Microsoft YaHei" w:eastAsia="Microsoft YaHei" w:cs="Microsoft YaHei"/>
                <w:spacing w:val="4"/>
                <w:sz w:val="17"/>
                <w:szCs w:val="17"/>
              </w:rPr>
              <w:t>期存款可提供的符合条件的国债       亿元，  地方政府</w:t>
            </w:r>
          </w:p>
          <w:p>
            <w:pPr>
              <w:spacing w:before="58" w:line="209" w:lineRule="auto"/>
              <w:ind w:left="110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0"/>
                <w:sz w:val="17"/>
                <w:szCs w:val="17"/>
              </w:rPr>
              <w:t>债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 xml:space="preserve">   亿元</w:t>
            </w:r>
          </w:p>
        </w:tc>
        <w:tc>
          <w:tcPr>
            <w:tcW w:w="3329" w:type="dxa"/>
            <w:vAlign w:val="top"/>
          </w:tcPr>
          <w:p>
            <w:pPr>
              <w:spacing w:before="216" w:line="209" w:lineRule="auto"/>
              <w:ind w:left="110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pacing w:val="12"/>
                <w:sz w:val="17"/>
                <w:szCs w:val="17"/>
              </w:rPr>
              <w:t>保</w:t>
            </w:r>
            <w:r>
              <w:rPr>
                <w:rFonts w:ascii="Microsoft YaHei" w:hAnsi="Microsoft YaHei" w:eastAsia="Microsoft YaHei" w:cs="Microsoft YaHei"/>
                <w:spacing w:val="9"/>
                <w:sz w:val="17"/>
                <w:szCs w:val="17"/>
              </w:rPr>
              <w:t>留两位小数</w:t>
            </w:r>
          </w:p>
        </w:tc>
      </w:tr>
    </w:tbl>
    <w:p>
      <w:pPr>
        <w:spacing w:line="240" w:lineRule="auto"/>
        <w:rPr>
          <w:rFonts w:ascii="仿宋" w:hAnsi="仿宋" w:eastAsia="仿宋" w:cs="仿宋"/>
          <w:sz w:val="23"/>
          <w:szCs w:val="23"/>
        </w:rPr>
      </w:pPr>
    </w:p>
    <w:sectPr>
      <w:footerReference r:id="rId5" w:type="default"/>
      <w:pgSz w:w="16839" w:h="11906" w:orient="landscape"/>
      <w:pgMar w:top="1015" w:right="2058" w:bottom="403" w:left="76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Microsoft YaHei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erif">
    <w:panose1 w:val="02020502060505020204"/>
    <w:charset w:val="00"/>
    <w:family w:val="auto"/>
    <w:pitch w:val="default"/>
    <w:sig w:usb0="E00002FF" w:usb1="4000201F" w:usb2="08000029" w:usb3="001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docVars>
    <w:docVar w:name="commondata" w:val="eyJoZGlkIjoiNDkwNjZhZGJlM2JhZGJkNjdlMWNmYzEyYjRkOWI5ZDQifQ=="/>
  </w:docVars>
  <w:rsids>
    <w:rsidRoot w:val="00000000"/>
    <w:rsid w:val="1FE90849"/>
    <w:rsid w:val="38FFA218"/>
    <w:rsid w:val="497FD900"/>
    <w:rsid w:val="5D755F51"/>
    <w:rsid w:val="723A0FF8"/>
    <w:rsid w:val="75DFC6D1"/>
    <w:rsid w:val="7DFF7788"/>
    <w:rsid w:val="9F6E689F"/>
    <w:rsid w:val="A573091A"/>
    <w:rsid w:val="B5F775D8"/>
    <w:rsid w:val="BFD97A42"/>
    <w:rsid w:val="DAFE5465"/>
    <w:rsid w:val="EBFF94AA"/>
    <w:rsid w:val="EED67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8597</Words>
  <Characters>9082</Characters>
  <TotalTime>2</TotalTime>
  <ScaleCrop>false</ScaleCrop>
  <LinksUpToDate>false</LinksUpToDate>
  <CharactersWithSpaces>10281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2022-08-23T18:02:00Z</dcterms:created>
  <dc:creator>Administrator</dc:creator>
  <cp:lastModifiedBy>ben</cp:lastModifiedBy>
  <dcterms:modified xsi:type="dcterms:W3CDTF">2022-09-20T14:53:53Z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2022-09-15T09:57:45Z</vt:filetime>
  </property>
  <property fmtid="{D5CDD505-2E9C-101B-9397-08002B2CF9AE}" pid="4" name="KSOProductBuildVer">
    <vt:lpwstr>1033-11.1.0.10702</vt:lpwstr>
  </property>
  <property fmtid="{D5CDD505-2E9C-101B-9397-08002B2CF9AE}" pid="5" name="ICV">
    <vt:lpwstr>E293AF2B50A248EA996E7619DEDC6D00</vt:lpwstr>
  </property>
</Properties>
</file>