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 w:ascii="Helvetica" w:hAnsi="Helvetica" w:eastAsia="宋体" w:cs="Helvetica"/>
          <w:kern w:val="0"/>
          <w:sz w:val="36"/>
          <w:szCs w:val="36"/>
          <w:lang w:eastAsia="zh-CN"/>
        </w:rPr>
      </w:pPr>
      <w:r>
        <w:rPr>
          <w:rFonts w:hint="eastAsia" w:ascii="Helvetica" w:hAnsi="Helvetica" w:eastAsia="宋体" w:cs="Helvetica"/>
          <w:kern w:val="0"/>
          <w:sz w:val="36"/>
          <w:szCs w:val="36"/>
        </w:rPr>
        <w:t>基于</w:t>
      </w:r>
      <w:r>
        <w:rPr>
          <w:rFonts w:hint="eastAsia" w:ascii="Helvetica" w:hAnsi="Helvetica" w:eastAsia="宋体" w:cs="Helvetica"/>
          <w:kern w:val="0"/>
          <w:sz w:val="36"/>
          <w:szCs w:val="36"/>
          <w:lang w:val="en-US" w:eastAsia="zh-CN"/>
        </w:rPr>
        <w:t>图像智能分析</w:t>
      </w:r>
      <w:r>
        <w:rPr>
          <w:rFonts w:hint="eastAsia" w:ascii="Helvetica" w:hAnsi="Helvetica" w:eastAsia="宋体" w:cs="Helvetica"/>
          <w:kern w:val="0"/>
          <w:sz w:val="36"/>
          <w:szCs w:val="36"/>
        </w:rPr>
        <w:t>的</w:t>
      </w:r>
      <w:r>
        <w:rPr>
          <w:rFonts w:hint="eastAsia" w:ascii="Helvetica" w:hAnsi="Helvetica" w:eastAsia="宋体" w:cs="Helvetica"/>
          <w:kern w:val="0"/>
          <w:sz w:val="36"/>
          <w:szCs w:val="36"/>
          <w:lang w:val="en-US" w:eastAsia="zh-CN"/>
        </w:rPr>
        <w:t>设备状态</w:t>
      </w:r>
      <w:r>
        <w:rPr>
          <w:rFonts w:hint="eastAsia" w:ascii="Helvetica" w:hAnsi="Helvetica" w:eastAsia="宋体" w:cs="Helvetica"/>
          <w:kern w:val="0"/>
          <w:sz w:val="36"/>
          <w:szCs w:val="36"/>
        </w:rPr>
        <w:t>识别</w:t>
      </w:r>
      <w:r>
        <w:rPr>
          <w:rFonts w:hint="eastAsia" w:ascii="Helvetica" w:hAnsi="Helvetica" w:eastAsia="宋体" w:cs="Helvetica"/>
          <w:kern w:val="0"/>
          <w:sz w:val="36"/>
          <w:szCs w:val="36"/>
          <w:lang w:val="en-US" w:eastAsia="zh-CN"/>
        </w:rPr>
        <w:t>系统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spacing w:val="-3"/>
          <w:kern w:val="0"/>
          <w:szCs w:val="21"/>
        </w:rPr>
        <w:t>概述</w:t>
      </w:r>
    </w:p>
    <w:p>
      <w:pPr>
        <w:widowControl/>
        <w:shd w:val="clear" w:color="auto" w:fill="FFFFFF"/>
        <w:spacing w:line="315" w:lineRule="atLeast"/>
        <w:ind w:firstLine="437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电力人工智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能是</w:t>
      </w:r>
      <w:r>
        <w:rPr>
          <w:rFonts w:hint="eastAsia" w:ascii="宋体" w:hAnsi="宋体" w:eastAsia="宋体" w:cs="宋体"/>
          <w:kern w:val="0"/>
          <w:sz w:val="24"/>
          <w:szCs w:val="24"/>
        </w:rPr>
        <w:t>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将</w:t>
      </w:r>
      <w:r>
        <w:rPr>
          <w:rFonts w:hint="eastAsia" w:ascii="宋体" w:hAnsi="宋体" w:eastAsia="宋体" w:cs="宋体"/>
          <w:kern w:val="0"/>
          <w:sz w:val="24"/>
          <w:szCs w:val="24"/>
        </w:rPr>
        <w:t>人工智能的相关理论和方法与电力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行业应用相融合的新兴领域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在电网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建设和运维业务</w:t>
      </w:r>
      <w:r>
        <w:rPr>
          <w:rFonts w:hint="eastAsia" w:ascii="宋体" w:hAnsi="宋体" w:eastAsia="宋体" w:cs="宋体"/>
          <w:kern w:val="0"/>
          <w:sz w:val="24"/>
          <w:szCs w:val="24"/>
        </w:rPr>
        <w:t>中引入人工智能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技术手段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达到传统方法无法实现的应用成效。</w:t>
      </w:r>
    </w:p>
    <w:p>
      <w:pPr>
        <w:widowControl/>
        <w:shd w:val="clear" w:color="auto" w:fill="FFFFFF"/>
        <w:spacing w:line="315" w:lineRule="atLeast"/>
        <w:ind w:firstLine="437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基于图像智能分析的设备状态识别系统，采用非接触的安装和采集方式，在不影响现有系统正常运行的情况下部署，适合电力业务的应用场景。国家电网和南方电网都在积极投入进行相关研究与实验。通过摄像机实时采集设备图像，进行图像分析和目标状态智能识别，可用于一键顺控刀闸状态双确认、电力自动巡检等高级应用。</w:t>
      </w:r>
    </w:p>
    <w:p>
      <w:pPr>
        <w:widowControl/>
        <w:shd w:val="clear" w:color="auto" w:fill="FFFFFF"/>
        <w:spacing w:line="315" w:lineRule="atLeast"/>
        <w:ind w:firstLine="437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四方公司在此方向进行了探索，结合机器学习、图像识别等技术，在智能变电站高级应用中，实现了基于图像智能分析的刀闸、压板等设备状态识别功能。2018年在湖北随州供电公司试点，在国网范围内首次实现一键顺控双确认视频分析应用，得到用户的好评，产品获得湖北省电力公司“青创赛”一等奖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目前系统的识别准确率处于行业领先水平，并率先实现了智能分析、61850上送、图像联动等完整一键顺控双确认配套应用。</w:t>
      </w:r>
    </w:p>
    <w:p>
      <w:pPr>
        <w:widowControl/>
        <w:shd w:val="clear" w:color="auto" w:fill="FFFFFF"/>
        <w:spacing w:line="315" w:lineRule="atLeast"/>
        <w:ind w:right="495"/>
        <w:jc w:val="left"/>
        <w:rPr>
          <w:rFonts w:hint="default" w:ascii="宋体" w:hAnsi="宋体" w:eastAsia="宋体" w:cs="宋体"/>
          <w:b/>
          <w:bCs/>
          <w:spacing w:val="-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kern w:val="0"/>
          <w:sz w:val="24"/>
          <w:szCs w:val="24"/>
          <w:lang w:val="en-US" w:eastAsia="zh-CN"/>
        </w:rPr>
        <w:t>关键技术</w:t>
      </w:r>
    </w:p>
    <w:p>
      <w:pPr>
        <w:widowControl/>
        <w:shd w:val="clear" w:color="auto" w:fill="FFFFFF"/>
        <w:spacing w:line="315" w:lineRule="atLeast"/>
        <w:ind w:right="-94" w:rightChars="0" w:firstLine="437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基于图像智能分析的设备状态识别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采用了</w:t>
      </w:r>
      <w:r>
        <w:rPr>
          <w:rFonts w:hint="eastAsia" w:ascii="宋体" w:hAnsi="宋体" w:eastAsia="宋体" w:cs="宋体"/>
          <w:kern w:val="0"/>
          <w:sz w:val="24"/>
          <w:szCs w:val="24"/>
        </w:rPr>
        <w:t>深度学习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和图像识别技术相结合的方式，结合视频系统采集的图像，进行防抖动处理，输入到智能分析系统中进行识别，识别结果与SCADA监控系统的状态进行闭环，完成一键顺控刀闸双确认的交互流程。</w:t>
      </w:r>
    </w:p>
    <w:p>
      <w:pPr>
        <w:widowControl/>
        <w:shd w:val="clear" w:color="auto" w:fill="FFFFFF"/>
        <w:spacing w:line="315" w:lineRule="atLeast"/>
        <w:ind w:right="-94" w:rightChars="0" w:firstLine="437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深度学习技术采用基于Caffe和Darknet等高性能深度学习库，对同类样本进行标记和训练，训练后形成辨识模型，在应用现场通过调优的辨识模型对样本进行目标状态计算。经测试，采用深度学习技术对同类刀闸的目标状态识别正确率达97%以上。</w:t>
      </w:r>
    </w:p>
    <w:p>
      <w:pPr>
        <w:widowControl/>
        <w:shd w:val="clear" w:color="auto" w:fill="FFFFFF"/>
        <w:spacing w:line="315" w:lineRule="atLeast"/>
        <w:ind w:right="-94" w:rightChars="0" w:firstLine="437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图像识别技术采用openCV和matlab等成熟的图像处理框架，对缺乏训练样本的场景，提取样本图像的特征分量，并与采集图像进行特征比对，实现目标状态的识别。</w:t>
      </w:r>
    </w:p>
    <w:p>
      <w:pPr>
        <w:widowControl/>
        <w:shd w:val="clear" w:color="auto" w:fill="FFFFFF"/>
        <w:spacing w:line="315" w:lineRule="atLeast"/>
        <w:ind w:right="-94" w:rightChars="0" w:firstLine="437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视频系统摄像头抖动和位移是实际应用中识别效果影响较大的因素，为此在</w:t>
      </w:r>
      <w:r>
        <w:rPr>
          <w:rFonts w:hint="eastAsia" w:ascii="宋体" w:hAnsi="宋体" w:eastAsia="宋体" w:cs="宋体"/>
          <w:kern w:val="0"/>
          <w:sz w:val="24"/>
          <w:szCs w:val="24"/>
        </w:rPr>
        <w:t>两种模式处理之前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采用了图像</w:t>
      </w:r>
      <w:r>
        <w:rPr>
          <w:rFonts w:hint="eastAsia" w:ascii="宋体" w:hAnsi="宋体" w:eastAsia="宋体" w:cs="宋体"/>
          <w:kern w:val="0"/>
          <w:sz w:val="24"/>
          <w:szCs w:val="24"/>
        </w:rPr>
        <w:t>防抖动算法，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可处理</w:t>
      </w:r>
      <w:r>
        <w:rPr>
          <w:rFonts w:hint="eastAsia" w:ascii="宋体" w:hAnsi="宋体" w:eastAsia="宋体" w:cs="宋体"/>
          <w:kern w:val="0"/>
          <w:sz w:val="24"/>
          <w:szCs w:val="24"/>
        </w:rPr>
        <w:t>横向15%位移，纵向10%位移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实际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kern w:val="0"/>
          <w:sz w:val="24"/>
          <w:szCs w:val="24"/>
        </w:rPr>
        <w:t>效果良好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line="315" w:lineRule="atLeast"/>
        <w:ind w:right="495"/>
        <w:jc w:val="left"/>
        <w:rPr>
          <w:rFonts w:hint="eastAsia" w:ascii="宋体" w:hAnsi="宋体" w:eastAsia="宋体" w:cs="宋体"/>
          <w:b/>
          <w:bCs/>
          <w:spacing w:val="-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kern w:val="0"/>
          <w:sz w:val="24"/>
          <w:szCs w:val="24"/>
        </w:rPr>
        <w:t>系统</w:t>
      </w:r>
      <w:r>
        <w:rPr>
          <w:rFonts w:hint="eastAsia" w:ascii="宋体" w:hAnsi="宋体" w:eastAsia="宋体" w:cs="宋体"/>
          <w:b/>
          <w:bCs/>
          <w:spacing w:val="-3"/>
          <w:kern w:val="0"/>
          <w:sz w:val="24"/>
          <w:szCs w:val="24"/>
          <w:lang w:val="en-US" w:eastAsia="zh-CN"/>
        </w:rPr>
        <w:t>结构</w:t>
      </w:r>
    </w:p>
    <w:p>
      <w:pPr>
        <w:widowControl/>
        <w:shd w:val="clear" w:color="auto" w:fill="FFFFFF"/>
        <w:spacing w:line="315" w:lineRule="atLeast"/>
        <w:ind w:right="-94" w:rightChars="0" w:firstLine="437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图像智能分析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主机与视频系统部署在变电站安全III区，采集站端布置的高清摄像头视频，经过智能分析主机处理和状态检测，将识别状态通过隔离装置发送到安全I区，供一键顺控主机做刀闸状态双确认的辅助判据。</w:t>
      </w:r>
    </w:p>
    <w:p>
      <w:pPr>
        <w:widowControl/>
        <w:shd w:val="clear" w:color="auto" w:fill="FFFFFF"/>
        <w:spacing w:line="315" w:lineRule="atLeast"/>
        <w:ind w:right="495"/>
        <w:jc w:val="left"/>
        <w:rPr>
          <w:rFonts w:hint="eastAsia" w:ascii="宋体" w:hAnsi="宋体" w:eastAsia="宋体" w:cs="宋体"/>
          <w:b/>
          <w:bCs/>
          <w:spacing w:val="-3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315" w:lineRule="atLeast"/>
        <w:ind w:left="0" w:leftChars="0" w:right="495" w:firstLine="0" w:firstLine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49295" cy="175514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ind w:right="-94" w:rightChars="0" w:firstLine="437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图像智能分析软件系统集成了视频设备管理、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图像预览、识别区域标注、SCADA标识管理、视频采集、图像智能分析算法库、SCADA系统通信等模块。</w:t>
      </w:r>
    </w:p>
    <w:p>
      <w:pPr>
        <w:widowControl/>
        <w:shd w:val="clear" w:color="auto" w:fill="FFFFFF"/>
        <w:spacing w:line="315" w:lineRule="atLeast"/>
        <w:ind w:left="0" w:leftChars="0" w:right="-94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其中，图像智能分析模块实现了对目标的检测区域、状态、可信度的处理和展示。</w:t>
      </w:r>
      <w:r>
        <w:drawing>
          <wp:inline distT="0" distB="0" distL="114300" distR="114300">
            <wp:extent cx="5271770" cy="35159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68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ind w:right="49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系统优势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hint="default" w:ascii="宋体" w:hAnsi="宋体" w:eastAsia="宋体" w:cs="宋体"/>
          <w:spacing w:val="-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状态</w:t>
      </w:r>
      <w:r>
        <w:rPr>
          <w:rFonts w:hint="default" w:ascii="宋体" w:hAnsi="宋体" w:eastAsia="宋体" w:cs="宋体"/>
          <w:spacing w:val="-3"/>
          <w:kern w:val="0"/>
          <w:sz w:val="24"/>
          <w:szCs w:val="24"/>
          <w:lang w:val="en-US" w:eastAsia="zh-CN"/>
        </w:rPr>
        <w:t>识别准确率高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pacing w:val="-3"/>
          <w:kern w:val="0"/>
          <w:sz w:val="24"/>
          <w:szCs w:val="24"/>
          <w:lang w:val="en-US" w:eastAsia="zh-CN"/>
        </w:rPr>
        <w:t>在安装无干扰的情况下，准确率可达到9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7</w:t>
      </w:r>
      <w:r>
        <w:rPr>
          <w:rFonts w:hint="default" w:ascii="宋体" w:hAnsi="宋体" w:eastAsia="宋体" w:cs="宋体"/>
          <w:spacing w:val="-3"/>
          <w:kern w:val="0"/>
          <w:sz w:val="24"/>
          <w:szCs w:val="24"/>
          <w:lang w:val="en-US" w:eastAsia="zh-CN"/>
        </w:rPr>
        <w:t>%以上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；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hint="eastAsia" w:ascii="宋体" w:hAnsi="宋体" w:eastAsia="宋体" w:cs="宋体"/>
          <w:spacing w:val="-3"/>
          <w:kern w:val="0"/>
          <w:sz w:val="24"/>
          <w:szCs w:val="24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部署效率高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针对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同类设备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可不用重新训练模型，实时部署实时运行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eastAsia="zh-CN"/>
        </w:rPr>
        <w:t>；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hint="eastAsia" w:ascii="宋体" w:hAnsi="宋体" w:eastAsia="宋体" w:cs="宋体"/>
          <w:spacing w:val="-3"/>
          <w:kern w:val="0"/>
          <w:sz w:val="24"/>
          <w:szCs w:val="24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适应性高，内置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防抖动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算法，允许一定程度的摄像头抖动和位移；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辨识模型可以适应全天候的天气条件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受环境和光照影响小；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图像特征比对方法对样本数量要求低，便于工程实施；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/>
        </w:rPr>
        <w:t>快速安装部署，非接触式安装，不影响变电站设备正常运行；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应用领域广，可用于其他代替人工的设备巡检场景，例如变压器套管、呼吸器状态、GIS指示牌、仪表状态检测等；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深度学习方法可应用于变压器声纹等非图像场景，应用领域广；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color w:val="555555"/>
          <w:kern w:val="0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0"/>
          <w:szCs w:val="20"/>
          <w:lang w:val="en-US" w:eastAsia="zh-CN" w:bidi="ar"/>
        </w:rPr>
        <w:t> </w:t>
      </w:r>
    </w:p>
    <w:p>
      <w:pPr>
        <w:widowControl/>
        <w:shd w:val="clear" w:color="auto" w:fill="FFFFFF"/>
        <w:spacing w:before="60" w:after="75" w:line="360" w:lineRule="atLeast"/>
        <w:jc w:val="center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hint="eastAsia" w:ascii="华文中宋" w:hAnsi="华文中宋" w:eastAsia="华文中宋" w:cs="Helvetica"/>
          <w:color w:val="004EA2"/>
          <w:kern w:val="0"/>
          <w:sz w:val="29"/>
          <w:szCs w:val="29"/>
        </w:rPr>
        <w:t>★</w:t>
      </w:r>
      <w:r>
        <w:rPr>
          <w:rFonts w:hint="eastAsia" w:ascii="宋体" w:hAnsi="宋体" w:eastAsia="宋体" w:cs="Helvetica"/>
          <w:b/>
          <w:bCs/>
          <w:color w:val="004EA2"/>
          <w:kern w:val="0"/>
          <w:sz w:val="29"/>
          <w:szCs w:val="29"/>
        </w:rPr>
        <w:t>创新铸就四方，梦想点亮未来</w:t>
      </w:r>
      <w:r>
        <w:rPr>
          <w:rFonts w:hint="eastAsia" w:ascii="华文中宋" w:hAnsi="华文中宋" w:eastAsia="华文中宋" w:cs="Helvetica"/>
          <w:color w:val="004EA2"/>
          <w:kern w:val="0"/>
          <w:sz w:val="29"/>
          <w:szCs w:val="29"/>
        </w:rPr>
        <w:t>★</w:t>
      </w:r>
    </w:p>
    <w:p>
      <w:pPr>
        <w:widowControl/>
        <w:shd w:val="clear" w:color="auto" w:fill="FFFFFF"/>
        <w:spacing w:line="360" w:lineRule="atLeast"/>
        <w:jc w:val="center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hint="eastAsia" w:ascii="华文中宋" w:hAnsi="华文中宋" w:eastAsia="华文中宋" w:cs="Helvetica"/>
          <w:color w:val="004EA2"/>
          <w:kern w:val="0"/>
          <w:sz w:val="29"/>
          <w:szCs w:val="29"/>
        </w:rPr>
        <w:t>★</w:t>
      </w:r>
      <w:r>
        <w:rPr>
          <w:rFonts w:ascii="Helvetica" w:hAnsi="Helvetica" w:eastAsia="宋体" w:cs="Helvetica"/>
          <w:b/>
          <w:bCs/>
          <w:color w:val="004EA2"/>
          <w:kern w:val="0"/>
          <w:sz w:val="29"/>
          <w:szCs w:val="29"/>
        </w:rPr>
        <w:t>Innovation Lights Our Future</w:t>
      </w:r>
      <w:r>
        <w:rPr>
          <w:rFonts w:hint="eastAsia" w:ascii="华文中宋" w:hAnsi="华文中宋" w:eastAsia="华文中宋" w:cs="Helvetica"/>
          <w:color w:val="004EA2"/>
          <w:kern w:val="0"/>
          <w:sz w:val="29"/>
          <w:szCs w:val="29"/>
        </w:rPr>
        <w:t>★</w:t>
      </w:r>
    </w:p>
    <w:p/>
    <w:sectPr>
      <w:pgSz w:w="11906" w:h="16838"/>
      <w:pgMar w:top="144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6A6A"/>
    <w:multiLevelType w:val="singleLevel"/>
    <w:tmpl w:val="1BB36A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5B"/>
    <w:rsid w:val="00015907"/>
    <w:rsid w:val="00266D9E"/>
    <w:rsid w:val="0064115B"/>
    <w:rsid w:val="008F56E5"/>
    <w:rsid w:val="1EA228A6"/>
    <w:rsid w:val="25FC750F"/>
    <w:rsid w:val="2A682615"/>
    <w:rsid w:val="329E55BC"/>
    <w:rsid w:val="4C863CA5"/>
    <w:rsid w:val="50E15F42"/>
    <w:rsid w:val="66AB7A0C"/>
    <w:rsid w:val="6FA10C2A"/>
    <w:rsid w:val="73DE781F"/>
    <w:rsid w:val="74C17BB8"/>
    <w:rsid w:val="7B370009"/>
    <w:rsid w:val="7C840BBD"/>
    <w:rsid w:val="7F0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notice_header_subtitle_date"/>
    <w:basedOn w:val="7"/>
    <w:qFormat/>
    <w:uiPriority w:val="0"/>
  </w:style>
  <w:style w:type="character" w:customStyle="1" w:styleId="11">
    <w:name w:val="notice_header_subtitle_author"/>
    <w:basedOn w:val="7"/>
    <w:qFormat/>
    <w:uiPriority w:val="0"/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120</Words>
  <Characters>684</Characters>
  <Lines>5</Lines>
  <Paragraphs>1</Paragraphs>
  <TotalTime>94</TotalTime>
  <ScaleCrop>false</ScaleCrop>
  <LinksUpToDate>false</LinksUpToDate>
  <CharactersWithSpaces>803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2018-01-26T02:53:00Z</dcterms:created>
  <dc:creator>Administrator</dc:creator>
  <cp:lastModifiedBy>wiener</cp:lastModifiedBy>
  <dcterms:modified xsi:type="dcterms:W3CDTF">2019-03-20T08:15:08Z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