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207" w:rsidRPr="00542AC4" w:rsidRDefault="006059D8" w:rsidP="00B71207">
      <w:pPr>
        <w:jc w:val="center"/>
        <w:rPr>
          <w:b/>
          <w:sz w:val="44"/>
          <w:szCs w:val="44"/>
        </w:rPr>
      </w:pPr>
      <w:bookmarkStart w:id="0" w:name="_GoBack"/>
      <w:r w:rsidRPr="00542AC4">
        <w:rPr>
          <w:rFonts w:asciiTheme="majorEastAsia" w:eastAsiaTheme="majorEastAsia" w:hAnsiTheme="majorEastAsia" w:hint="eastAsia"/>
          <w:b/>
          <w:sz w:val="52"/>
          <w:szCs w:val="52"/>
        </w:rPr>
        <w:t>大型调相机变压器</w:t>
      </w:r>
      <w:proofErr w:type="gramStart"/>
      <w:r w:rsidRPr="00542AC4">
        <w:rPr>
          <w:rFonts w:asciiTheme="majorEastAsia" w:eastAsiaTheme="majorEastAsia" w:hAnsiTheme="majorEastAsia" w:hint="eastAsia"/>
          <w:b/>
          <w:sz w:val="52"/>
          <w:szCs w:val="52"/>
        </w:rPr>
        <w:t>组保护</w:t>
      </w:r>
      <w:proofErr w:type="gramEnd"/>
      <w:r w:rsidRPr="00542AC4">
        <w:rPr>
          <w:rFonts w:asciiTheme="majorEastAsia" w:eastAsiaTheme="majorEastAsia" w:hAnsiTheme="majorEastAsia" w:hint="eastAsia"/>
          <w:b/>
          <w:sz w:val="52"/>
          <w:szCs w:val="52"/>
        </w:rPr>
        <w:t>设备</w:t>
      </w:r>
    </w:p>
    <w:bookmarkEnd w:id="0"/>
    <w:p w:rsidR="00B91DF8" w:rsidRPr="00542AC4" w:rsidRDefault="00B91DF8" w:rsidP="00C86B17">
      <w:pPr>
        <w:pStyle w:val="2"/>
        <w:rPr>
          <w:sz w:val="28"/>
          <w:szCs w:val="28"/>
        </w:rPr>
      </w:pPr>
      <w:r w:rsidRPr="00542AC4">
        <w:rPr>
          <w:rFonts w:hint="eastAsia"/>
          <w:sz w:val="28"/>
          <w:szCs w:val="28"/>
        </w:rPr>
        <w:t>概述：</w:t>
      </w:r>
    </w:p>
    <w:p w:rsidR="0016316E" w:rsidRPr="005754F4" w:rsidRDefault="0016316E" w:rsidP="0016316E">
      <w:pPr>
        <w:spacing w:line="360" w:lineRule="exact"/>
        <w:ind w:firstLine="420"/>
        <w:rPr>
          <w:sz w:val="24"/>
          <w:szCs w:val="24"/>
        </w:rPr>
      </w:pPr>
      <w:r w:rsidRPr="005754F4">
        <w:rPr>
          <w:rFonts w:hint="eastAsia"/>
          <w:sz w:val="24"/>
          <w:szCs w:val="24"/>
        </w:rPr>
        <w:t>随着</w:t>
      </w:r>
      <w:r w:rsidR="0010396A" w:rsidRPr="005754F4">
        <w:rPr>
          <w:rFonts w:hint="eastAsia"/>
          <w:sz w:val="24"/>
          <w:szCs w:val="24"/>
        </w:rPr>
        <w:t>特高压、交</w:t>
      </w:r>
      <w:proofErr w:type="gramStart"/>
      <w:r w:rsidR="0010396A" w:rsidRPr="005754F4">
        <w:rPr>
          <w:rFonts w:hint="eastAsia"/>
          <w:sz w:val="24"/>
          <w:szCs w:val="24"/>
        </w:rPr>
        <w:t>直流大</w:t>
      </w:r>
      <w:proofErr w:type="gramEnd"/>
      <w:r w:rsidR="007E03FA" w:rsidRPr="005754F4">
        <w:rPr>
          <w:rFonts w:hint="eastAsia"/>
          <w:sz w:val="24"/>
          <w:szCs w:val="24"/>
        </w:rPr>
        <w:t>电网的建设，</w:t>
      </w:r>
      <w:r w:rsidR="005754F4" w:rsidRPr="005754F4">
        <w:rPr>
          <w:rFonts w:ascii="Segoe UI" w:eastAsia="宋体" w:hAnsi="Segoe UI" w:cs="Segoe UI"/>
          <w:color w:val="000000"/>
          <w:kern w:val="0"/>
          <w:sz w:val="24"/>
          <w:szCs w:val="24"/>
        </w:rPr>
        <w:t>电网可靠运行要求充足的系统无功储备</w:t>
      </w:r>
      <w:r w:rsidR="005754F4" w:rsidRPr="005754F4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，</w:t>
      </w:r>
      <w:r w:rsidR="005754F4" w:rsidRPr="005754F4">
        <w:rPr>
          <w:rFonts w:ascii="Segoe UI" w:eastAsia="宋体" w:hAnsi="Segoe UI" w:cs="Segoe UI"/>
          <w:color w:val="000000"/>
          <w:kern w:val="0"/>
          <w:sz w:val="24"/>
          <w:szCs w:val="24"/>
        </w:rPr>
        <w:t>合理的无功电源配置</w:t>
      </w:r>
      <w:r w:rsidR="005754F4" w:rsidRPr="005754F4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，</w:t>
      </w:r>
      <w:r w:rsidRPr="005754F4">
        <w:rPr>
          <w:rFonts w:hint="eastAsia"/>
          <w:sz w:val="24"/>
          <w:szCs w:val="24"/>
        </w:rPr>
        <w:t>在特高压</w:t>
      </w:r>
      <w:r w:rsidRPr="005754F4">
        <w:rPr>
          <w:sz w:val="24"/>
          <w:szCs w:val="24"/>
        </w:rPr>
        <w:t>直流工程</w:t>
      </w:r>
      <w:proofErr w:type="gramStart"/>
      <w:r w:rsidRPr="005754F4">
        <w:rPr>
          <w:sz w:val="24"/>
          <w:szCs w:val="24"/>
        </w:rPr>
        <w:t>送端和受端</w:t>
      </w:r>
      <w:proofErr w:type="gramEnd"/>
      <w:r w:rsidRPr="005754F4">
        <w:rPr>
          <w:sz w:val="24"/>
          <w:szCs w:val="24"/>
        </w:rPr>
        <w:t>电网</w:t>
      </w:r>
      <w:r w:rsidRPr="005754F4">
        <w:rPr>
          <w:rFonts w:hint="eastAsia"/>
          <w:sz w:val="24"/>
          <w:szCs w:val="24"/>
        </w:rPr>
        <w:t>部署大型调相机对改善特高压交直流混</w:t>
      </w:r>
      <w:proofErr w:type="gramStart"/>
      <w:r w:rsidRPr="005754F4">
        <w:rPr>
          <w:rFonts w:hint="eastAsia"/>
          <w:sz w:val="24"/>
          <w:szCs w:val="24"/>
        </w:rPr>
        <w:t>联电网</w:t>
      </w:r>
      <w:proofErr w:type="gramEnd"/>
      <w:r w:rsidRPr="005754F4">
        <w:rPr>
          <w:rFonts w:hint="eastAsia"/>
          <w:sz w:val="24"/>
          <w:szCs w:val="24"/>
        </w:rPr>
        <w:t>的电压稳定和动态无功支撑能力具有重要意义。</w:t>
      </w:r>
    </w:p>
    <w:p w:rsidR="0016316E" w:rsidRPr="005754F4" w:rsidRDefault="006059D8" w:rsidP="0016316E">
      <w:pPr>
        <w:spacing w:line="360" w:lineRule="exact"/>
        <w:ind w:firstLine="420"/>
        <w:rPr>
          <w:sz w:val="24"/>
          <w:szCs w:val="24"/>
        </w:rPr>
      </w:pPr>
      <w:r w:rsidRPr="005754F4">
        <w:rPr>
          <w:rFonts w:asciiTheme="minorEastAsia" w:hAnsiTheme="minorEastAsia" w:hint="eastAsia"/>
          <w:sz w:val="24"/>
          <w:szCs w:val="24"/>
        </w:rPr>
        <w:t>北京四方公司</w:t>
      </w:r>
      <w:r w:rsidR="007E03FA" w:rsidRPr="005754F4">
        <w:rPr>
          <w:rFonts w:hint="eastAsia"/>
          <w:sz w:val="24"/>
          <w:szCs w:val="24"/>
        </w:rPr>
        <w:t>研发出</w:t>
      </w:r>
      <w:r w:rsidRPr="005754F4">
        <w:rPr>
          <w:rFonts w:asciiTheme="minorEastAsia" w:hAnsiTheme="minorEastAsia" w:hint="eastAsia"/>
          <w:sz w:val="24"/>
          <w:szCs w:val="24"/>
        </w:rPr>
        <w:t>的CSC-300Q调相机变压器组保护，包含了调相机、主变</w:t>
      </w:r>
      <w:r w:rsidR="00542AC4" w:rsidRPr="005754F4">
        <w:rPr>
          <w:rFonts w:asciiTheme="minorEastAsia" w:hAnsiTheme="minorEastAsia" w:hint="eastAsia"/>
          <w:sz w:val="24"/>
          <w:szCs w:val="24"/>
        </w:rPr>
        <w:t>压器</w:t>
      </w:r>
      <w:r w:rsidRPr="005754F4">
        <w:rPr>
          <w:rFonts w:asciiTheme="minorEastAsia" w:hAnsiTheme="minorEastAsia" w:hint="eastAsia"/>
          <w:sz w:val="24"/>
          <w:szCs w:val="24"/>
        </w:rPr>
        <w:t>和励磁变保护</w:t>
      </w:r>
      <w:r w:rsidR="00542AC4" w:rsidRPr="005754F4">
        <w:rPr>
          <w:rFonts w:asciiTheme="minorEastAsia" w:hAnsiTheme="minorEastAsia" w:hint="eastAsia"/>
          <w:sz w:val="24"/>
          <w:szCs w:val="24"/>
        </w:rPr>
        <w:t>；CSC-306GZQ转子接地保护，配套CSC-300Q完成调相机组全部电气量保护</w:t>
      </w:r>
      <w:r w:rsidR="00BC3C07">
        <w:rPr>
          <w:rFonts w:asciiTheme="minorEastAsia" w:hAnsiTheme="minorEastAsia" w:hint="eastAsia"/>
          <w:sz w:val="24"/>
          <w:szCs w:val="24"/>
        </w:rPr>
        <w:t>，</w:t>
      </w:r>
      <w:r w:rsidRPr="005754F4">
        <w:rPr>
          <w:rFonts w:asciiTheme="minorEastAsia" w:hAnsiTheme="minorEastAsia" w:hint="eastAsia"/>
          <w:sz w:val="24"/>
          <w:szCs w:val="24"/>
        </w:rPr>
        <w:t>率先</w:t>
      </w:r>
      <w:r w:rsidRPr="005754F4">
        <w:rPr>
          <w:rFonts w:hint="eastAsia"/>
          <w:sz w:val="24"/>
          <w:szCs w:val="24"/>
        </w:rPr>
        <w:t>在</w:t>
      </w:r>
      <w:r w:rsidRPr="005754F4">
        <w:rPr>
          <w:rFonts w:asciiTheme="minorEastAsia" w:hAnsiTheme="minorEastAsia" w:hint="eastAsia"/>
          <w:sz w:val="24"/>
          <w:szCs w:val="24"/>
        </w:rPr>
        <w:t>扎鲁特、湘潭和</w:t>
      </w:r>
      <w:proofErr w:type="gramStart"/>
      <w:r w:rsidRPr="005754F4">
        <w:rPr>
          <w:rFonts w:asciiTheme="minorEastAsia" w:hAnsiTheme="minorEastAsia" w:hint="eastAsia"/>
          <w:sz w:val="24"/>
          <w:szCs w:val="24"/>
        </w:rPr>
        <w:t>南京等换流</w:t>
      </w:r>
      <w:proofErr w:type="gramEnd"/>
      <w:r w:rsidRPr="005754F4">
        <w:rPr>
          <w:rFonts w:asciiTheme="minorEastAsia" w:hAnsiTheme="minorEastAsia" w:hint="eastAsia"/>
          <w:sz w:val="24"/>
          <w:szCs w:val="24"/>
        </w:rPr>
        <w:t>站配套的</w:t>
      </w:r>
      <w:r w:rsidRPr="005754F4">
        <w:rPr>
          <w:rFonts w:hint="eastAsia"/>
          <w:sz w:val="24"/>
          <w:szCs w:val="24"/>
        </w:rPr>
        <w:t>300MVar</w:t>
      </w:r>
      <w:r w:rsidRPr="005754F4">
        <w:rPr>
          <w:rFonts w:hint="eastAsia"/>
          <w:sz w:val="24"/>
          <w:szCs w:val="24"/>
        </w:rPr>
        <w:t>调相</w:t>
      </w:r>
      <w:proofErr w:type="gramStart"/>
      <w:r w:rsidRPr="005754F4">
        <w:rPr>
          <w:rFonts w:hint="eastAsia"/>
          <w:sz w:val="24"/>
          <w:szCs w:val="24"/>
        </w:rPr>
        <w:t>机工程</w:t>
      </w:r>
      <w:proofErr w:type="gramEnd"/>
      <w:r w:rsidRPr="005754F4">
        <w:rPr>
          <w:rFonts w:hint="eastAsia"/>
          <w:sz w:val="24"/>
          <w:szCs w:val="24"/>
        </w:rPr>
        <w:t>投入运行</w:t>
      </w:r>
      <w:r w:rsidRPr="005754F4">
        <w:rPr>
          <w:rFonts w:asciiTheme="minorEastAsia" w:hAnsiTheme="minorEastAsia" w:hint="eastAsia"/>
          <w:sz w:val="24"/>
          <w:szCs w:val="24"/>
        </w:rPr>
        <w:t>。</w:t>
      </w:r>
    </w:p>
    <w:p w:rsidR="00B91DF8" w:rsidRDefault="00AC4030" w:rsidP="00C86B17">
      <w:pPr>
        <w:pStyle w:val="2"/>
        <w:rPr>
          <w:rFonts w:asciiTheme="minorHAnsi" w:hAnsiTheme="minorHAnsi"/>
          <w:sz w:val="28"/>
          <w:szCs w:val="28"/>
        </w:rPr>
      </w:pPr>
      <w:r>
        <w:rPr>
          <w:rFonts w:hint="eastAsia"/>
          <w:sz w:val="28"/>
          <w:szCs w:val="28"/>
        </w:rPr>
        <w:t>保护</w:t>
      </w:r>
      <w:r w:rsidR="006E0B01" w:rsidRPr="00542AC4">
        <w:rPr>
          <w:rFonts w:hint="eastAsia"/>
          <w:sz w:val="28"/>
          <w:szCs w:val="28"/>
        </w:rPr>
        <w:t>系统配置</w:t>
      </w:r>
      <w:r w:rsidR="00B91DF8" w:rsidRPr="00542AC4">
        <w:rPr>
          <w:rFonts w:asciiTheme="minorHAnsi" w:hAnsiTheme="minorHAnsi" w:hint="eastAsia"/>
          <w:sz w:val="28"/>
          <w:szCs w:val="28"/>
        </w:rPr>
        <w:t>：</w:t>
      </w:r>
    </w:p>
    <w:p w:rsidR="00715680" w:rsidRPr="00821335" w:rsidRDefault="00715680" w:rsidP="00715680">
      <w:pPr>
        <w:spacing w:line="360" w:lineRule="exact"/>
        <w:ind w:firstLine="420"/>
        <w:rPr>
          <w:sz w:val="24"/>
          <w:szCs w:val="24"/>
        </w:rPr>
      </w:pPr>
      <w:r w:rsidRPr="00821335">
        <w:rPr>
          <w:rFonts w:hint="eastAsia"/>
          <w:sz w:val="24"/>
          <w:szCs w:val="24"/>
        </w:rPr>
        <w:t>调相机变压器</w:t>
      </w:r>
      <w:proofErr w:type="gramStart"/>
      <w:r w:rsidRPr="00821335">
        <w:rPr>
          <w:rFonts w:hint="eastAsia"/>
          <w:sz w:val="24"/>
          <w:szCs w:val="24"/>
        </w:rPr>
        <w:t>组保护</w:t>
      </w:r>
      <w:proofErr w:type="gramEnd"/>
      <w:r w:rsidRPr="00821335">
        <w:rPr>
          <w:rFonts w:hint="eastAsia"/>
          <w:sz w:val="24"/>
          <w:szCs w:val="24"/>
        </w:rPr>
        <w:t>设备的主要保护功能，如下表所示：</w:t>
      </w:r>
    </w:p>
    <w:p w:rsidR="00715680" w:rsidRDefault="00715680" w:rsidP="00715680">
      <w:pPr>
        <w:spacing w:line="360" w:lineRule="auto"/>
        <w:ind w:firstLine="482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表1 </w:t>
      </w:r>
      <w:r w:rsidR="00C17018">
        <w:rPr>
          <w:rFonts w:ascii="宋体" w:eastAsia="宋体" w:hAnsi="宋体" w:hint="eastAsia"/>
          <w:b/>
          <w:sz w:val="24"/>
          <w:szCs w:val="24"/>
        </w:rPr>
        <w:t>调相机变压器</w:t>
      </w:r>
      <w:proofErr w:type="gramStart"/>
      <w:r w:rsidR="00C17018">
        <w:rPr>
          <w:rFonts w:ascii="宋体" w:eastAsia="宋体" w:hAnsi="宋体" w:hint="eastAsia"/>
          <w:b/>
          <w:sz w:val="24"/>
          <w:szCs w:val="24"/>
        </w:rPr>
        <w:t>组保护</w:t>
      </w:r>
      <w:proofErr w:type="gramEnd"/>
      <w:r w:rsidR="00C17018">
        <w:rPr>
          <w:rFonts w:ascii="宋体" w:eastAsia="宋体" w:hAnsi="宋体" w:hint="eastAsia"/>
          <w:b/>
          <w:sz w:val="24"/>
          <w:szCs w:val="24"/>
        </w:rPr>
        <w:t>主要保护功能配置表</w:t>
      </w:r>
    </w:p>
    <w:tbl>
      <w:tblPr>
        <w:tblW w:w="8010" w:type="dxa"/>
        <w:jc w:val="center"/>
        <w:tblInd w:w="5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2580"/>
        <w:gridCol w:w="1380"/>
        <w:gridCol w:w="2820"/>
      </w:tblGrid>
      <w:tr w:rsidR="00715680" w:rsidTr="00BE03C7">
        <w:trPr>
          <w:trHeight w:val="373"/>
          <w:jc w:val="center"/>
        </w:trPr>
        <w:tc>
          <w:tcPr>
            <w:tcW w:w="123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BF09E8" w:rsidRDefault="00715680" w:rsidP="00BF09E8">
            <w:pPr>
              <w:jc w:val="center"/>
              <w:rPr>
                <w:rFonts w:asciiTheme="minorEastAsia" w:hAnsiTheme="minorEastAsia" w:cs="Calibri"/>
                <w:b/>
                <w:sz w:val="24"/>
                <w:szCs w:val="24"/>
              </w:rPr>
            </w:pPr>
            <w:r w:rsidRPr="00BF09E8">
              <w:rPr>
                <w:rFonts w:asciiTheme="minorEastAsia" w:hAnsiTheme="minorEastAsia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2580" w:type="dxa"/>
            <w:tcBorders>
              <w:top w:val="single" w:sz="8" w:space="0" w:color="3333CC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BF09E8" w:rsidRDefault="00715680" w:rsidP="00BF09E8">
            <w:pPr>
              <w:jc w:val="center"/>
              <w:rPr>
                <w:rFonts w:asciiTheme="minorEastAsia" w:hAnsiTheme="minorEastAsia" w:cs="Calibri"/>
                <w:b/>
                <w:sz w:val="24"/>
                <w:szCs w:val="24"/>
              </w:rPr>
            </w:pPr>
            <w:r w:rsidRPr="00BF09E8">
              <w:rPr>
                <w:rFonts w:asciiTheme="minorEastAsia" w:hAnsiTheme="minorEastAsia" w:hint="eastAsia"/>
                <w:b/>
                <w:sz w:val="24"/>
                <w:szCs w:val="24"/>
              </w:rPr>
              <w:t>功能描述</w:t>
            </w:r>
          </w:p>
        </w:tc>
        <w:tc>
          <w:tcPr>
            <w:tcW w:w="1380" w:type="dxa"/>
            <w:tcBorders>
              <w:top w:val="single" w:sz="8" w:space="0" w:color="3333CC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BF09E8" w:rsidRDefault="00715680" w:rsidP="00BF09E8">
            <w:pPr>
              <w:jc w:val="center"/>
              <w:rPr>
                <w:rFonts w:asciiTheme="minorEastAsia" w:hAnsiTheme="minorEastAsia" w:cs="Calibri"/>
                <w:b/>
                <w:sz w:val="24"/>
                <w:szCs w:val="24"/>
              </w:rPr>
            </w:pPr>
            <w:r w:rsidRPr="00BF09E8">
              <w:rPr>
                <w:rFonts w:asciiTheme="minorEastAsia" w:hAnsiTheme="minorEastAsia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2820" w:type="dxa"/>
            <w:tcBorders>
              <w:top w:val="single" w:sz="8" w:space="0" w:color="3333CC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BF09E8" w:rsidRDefault="00715680" w:rsidP="00BF09E8">
            <w:pPr>
              <w:jc w:val="center"/>
              <w:rPr>
                <w:rFonts w:asciiTheme="minorEastAsia" w:hAnsiTheme="minorEastAsia" w:cs="Calibri"/>
                <w:b/>
                <w:sz w:val="24"/>
                <w:szCs w:val="24"/>
              </w:rPr>
            </w:pPr>
            <w:r w:rsidRPr="00BF09E8">
              <w:rPr>
                <w:rFonts w:asciiTheme="minorEastAsia" w:hAnsiTheme="minorEastAsia" w:hint="eastAsia"/>
                <w:b/>
                <w:sz w:val="24"/>
                <w:szCs w:val="24"/>
              </w:rPr>
              <w:t>功能描述</w:t>
            </w:r>
          </w:p>
        </w:tc>
      </w:tr>
      <w:tr w:rsidR="00715680" w:rsidTr="00BE03C7">
        <w:trPr>
          <w:trHeight w:val="373"/>
          <w:jc w:val="center"/>
        </w:trPr>
        <w:tc>
          <w:tcPr>
            <w:tcW w:w="1230" w:type="dxa"/>
            <w:vMerge w:val="restart"/>
            <w:tcBorders>
              <w:top w:val="nil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 w:rsidP="00715680">
            <w:pPr>
              <w:jc w:val="center"/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调相</w:t>
            </w:r>
            <w:proofErr w:type="gramStart"/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机保护</w:t>
            </w:r>
            <w:proofErr w:type="gramEnd"/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调相机差动保护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 w:rsidP="00715680">
            <w:pPr>
              <w:jc w:val="center"/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调相</w:t>
            </w:r>
            <w:proofErr w:type="gramStart"/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机保护</w:t>
            </w:r>
            <w:proofErr w:type="gramEnd"/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调相</w:t>
            </w:r>
            <w:proofErr w:type="gramStart"/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机启机零</w:t>
            </w:r>
            <w:proofErr w:type="gramEnd"/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压保护</w:t>
            </w:r>
          </w:p>
        </w:tc>
      </w:tr>
      <w:tr w:rsidR="00715680" w:rsidTr="00BE03C7">
        <w:trPr>
          <w:trHeight w:val="373"/>
          <w:jc w:val="center"/>
        </w:trPr>
        <w:tc>
          <w:tcPr>
            <w:tcW w:w="1230" w:type="dxa"/>
            <w:vMerge/>
            <w:tcBorders>
              <w:top w:val="nil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>
            <w:pPr>
              <w:jc w:val="left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调相机匝</w:t>
            </w:r>
            <w:proofErr w:type="gramStart"/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间保护</w:t>
            </w:r>
            <w:proofErr w:type="gramEnd"/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 w:rsidP="00715680">
            <w:pPr>
              <w:jc w:val="center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proofErr w:type="gramStart"/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调相机误上</w:t>
            </w:r>
            <w:proofErr w:type="gramEnd"/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电保护</w:t>
            </w:r>
          </w:p>
        </w:tc>
      </w:tr>
      <w:tr w:rsidR="00715680" w:rsidTr="00BE03C7">
        <w:trPr>
          <w:trHeight w:val="373"/>
          <w:jc w:val="center"/>
        </w:trPr>
        <w:tc>
          <w:tcPr>
            <w:tcW w:w="1230" w:type="dxa"/>
            <w:vMerge/>
            <w:tcBorders>
              <w:top w:val="nil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>
            <w:pPr>
              <w:jc w:val="left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调相机复压过流保护</w:t>
            </w: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 w:rsidP="00715680">
            <w:pPr>
              <w:jc w:val="center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调相机低压解</w:t>
            </w:r>
            <w:proofErr w:type="gramStart"/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列保护</w:t>
            </w:r>
            <w:proofErr w:type="gramEnd"/>
          </w:p>
        </w:tc>
      </w:tr>
      <w:tr w:rsidR="00715680" w:rsidTr="00BE03C7">
        <w:trPr>
          <w:trHeight w:val="373"/>
          <w:jc w:val="center"/>
        </w:trPr>
        <w:tc>
          <w:tcPr>
            <w:tcW w:w="1230" w:type="dxa"/>
            <w:vMerge/>
            <w:tcBorders>
              <w:top w:val="nil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>
            <w:pPr>
              <w:jc w:val="left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零序电压定子接地保护</w:t>
            </w: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 w:rsidP="00715680">
            <w:pPr>
              <w:jc w:val="center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开关</w:t>
            </w:r>
            <w:proofErr w:type="gramStart"/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量保护</w:t>
            </w:r>
            <w:proofErr w:type="gramEnd"/>
          </w:p>
        </w:tc>
      </w:tr>
      <w:tr w:rsidR="00715680" w:rsidTr="00BE03C7">
        <w:trPr>
          <w:trHeight w:val="373"/>
          <w:jc w:val="center"/>
        </w:trPr>
        <w:tc>
          <w:tcPr>
            <w:tcW w:w="1230" w:type="dxa"/>
            <w:vMerge/>
            <w:tcBorders>
              <w:top w:val="nil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>
            <w:pPr>
              <w:jc w:val="left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注入式定子接地保护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 w:rsidP="00715680">
            <w:pPr>
              <w:jc w:val="center"/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励磁</w:t>
            </w:r>
            <w:proofErr w:type="gramStart"/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变保护</w:t>
            </w:r>
            <w:proofErr w:type="gramEnd"/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励磁变差动保护</w:t>
            </w:r>
          </w:p>
        </w:tc>
      </w:tr>
      <w:tr w:rsidR="00715680" w:rsidTr="00BE03C7">
        <w:trPr>
          <w:trHeight w:val="373"/>
          <w:jc w:val="center"/>
        </w:trPr>
        <w:tc>
          <w:tcPr>
            <w:tcW w:w="1230" w:type="dxa"/>
            <w:vMerge/>
            <w:tcBorders>
              <w:top w:val="nil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>
            <w:pPr>
              <w:jc w:val="left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proofErr w:type="gramStart"/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调相机过励磁</w:t>
            </w:r>
            <w:proofErr w:type="gramEnd"/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保护</w:t>
            </w: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 w:rsidP="00715680">
            <w:pPr>
              <w:jc w:val="center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励磁变过流保护</w:t>
            </w:r>
          </w:p>
        </w:tc>
      </w:tr>
      <w:tr w:rsidR="00715680" w:rsidTr="00BE03C7">
        <w:trPr>
          <w:trHeight w:val="373"/>
          <w:jc w:val="center"/>
        </w:trPr>
        <w:tc>
          <w:tcPr>
            <w:tcW w:w="1230" w:type="dxa"/>
            <w:vMerge/>
            <w:tcBorders>
              <w:top w:val="nil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>
            <w:pPr>
              <w:jc w:val="left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调相机过电压保护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 w:rsidP="00715680">
            <w:pPr>
              <w:jc w:val="center"/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主</w:t>
            </w:r>
            <w:proofErr w:type="gramStart"/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变保护</w:t>
            </w:r>
            <w:proofErr w:type="gramEnd"/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主变压器差动保护</w:t>
            </w:r>
          </w:p>
        </w:tc>
      </w:tr>
      <w:tr w:rsidR="00715680" w:rsidTr="00BE03C7">
        <w:trPr>
          <w:trHeight w:val="373"/>
          <w:jc w:val="center"/>
        </w:trPr>
        <w:tc>
          <w:tcPr>
            <w:tcW w:w="1230" w:type="dxa"/>
            <w:vMerge/>
            <w:tcBorders>
              <w:top w:val="nil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>
            <w:pPr>
              <w:jc w:val="left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调相机</w:t>
            </w:r>
            <w:proofErr w:type="gramStart"/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失磁保护</w:t>
            </w:r>
            <w:proofErr w:type="gramEnd"/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>
            <w:pPr>
              <w:jc w:val="left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主变高压侧复压过流保护</w:t>
            </w:r>
          </w:p>
        </w:tc>
      </w:tr>
      <w:tr w:rsidR="00715680" w:rsidTr="00BE03C7">
        <w:trPr>
          <w:trHeight w:val="373"/>
          <w:jc w:val="center"/>
        </w:trPr>
        <w:tc>
          <w:tcPr>
            <w:tcW w:w="1230" w:type="dxa"/>
            <w:vMerge/>
            <w:tcBorders>
              <w:top w:val="nil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>
            <w:pPr>
              <w:jc w:val="left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调相机定子过负荷保护</w:t>
            </w: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>
            <w:pPr>
              <w:jc w:val="left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主变中性点零序过流保护</w:t>
            </w:r>
          </w:p>
        </w:tc>
      </w:tr>
      <w:tr w:rsidR="00715680" w:rsidTr="00BE03C7">
        <w:trPr>
          <w:trHeight w:val="373"/>
          <w:jc w:val="center"/>
        </w:trPr>
        <w:tc>
          <w:tcPr>
            <w:tcW w:w="1230" w:type="dxa"/>
            <w:vMerge/>
            <w:tcBorders>
              <w:top w:val="nil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>
            <w:pPr>
              <w:jc w:val="left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调相机负序过负荷保护</w:t>
            </w: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>
            <w:pPr>
              <w:jc w:val="left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主变过励磁保护</w:t>
            </w:r>
          </w:p>
        </w:tc>
      </w:tr>
      <w:tr w:rsidR="00715680" w:rsidTr="00BE03C7">
        <w:trPr>
          <w:trHeight w:val="373"/>
          <w:jc w:val="center"/>
        </w:trPr>
        <w:tc>
          <w:tcPr>
            <w:tcW w:w="1230" w:type="dxa"/>
            <w:vMerge/>
            <w:tcBorders>
              <w:top w:val="nil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>
            <w:pPr>
              <w:jc w:val="left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励磁绕组过负荷保护</w:t>
            </w: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>
            <w:pPr>
              <w:jc w:val="left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主变过负荷保护</w:t>
            </w:r>
          </w:p>
        </w:tc>
      </w:tr>
      <w:tr w:rsidR="00715680" w:rsidTr="00BE03C7">
        <w:trPr>
          <w:trHeight w:val="373"/>
          <w:jc w:val="center"/>
        </w:trPr>
        <w:tc>
          <w:tcPr>
            <w:tcW w:w="1230" w:type="dxa"/>
            <w:vMerge/>
            <w:tcBorders>
              <w:top w:val="nil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>
            <w:pPr>
              <w:jc w:val="left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调相</w:t>
            </w:r>
            <w:proofErr w:type="gramStart"/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机启机</w:t>
            </w:r>
            <w:proofErr w:type="gramEnd"/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差动保护</w:t>
            </w: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>
            <w:pPr>
              <w:jc w:val="left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断路器断口闪络保护</w:t>
            </w:r>
          </w:p>
        </w:tc>
      </w:tr>
      <w:tr w:rsidR="00715680" w:rsidTr="00BE03C7">
        <w:trPr>
          <w:trHeight w:val="373"/>
          <w:jc w:val="center"/>
        </w:trPr>
        <w:tc>
          <w:tcPr>
            <w:tcW w:w="1230" w:type="dxa"/>
            <w:vMerge/>
            <w:tcBorders>
              <w:top w:val="nil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>
            <w:pPr>
              <w:jc w:val="left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调相</w:t>
            </w:r>
            <w:proofErr w:type="gramStart"/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机启机过</w:t>
            </w:r>
            <w:proofErr w:type="gramEnd"/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流保护</w:t>
            </w: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vAlign w:val="center"/>
            <w:hideMark/>
          </w:tcPr>
          <w:p w:rsidR="00715680" w:rsidRPr="00715680" w:rsidRDefault="00715680">
            <w:pPr>
              <w:jc w:val="left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3333CC"/>
              <w:right w:val="single" w:sz="8" w:space="0" w:color="3333CC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5680" w:rsidRPr="00715680" w:rsidRDefault="00715680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715680">
              <w:rPr>
                <w:rFonts w:asciiTheme="minorEastAsia" w:hAnsiTheme="minorEastAsia" w:hint="eastAsia"/>
                <w:sz w:val="24"/>
                <w:szCs w:val="24"/>
              </w:rPr>
              <w:t>非全相保护</w:t>
            </w:r>
          </w:p>
        </w:tc>
      </w:tr>
    </w:tbl>
    <w:p w:rsidR="00821335" w:rsidRDefault="00821335" w:rsidP="00715680">
      <w:pPr>
        <w:spacing w:line="360" w:lineRule="auto"/>
        <w:ind w:firstLine="482"/>
        <w:rPr>
          <w:rFonts w:asciiTheme="minorEastAsia" w:hAnsiTheme="minorEastAsia"/>
          <w:sz w:val="24"/>
          <w:szCs w:val="24"/>
        </w:rPr>
      </w:pPr>
    </w:p>
    <w:p w:rsidR="00821335" w:rsidRDefault="00821335" w:rsidP="00715680">
      <w:pPr>
        <w:spacing w:line="360" w:lineRule="auto"/>
        <w:ind w:firstLine="482"/>
        <w:rPr>
          <w:rFonts w:asciiTheme="minorEastAsia" w:hAnsiTheme="minorEastAsia"/>
          <w:sz w:val="24"/>
          <w:szCs w:val="24"/>
        </w:rPr>
      </w:pPr>
    </w:p>
    <w:p w:rsidR="00821335" w:rsidRDefault="00821335" w:rsidP="00715680">
      <w:pPr>
        <w:spacing w:line="360" w:lineRule="auto"/>
        <w:ind w:firstLine="482"/>
        <w:rPr>
          <w:rFonts w:asciiTheme="minorEastAsia" w:hAnsiTheme="minorEastAsia"/>
          <w:sz w:val="24"/>
          <w:szCs w:val="24"/>
        </w:rPr>
      </w:pPr>
    </w:p>
    <w:p w:rsidR="00821335" w:rsidRDefault="00821335" w:rsidP="00715680">
      <w:pPr>
        <w:spacing w:line="360" w:lineRule="auto"/>
        <w:ind w:firstLine="482"/>
        <w:rPr>
          <w:rFonts w:asciiTheme="minorEastAsia" w:hAnsiTheme="minorEastAsia"/>
          <w:sz w:val="24"/>
          <w:szCs w:val="24"/>
        </w:rPr>
      </w:pPr>
    </w:p>
    <w:p w:rsidR="00715680" w:rsidRPr="00821335" w:rsidRDefault="00715680" w:rsidP="0082133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15680">
        <w:rPr>
          <w:rFonts w:asciiTheme="minorEastAsia" w:hAnsiTheme="minorEastAsia" w:hint="eastAsia"/>
          <w:sz w:val="24"/>
          <w:szCs w:val="24"/>
        </w:rPr>
        <w:lastRenderedPageBreak/>
        <w:t>调相机变压器</w:t>
      </w:r>
      <w:proofErr w:type="gramStart"/>
      <w:r w:rsidRPr="00715680">
        <w:rPr>
          <w:rFonts w:asciiTheme="minorEastAsia" w:hAnsiTheme="minorEastAsia" w:hint="eastAsia"/>
          <w:sz w:val="24"/>
          <w:szCs w:val="24"/>
        </w:rPr>
        <w:t>组保护</w:t>
      </w:r>
      <w:proofErr w:type="gramEnd"/>
      <w:r w:rsidRPr="00715680">
        <w:rPr>
          <w:rFonts w:asciiTheme="minorEastAsia" w:hAnsiTheme="minorEastAsia" w:hint="eastAsia"/>
          <w:sz w:val="24"/>
          <w:szCs w:val="24"/>
        </w:rPr>
        <w:t>设备</w:t>
      </w:r>
      <w:r w:rsidR="006362ED">
        <w:rPr>
          <w:rFonts w:asciiTheme="minorEastAsia" w:hAnsiTheme="minorEastAsia" w:hint="eastAsia"/>
          <w:sz w:val="24"/>
          <w:szCs w:val="24"/>
        </w:rPr>
        <w:t>典型系统配置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821335">
        <w:rPr>
          <w:rFonts w:asciiTheme="minorEastAsia" w:hAnsiTheme="minorEastAsia" w:hint="eastAsia"/>
          <w:sz w:val="24"/>
          <w:szCs w:val="24"/>
        </w:rPr>
        <w:t>以</w:t>
      </w:r>
      <w:r w:rsidR="00821335" w:rsidRPr="00821335">
        <w:rPr>
          <w:rFonts w:asciiTheme="minorEastAsia" w:hAnsiTheme="minorEastAsia" w:hint="eastAsia"/>
          <w:sz w:val="24"/>
          <w:szCs w:val="24"/>
        </w:rPr>
        <w:t>断路器3/2接线系统为例，</w:t>
      </w:r>
      <w:r w:rsidRPr="00715680">
        <w:rPr>
          <w:rFonts w:asciiTheme="minorEastAsia" w:hAnsiTheme="minorEastAsia" w:hint="eastAsia"/>
          <w:sz w:val="24"/>
          <w:szCs w:val="24"/>
        </w:rPr>
        <w:t>如</w:t>
      </w:r>
      <w:r w:rsidR="006362ED">
        <w:rPr>
          <w:rFonts w:asciiTheme="minorEastAsia" w:hAnsiTheme="minorEastAsia" w:hint="eastAsia"/>
          <w:sz w:val="24"/>
          <w:szCs w:val="24"/>
        </w:rPr>
        <w:t>下图</w:t>
      </w:r>
      <w:r w:rsidRPr="00715680">
        <w:rPr>
          <w:rFonts w:asciiTheme="minorEastAsia" w:hAnsiTheme="minorEastAsia" w:hint="eastAsia"/>
          <w:sz w:val="24"/>
          <w:szCs w:val="24"/>
        </w:rPr>
        <w:t>所示：</w:t>
      </w:r>
    </w:p>
    <w:p w:rsidR="00C86B17" w:rsidRPr="00542AC4" w:rsidRDefault="00607CD2" w:rsidP="00AF191A">
      <w:pPr>
        <w:jc w:val="center"/>
        <w:rPr>
          <w:b/>
        </w:rPr>
      </w:pPr>
      <w:r w:rsidRPr="00542AC4">
        <w:rPr>
          <w:b/>
        </w:rPr>
        <w:object w:dxaOrig="15303" w:dyaOrig="14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5pt;height:298.2pt;mso-wrap-style:square;mso-position-horizontal-relative:page;mso-position-vertical-relative:page" o:ole="">
            <v:imagedata r:id="rId8" o:title=""/>
          </v:shape>
          <o:OLEObject Type="Embed" ProgID="Visio.Drawing.11" ShapeID="_x0000_i1025" DrawAspect="Content" ObjectID="_1616842861" r:id="rId9"/>
        </w:object>
      </w:r>
    </w:p>
    <w:p w:rsidR="00F14551" w:rsidRPr="00542AC4" w:rsidRDefault="00AF191A" w:rsidP="00AF191A">
      <w:pPr>
        <w:jc w:val="center"/>
        <w:rPr>
          <w:b/>
        </w:rPr>
      </w:pPr>
      <w:r w:rsidRPr="00542AC4">
        <w:rPr>
          <w:rFonts w:asciiTheme="majorEastAsia" w:eastAsiaTheme="majorEastAsia" w:hAnsiTheme="majorEastAsia" w:hint="eastAsia"/>
          <w:b/>
          <w:sz w:val="24"/>
          <w:szCs w:val="24"/>
        </w:rPr>
        <w:t>图1  调相机变压器组保护</w:t>
      </w:r>
      <w:r w:rsidR="00BF09E8">
        <w:rPr>
          <w:rFonts w:asciiTheme="majorEastAsia" w:eastAsiaTheme="majorEastAsia" w:hAnsiTheme="majorEastAsia" w:hint="eastAsia"/>
          <w:b/>
          <w:sz w:val="24"/>
          <w:szCs w:val="24"/>
        </w:rPr>
        <w:t>系统</w:t>
      </w:r>
      <w:r w:rsidR="0008523A" w:rsidRPr="00542AC4">
        <w:rPr>
          <w:rFonts w:asciiTheme="majorEastAsia" w:eastAsiaTheme="majorEastAsia" w:hAnsiTheme="majorEastAsia" w:hint="eastAsia"/>
          <w:b/>
          <w:sz w:val="24"/>
          <w:szCs w:val="24"/>
        </w:rPr>
        <w:t>配置图</w:t>
      </w:r>
    </w:p>
    <w:p w:rsidR="00B91DF8" w:rsidRPr="00542AC4" w:rsidRDefault="0010396A" w:rsidP="00C86B17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技术特征</w:t>
      </w:r>
      <w:r w:rsidR="00B91DF8" w:rsidRPr="00542AC4">
        <w:rPr>
          <w:rFonts w:hint="eastAsia"/>
          <w:sz w:val="28"/>
          <w:szCs w:val="28"/>
        </w:rPr>
        <w:t>：</w:t>
      </w:r>
    </w:p>
    <w:p w:rsidR="00D15818" w:rsidRPr="004C2D7F" w:rsidRDefault="00D15818" w:rsidP="00D15818">
      <w:pPr>
        <w:spacing w:line="360" w:lineRule="exact"/>
        <w:ind w:firstLine="420"/>
        <w:rPr>
          <w:sz w:val="24"/>
          <w:szCs w:val="24"/>
        </w:rPr>
      </w:pPr>
      <w:r w:rsidRPr="004C2D7F">
        <w:rPr>
          <w:rFonts w:hint="eastAsia"/>
          <w:sz w:val="24"/>
          <w:szCs w:val="24"/>
        </w:rPr>
        <w:t>1</w:t>
      </w:r>
      <w:r w:rsidRPr="004C2D7F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首次提出</w:t>
      </w:r>
      <w:r w:rsidRPr="004C2D7F">
        <w:rPr>
          <w:rFonts w:hint="eastAsia"/>
          <w:sz w:val="24"/>
          <w:szCs w:val="24"/>
        </w:rPr>
        <w:t>多分量的复合电流涌流闭锁方法</w:t>
      </w:r>
      <w:r>
        <w:rPr>
          <w:rFonts w:hint="eastAsia"/>
          <w:sz w:val="24"/>
          <w:szCs w:val="24"/>
        </w:rPr>
        <w:t>，</w:t>
      </w:r>
      <w:r w:rsidRPr="004C2D7F">
        <w:rPr>
          <w:rFonts w:hint="eastAsia"/>
          <w:sz w:val="24"/>
          <w:szCs w:val="24"/>
        </w:rPr>
        <w:t>解决交</w:t>
      </w:r>
      <w:proofErr w:type="gramStart"/>
      <w:r w:rsidRPr="004C2D7F">
        <w:rPr>
          <w:rFonts w:hint="eastAsia"/>
          <w:sz w:val="24"/>
          <w:szCs w:val="24"/>
        </w:rPr>
        <w:t>直流大</w:t>
      </w:r>
      <w:proofErr w:type="gramEnd"/>
      <w:r w:rsidRPr="004C2D7F">
        <w:rPr>
          <w:rFonts w:hint="eastAsia"/>
          <w:sz w:val="24"/>
          <w:szCs w:val="24"/>
        </w:rPr>
        <w:t>电网下励磁涌流新特征造成的差动保护误动难题。</w:t>
      </w:r>
    </w:p>
    <w:p w:rsidR="00D15818" w:rsidRPr="004C2D7F" w:rsidRDefault="00D15818" w:rsidP="00D15818">
      <w:pPr>
        <w:spacing w:line="360" w:lineRule="exact"/>
        <w:ind w:firstLine="420"/>
        <w:rPr>
          <w:sz w:val="24"/>
          <w:szCs w:val="24"/>
        </w:rPr>
      </w:pPr>
      <w:r w:rsidRPr="004C2D7F">
        <w:rPr>
          <w:rFonts w:hint="eastAsia"/>
          <w:sz w:val="24"/>
          <w:szCs w:val="24"/>
        </w:rPr>
        <w:t>2</w:t>
      </w:r>
      <w:r w:rsidRPr="004C2D7F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首次提出</w:t>
      </w:r>
      <w:r w:rsidRPr="004C2D7F">
        <w:rPr>
          <w:rFonts w:hint="eastAsia"/>
          <w:sz w:val="24"/>
          <w:szCs w:val="24"/>
        </w:rPr>
        <w:t>自适应系统电压变化的免整定</w:t>
      </w:r>
      <w:proofErr w:type="gramStart"/>
      <w:r w:rsidRPr="004C2D7F">
        <w:rPr>
          <w:rFonts w:hint="eastAsia"/>
          <w:sz w:val="24"/>
          <w:szCs w:val="24"/>
        </w:rPr>
        <w:t>失磁保护</w:t>
      </w:r>
      <w:proofErr w:type="gramEnd"/>
      <w:r w:rsidRPr="004C2D7F">
        <w:rPr>
          <w:rFonts w:hint="eastAsia"/>
          <w:sz w:val="24"/>
          <w:szCs w:val="24"/>
        </w:rPr>
        <w:t>技术</w:t>
      </w:r>
      <w:r>
        <w:rPr>
          <w:rFonts w:hint="eastAsia"/>
          <w:sz w:val="24"/>
          <w:szCs w:val="24"/>
        </w:rPr>
        <w:t>，</w:t>
      </w:r>
      <w:r w:rsidRPr="004C2D7F">
        <w:rPr>
          <w:rFonts w:hint="eastAsia"/>
          <w:sz w:val="24"/>
          <w:szCs w:val="24"/>
        </w:rPr>
        <w:t>解决正确鉴别调相机深度进</w:t>
      </w:r>
      <w:proofErr w:type="gramStart"/>
      <w:r w:rsidRPr="004C2D7F">
        <w:rPr>
          <w:rFonts w:hint="eastAsia"/>
          <w:sz w:val="24"/>
          <w:szCs w:val="24"/>
        </w:rPr>
        <w:t>相与失磁故障</w:t>
      </w:r>
      <w:proofErr w:type="gramEnd"/>
      <w:r w:rsidRPr="004C2D7F">
        <w:rPr>
          <w:rFonts w:hint="eastAsia"/>
          <w:sz w:val="24"/>
          <w:szCs w:val="24"/>
        </w:rPr>
        <w:t>的难题。</w:t>
      </w:r>
    </w:p>
    <w:p w:rsidR="00D15818" w:rsidRPr="0098417A" w:rsidRDefault="00D15818" w:rsidP="00D15818">
      <w:pPr>
        <w:spacing w:line="360" w:lineRule="exact"/>
        <w:ind w:firstLine="420"/>
        <w:rPr>
          <w:sz w:val="24"/>
          <w:szCs w:val="24"/>
        </w:rPr>
      </w:pPr>
      <w:r w:rsidRPr="004C2D7F">
        <w:rPr>
          <w:rFonts w:hint="eastAsia"/>
          <w:sz w:val="24"/>
          <w:szCs w:val="24"/>
        </w:rPr>
        <w:t>3</w:t>
      </w:r>
      <w:r w:rsidRPr="004C2D7F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提出</w:t>
      </w:r>
      <w:r w:rsidRPr="004C2D7F">
        <w:rPr>
          <w:rFonts w:hint="eastAsia"/>
          <w:sz w:val="24"/>
          <w:szCs w:val="24"/>
        </w:rPr>
        <w:t>大型同步调相机高强</w:t>
      </w:r>
      <w:proofErr w:type="gramStart"/>
      <w:r w:rsidRPr="004C2D7F">
        <w:rPr>
          <w:rFonts w:hint="eastAsia"/>
          <w:sz w:val="24"/>
          <w:szCs w:val="24"/>
        </w:rPr>
        <w:t>励</w:t>
      </w:r>
      <w:proofErr w:type="gramEnd"/>
      <w:r w:rsidRPr="004C2D7F">
        <w:rPr>
          <w:rFonts w:hint="eastAsia"/>
          <w:sz w:val="24"/>
          <w:szCs w:val="24"/>
        </w:rPr>
        <w:t>倍数工况下的励磁电压滤波采集技术和转子接地保护技术</w:t>
      </w:r>
      <w:r>
        <w:rPr>
          <w:rFonts w:hint="eastAsia"/>
          <w:sz w:val="24"/>
          <w:szCs w:val="24"/>
        </w:rPr>
        <w:t>，</w:t>
      </w:r>
      <w:r w:rsidRPr="004C2D7F">
        <w:rPr>
          <w:rFonts w:hint="eastAsia"/>
          <w:sz w:val="24"/>
          <w:szCs w:val="24"/>
        </w:rPr>
        <w:t>解决</w:t>
      </w:r>
      <w:r>
        <w:rPr>
          <w:rFonts w:hint="eastAsia"/>
          <w:sz w:val="24"/>
          <w:szCs w:val="24"/>
        </w:rPr>
        <w:t>励磁电压调节范围大、调节速率</w:t>
      </w:r>
      <w:proofErr w:type="gramStart"/>
      <w:r>
        <w:rPr>
          <w:rFonts w:hint="eastAsia"/>
          <w:sz w:val="24"/>
          <w:szCs w:val="24"/>
        </w:rPr>
        <w:t>快情况</w:t>
      </w:r>
      <w:proofErr w:type="gramEnd"/>
      <w:r>
        <w:rPr>
          <w:rFonts w:hint="eastAsia"/>
          <w:sz w:val="24"/>
          <w:szCs w:val="24"/>
        </w:rPr>
        <w:t>下的安全防护和信号采集难题</w:t>
      </w:r>
      <w:r w:rsidRPr="004C2D7F">
        <w:rPr>
          <w:rFonts w:hint="eastAsia"/>
          <w:sz w:val="24"/>
          <w:szCs w:val="24"/>
        </w:rPr>
        <w:t>。</w:t>
      </w:r>
    </w:p>
    <w:p w:rsidR="00FC571F" w:rsidRPr="00542AC4" w:rsidRDefault="00BF2D0F" w:rsidP="00C86B1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成果及</w:t>
      </w:r>
      <w:r w:rsidR="00FC571F" w:rsidRPr="00542AC4">
        <w:rPr>
          <w:rFonts w:hint="eastAsia"/>
          <w:sz w:val="24"/>
          <w:szCs w:val="24"/>
        </w:rPr>
        <w:t>工程应用：</w:t>
      </w:r>
    </w:p>
    <w:p w:rsidR="0011380B" w:rsidRDefault="00BF2FEC" w:rsidP="008D7089">
      <w:pPr>
        <w:spacing w:line="360" w:lineRule="exact"/>
        <w:ind w:firstLine="420"/>
        <w:rPr>
          <w:sz w:val="24"/>
          <w:szCs w:val="24"/>
        </w:rPr>
      </w:pPr>
      <w:r w:rsidRPr="0011380B">
        <w:rPr>
          <w:rFonts w:hint="eastAsia"/>
          <w:sz w:val="24"/>
          <w:szCs w:val="24"/>
        </w:rPr>
        <w:t>北京四方</w:t>
      </w:r>
      <w:r w:rsidR="00021AF7" w:rsidRPr="0011380B">
        <w:rPr>
          <w:rFonts w:hint="eastAsia"/>
          <w:sz w:val="24"/>
          <w:szCs w:val="24"/>
        </w:rPr>
        <w:t>公司</w:t>
      </w:r>
      <w:r w:rsidR="00BF2D0F" w:rsidRPr="0011380B">
        <w:rPr>
          <w:rFonts w:hint="eastAsia"/>
          <w:sz w:val="24"/>
          <w:szCs w:val="24"/>
        </w:rPr>
        <w:t>牵头制定了国家标准《同步调相机组保护装置通用技术条件》，研制出</w:t>
      </w:r>
      <w:r w:rsidRPr="0011380B">
        <w:rPr>
          <w:rFonts w:hint="eastAsia"/>
          <w:sz w:val="24"/>
          <w:szCs w:val="24"/>
        </w:rPr>
        <w:t>大型调相机变压器</w:t>
      </w:r>
      <w:proofErr w:type="gramStart"/>
      <w:r w:rsidRPr="0011380B">
        <w:rPr>
          <w:rFonts w:hint="eastAsia"/>
          <w:sz w:val="24"/>
          <w:szCs w:val="24"/>
        </w:rPr>
        <w:t>组保护</w:t>
      </w:r>
      <w:proofErr w:type="gramEnd"/>
      <w:r w:rsidR="00021AF7" w:rsidRPr="0011380B">
        <w:rPr>
          <w:rFonts w:hint="eastAsia"/>
          <w:sz w:val="24"/>
          <w:szCs w:val="24"/>
        </w:rPr>
        <w:t>设备</w:t>
      </w:r>
      <w:r w:rsidR="00BF2D0F" w:rsidRPr="0011380B">
        <w:rPr>
          <w:rFonts w:hint="eastAsia"/>
          <w:sz w:val="24"/>
          <w:szCs w:val="24"/>
        </w:rPr>
        <w:t>，并</w:t>
      </w:r>
      <w:r w:rsidR="000573D0" w:rsidRPr="0011380B">
        <w:rPr>
          <w:rFonts w:hint="eastAsia"/>
          <w:sz w:val="24"/>
          <w:szCs w:val="24"/>
        </w:rPr>
        <w:t>率先</w:t>
      </w:r>
      <w:r w:rsidRPr="0011380B">
        <w:rPr>
          <w:rFonts w:hint="eastAsia"/>
          <w:sz w:val="24"/>
          <w:szCs w:val="24"/>
        </w:rPr>
        <w:t>在国内多个重大工程</w:t>
      </w:r>
      <w:r w:rsidR="000573D0" w:rsidRPr="0011380B">
        <w:rPr>
          <w:rFonts w:hint="eastAsia"/>
          <w:sz w:val="24"/>
          <w:szCs w:val="24"/>
        </w:rPr>
        <w:t>（</w:t>
      </w:r>
      <w:r w:rsidR="00BF2D0F" w:rsidRPr="000B4D3F">
        <w:rPr>
          <w:rFonts w:hint="eastAsia"/>
          <w:sz w:val="24"/>
          <w:szCs w:val="24"/>
        </w:rPr>
        <w:t>湘潭换流站、扎</w:t>
      </w:r>
      <w:proofErr w:type="gramStart"/>
      <w:r w:rsidR="00BF2D0F" w:rsidRPr="000B4D3F">
        <w:rPr>
          <w:rFonts w:hint="eastAsia"/>
          <w:sz w:val="24"/>
          <w:szCs w:val="24"/>
        </w:rPr>
        <w:t>鲁特换流</w:t>
      </w:r>
      <w:proofErr w:type="gramEnd"/>
      <w:r w:rsidR="00BF2D0F" w:rsidRPr="000B4D3F">
        <w:rPr>
          <w:rFonts w:hint="eastAsia"/>
          <w:sz w:val="24"/>
          <w:szCs w:val="24"/>
        </w:rPr>
        <w:t>站、泰州换流站等</w:t>
      </w:r>
      <w:r w:rsidR="000573D0" w:rsidRPr="0011380B">
        <w:rPr>
          <w:rFonts w:hint="eastAsia"/>
          <w:sz w:val="24"/>
          <w:szCs w:val="24"/>
        </w:rPr>
        <w:t>）</w:t>
      </w:r>
      <w:r w:rsidRPr="0011380B">
        <w:rPr>
          <w:rFonts w:hint="eastAsia"/>
          <w:sz w:val="24"/>
          <w:szCs w:val="24"/>
        </w:rPr>
        <w:t>中</w:t>
      </w:r>
      <w:r w:rsidR="00021AF7" w:rsidRPr="0011380B">
        <w:rPr>
          <w:rFonts w:hint="eastAsia"/>
          <w:sz w:val="24"/>
          <w:szCs w:val="24"/>
        </w:rPr>
        <w:t>应用</w:t>
      </w:r>
      <w:r w:rsidRPr="0011380B">
        <w:rPr>
          <w:rFonts w:hint="eastAsia"/>
          <w:sz w:val="24"/>
          <w:szCs w:val="24"/>
        </w:rPr>
        <w:t>，目前为止，</w:t>
      </w:r>
      <w:r w:rsidR="00021AF7" w:rsidRPr="0011380B">
        <w:rPr>
          <w:rFonts w:hint="eastAsia"/>
          <w:sz w:val="24"/>
          <w:szCs w:val="24"/>
        </w:rPr>
        <w:t>运行状态稳定，</w:t>
      </w:r>
      <w:r w:rsidRPr="0011380B">
        <w:rPr>
          <w:rFonts w:hint="eastAsia"/>
          <w:sz w:val="24"/>
          <w:szCs w:val="24"/>
        </w:rPr>
        <w:t>正确</w:t>
      </w:r>
      <w:r w:rsidR="000A2FF5" w:rsidRPr="0011380B">
        <w:rPr>
          <w:rFonts w:hint="eastAsia"/>
          <w:sz w:val="24"/>
          <w:szCs w:val="24"/>
        </w:rPr>
        <w:t>动作</w:t>
      </w:r>
      <w:r w:rsidRPr="0011380B">
        <w:rPr>
          <w:rFonts w:hint="eastAsia"/>
          <w:sz w:val="24"/>
          <w:szCs w:val="24"/>
        </w:rPr>
        <w:t>率</w:t>
      </w:r>
      <w:r w:rsidRPr="0011380B">
        <w:rPr>
          <w:rFonts w:hint="eastAsia"/>
          <w:sz w:val="24"/>
          <w:szCs w:val="24"/>
        </w:rPr>
        <w:t>100%</w:t>
      </w:r>
      <w:r w:rsidRPr="0011380B">
        <w:rPr>
          <w:rFonts w:hint="eastAsia"/>
          <w:sz w:val="24"/>
          <w:szCs w:val="24"/>
        </w:rPr>
        <w:t>。</w:t>
      </w:r>
    </w:p>
    <w:p w:rsidR="00DC2B03" w:rsidRDefault="00DC2B03" w:rsidP="00DC2B03">
      <w:pPr>
        <w:spacing w:line="360" w:lineRule="exact"/>
        <w:rPr>
          <w:noProof/>
        </w:rPr>
      </w:pPr>
    </w:p>
    <w:p w:rsidR="00DC2B03" w:rsidRDefault="006B5DE2" w:rsidP="00DC2B03">
      <w:pPr>
        <w:spacing w:line="360" w:lineRule="exact"/>
        <w:rPr>
          <w:noProof/>
        </w:rPr>
      </w:pPr>
      <w:r>
        <w:rPr>
          <w:noProof/>
        </w:rPr>
        <w:lastRenderedPageBreak/>
        <w:pict>
          <v:shape id="_x0000_s1027" type="#_x0000_t75" style="position:absolute;left:0;text-align:left;margin-left:291.55pt;margin-top:-11.05pt;width:117.45pt;height:179.8pt;z-index:251659264;mso-position-horizontal-relative:text;mso-position-vertical-relative:text">
            <v:imagedata r:id="rId10" o:title="" croptop="5355f" cropbottom="7871f" cropleft="8389f" cropright="8777f"/>
          </v:shape>
          <o:OLEObject Type="Embed" ProgID="AcroExch.Document.11" ShapeID="_x0000_s1027" DrawAspect="Content" ObjectID="_1616842862" r:id="rId11"/>
        </w:pict>
      </w:r>
      <w:r w:rsidR="00BE03C7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380404C3" wp14:editId="0D378F26">
            <wp:simplePos x="0" y="0"/>
            <wp:positionH relativeFrom="column">
              <wp:posOffset>-4313</wp:posOffset>
            </wp:positionH>
            <wp:positionV relativeFrom="paragraph">
              <wp:posOffset>8625</wp:posOffset>
            </wp:positionV>
            <wp:extent cx="2163755" cy="2096219"/>
            <wp:effectExtent l="0" t="0" r="8255" b="0"/>
            <wp:wrapNone/>
            <wp:docPr id="3" name="图片 3" descr="D:\高压产品线\2019年\3月\新品鉴定\新品鉴定-高压保护\任悦\IMG_20190411_135815-修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高压产品线\2019年\3月\新品鉴定\新品鉴定-高压保护\任悦\IMG_20190411_135815-修图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4" t="5883" r="14949" b="6666"/>
                    <a:stretch/>
                  </pic:blipFill>
                  <pic:spPr bwMode="auto">
                    <a:xfrm>
                      <a:off x="0" y="0"/>
                      <a:ext cx="2166338" cy="209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B03" w:rsidRDefault="00DC2B03" w:rsidP="00DC2B03">
      <w:pPr>
        <w:spacing w:line="360" w:lineRule="exact"/>
        <w:rPr>
          <w:noProof/>
        </w:rPr>
      </w:pPr>
    </w:p>
    <w:p w:rsidR="00DC2B03" w:rsidRDefault="00DC2B03" w:rsidP="00DC2B03">
      <w:pPr>
        <w:spacing w:line="360" w:lineRule="exact"/>
        <w:rPr>
          <w:noProof/>
        </w:rPr>
      </w:pPr>
    </w:p>
    <w:p w:rsidR="00DC2B03" w:rsidRDefault="00BE03C7" w:rsidP="00DC2B03">
      <w:pPr>
        <w:spacing w:line="360" w:lineRule="exact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FD6FF2D" wp14:editId="66082707">
            <wp:simplePos x="0" y="0"/>
            <wp:positionH relativeFrom="column">
              <wp:posOffset>2160905</wp:posOffset>
            </wp:positionH>
            <wp:positionV relativeFrom="paragraph">
              <wp:posOffset>90170</wp:posOffset>
            </wp:positionV>
            <wp:extent cx="1455420" cy="1328420"/>
            <wp:effectExtent l="0" t="0" r="0" b="5080"/>
            <wp:wrapNone/>
            <wp:docPr id="2" name="图片 2" descr="D:\高压产品线\2019年\3月\新品鉴定\新品鉴定-高压保护\任悦\IMG_20190411_135507-修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高压产品线\2019年\3月\新品鉴定\新品鉴定-高压保护\任悦\IMG_20190411_135507-修图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6" t="6182" r="13493" b="1817"/>
                    <a:stretch/>
                  </pic:blipFill>
                  <pic:spPr bwMode="auto">
                    <a:xfrm>
                      <a:off x="0" y="0"/>
                      <a:ext cx="145542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B03" w:rsidRDefault="00DC2B03" w:rsidP="00DC2B03">
      <w:pPr>
        <w:spacing w:line="360" w:lineRule="exact"/>
        <w:rPr>
          <w:noProof/>
        </w:rPr>
      </w:pPr>
    </w:p>
    <w:p w:rsidR="00DC2B03" w:rsidRDefault="00DC2B03" w:rsidP="00DC2B03">
      <w:pPr>
        <w:spacing w:line="360" w:lineRule="exact"/>
        <w:rPr>
          <w:noProof/>
        </w:rPr>
      </w:pPr>
    </w:p>
    <w:p w:rsidR="00DC2B03" w:rsidRDefault="00DC2B03" w:rsidP="00DC2B03">
      <w:pPr>
        <w:spacing w:line="360" w:lineRule="exact"/>
        <w:rPr>
          <w:noProof/>
        </w:rPr>
      </w:pPr>
    </w:p>
    <w:p w:rsidR="00DC2B03" w:rsidRDefault="00DC2B03" w:rsidP="00DC2B03">
      <w:pPr>
        <w:spacing w:line="360" w:lineRule="exact"/>
        <w:rPr>
          <w:noProof/>
        </w:rPr>
      </w:pPr>
    </w:p>
    <w:p w:rsidR="00DC2B03" w:rsidRDefault="00DC2B03" w:rsidP="00DC2B03">
      <w:pPr>
        <w:spacing w:line="360" w:lineRule="exact"/>
        <w:rPr>
          <w:noProof/>
        </w:rPr>
      </w:pPr>
    </w:p>
    <w:p w:rsidR="00DC2B03" w:rsidRDefault="00DC2B03" w:rsidP="00DC2B03">
      <w:pPr>
        <w:spacing w:line="360" w:lineRule="exact"/>
        <w:rPr>
          <w:noProof/>
        </w:rPr>
      </w:pPr>
    </w:p>
    <w:p w:rsidR="00BE03C7" w:rsidRDefault="00BE03C7" w:rsidP="00DC2B03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DC2B03" w:rsidRPr="00DC2B03" w:rsidRDefault="00DC2B03" w:rsidP="00DC2B03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DC2B03">
        <w:rPr>
          <w:rFonts w:asciiTheme="majorEastAsia" w:eastAsiaTheme="majorEastAsia" w:hAnsiTheme="majorEastAsia" w:hint="eastAsia"/>
          <w:b/>
          <w:sz w:val="24"/>
          <w:szCs w:val="24"/>
        </w:rPr>
        <w:t xml:space="preserve">图2   </w:t>
      </w:r>
      <w:r w:rsidR="00BE03C7">
        <w:rPr>
          <w:rFonts w:asciiTheme="majorEastAsia" w:eastAsiaTheme="majorEastAsia" w:hAnsiTheme="majorEastAsia" w:hint="eastAsia"/>
          <w:b/>
          <w:sz w:val="24"/>
          <w:szCs w:val="24"/>
        </w:rPr>
        <w:t>调相机</w:t>
      </w:r>
      <w:r w:rsidR="00B30E9F">
        <w:rPr>
          <w:rFonts w:asciiTheme="majorEastAsia" w:eastAsiaTheme="majorEastAsia" w:hAnsiTheme="majorEastAsia" w:hint="eastAsia"/>
          <w:b/>
          <w:sz w:val="24"/>
          <w:szCs w:val="24"/>
        </w:rPr>
        <w:t>变压器</w:t>
      </w:r>
      <w:proofErr w:type="gramStart"/>
      <w:r w:rsidR="00BE03C7">
        <w:rPr>
          <w:rFonts w:asciiTheme="majorEastAsia" w:eastAsiaTheme="majorEastAsia" w:hAnsiTheme="majorEastAsia" w:hint="eastAsia"/>
          <w:b/>
          <w:sz w:val="24"/>
          <w:szCs w:val="24"/>
        </w:rPr>
        <w:t>组保</w:t>
      </w:r>
      <w:r w:rsidR="00B30E9F">
        <w:rPr>
          <w:rFonts w:asciiTheme="majorEastAsia" w:eastAsiaTheme="majorEastAsia" w:hAnsiTheme="majorEastAsia" w:hint="eastAsia"/>
          <w:b/>
          <w:sz w:val="24"/>
          <w:szCs w:val="24"/>
        </w:rPr>
        <w:t>护</w:t>
      </w:r>
      <w:proofErr w:type="gramEnd"/>
      <w:r w:rsidR="00BE03C7">
        <w:rPr>
          <w:rFonts w:asciiTheme="majorEastAsia" w:eastAsiaTheme="majorEastAsia" w:hAnsiTheme="majorEastAsia" w:hint="eastAsia"/>
          <w:b/>
          <w:sz w:val="24"/>
          <w:szCs w:val="24"/>
        </w:rPr>
        <w:t>及</w:t>
      </w:r>
      <w:r w:rsidRPr="00DC2B03">
        <w:rPr>
          <w:rFonts w:asciiTheme="majorEastAsia" w:eastAsiaTheme="majorEastAsia" w:hAnsiTheme="majorEastAsia" w:hint="eastAsia"/>
          <w:b/>
          <w:sz w:val="24"/>
          <w:szCs w:val="24"/>
        </w:rPr>
        <w:t>工程应用</w:t>
      </w:r>
      <w:r w:rsidR="00DE660F">
        <w:rPr>
          <w:rFonts w:asciiTheme="majorEastAsia" w:eastAsiaTheme="majorEastAsia" w:hAnsiTheme="majorEastAsia" w:hint="eastAsia"/>
          <w:b/>
          <w:sz w:val="24"/>
          <w:szCs w:val="24"/>
        </w:rPr>
        <w:t>示例</w:t>
      </w:r>
    </w:p>
    <w:sectPr w:rsidR="00DC2B03" w:rsidRPr="00DC2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DE2" w:rsidRDefault="006B5DE2" w:rsidP="00F14551">
      <w:r>
        <w:separator/>
      </w:r>
    </w:p>
  </w:endnote>
  <w:endnote w:type="continuationSeparator" w:id="0">
    <w:p w:rsidR="006B5DE2" w:rsidRDefault="006B5DE2" w:rsidP="00F14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DE2" w:rsidRDefault="006B5DE2" w:rsidP="00F14551">
      <w:r>
        <w:separator/>
      </w:r>
    </w:p>
  </w:footnote>
  <w:footnote w:type="continuationSeparator" w:id="0">
    <w:p w:rsidR="006B5DE2" w:rsidRDefault="006B5DE2" w:rsidP="00F14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2CAB"/>
    <w:multiLevelType w:val="hybridMultilevel"/>
    <w:tmpl w:val="C8AAB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C71EB7"/>
    <w:multiLevelType w:val="hybridMultilevel"/>
    <w:tmpl w:val="004CD1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8323CB"/>
    <w:multiLevelType w:val="multilevel"/>
    <w:tmpl w:val="A3DEE57E"/>
    <w:lvl w:ilvl="0">
      <w:start w:val="1"/>
      <w:numFmt w:val="decimal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50C45B7"/>
    <w:multiLevelType w:val="hybridMultilevel"/>
    <w:tmpl w:val="073000E8"/>
    <w:lvl w:ilvl="0" w:tplc="E58CD0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1E407C"/>
    <w:multiLevelType w:val="hybridMultilevel"/>
    <w:tmpl w:val="F13C44E8"/>
    <w:lvl w:ilvl="0" w:tplc="B626746C">
      <w:start w:val="1"/>
      <w:numFmt w:val="decimal"/>
      <w:lvlText w:val="%1）"/>
      <w:lvlJc w:val="left"/>
      <w:pPr>
        <w:ind w:left="1322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88E"/>
    <w:rsid w:val="00021AF7"/>
    <w:rsid w:val="000438CC"/>
    <w:rsid w:val="000573D0"/>
    <w:rsid w:val="000623AE"/>
    <w:rsid w:val="0008523A"/>
    <w:rsid w:val="000966C2"/>
    <w:rsid w:val="000A2FF5"/>
    <w:rsid w:val="000B4D3F"/>
    <w:rsid w:val="000E2F2D"/>
    <w:rsid w:val="0010396A"/>
    <w:rsid w:val="0011380B"/>
    <w:rsid w:val="0016213F"/>
    <w:rsid w:val="0016316E"/>
    <w:rsid w:val="00177269"/>
    <w:rsid w:val="00285119"/>
    <w:rsid w:val="002C77EA"/>
    <w:rsid w:val="002E4D63"/>
    <w:rsid w:val="002F5AB4"/>
    <w:rsid w:val="003244E0"/>
    <w:rsid w:val="003B5491"/>
    <w:rsid w:val="003D0C06"/>
    <w:rsid w:val="004251F0"/>
    <w:rsid w:val="0045061F"/>
    <w:rsid w:val="0045215D"/>
    <w:rsid w:val="004C2D7F"/>
    <w:rsid w:val="004D7D94"/>
    <w:rsid w:val="005069EE"/>
    <w:rsid w:val="00542AC4"/>
    <w:rsid w:val="005549BE"/>
    <w:rsid w:val="005754F4"/>
    <w:rsid w:val="00593A3D"/>
    <w:rsid w:val="006059D8"/>
    <w:rsid w:val="00607CD2"/>
    <w:rsid w:val="00611014"/>
    <w:rsid w:val="006362ED"/>
    <w:rsid w:val="0066340C"/>
    <w:rsid w:val="006B5DE2"/>
    <w:rsid w:val="006B6ADA"/>
    <w:rsid w:val="006E0B01"/>
    <w:rsid w:val="00715680"/>
    <w:rsid w:val="007A2A7E"/>
    <w:rsid w:val="007E03FA"/>
    <w:rsid w:val="00821335"/>
    <w:rsid w:val="0083404E"/>
    <w:rsid w:val="008422C1"/>
    <w:rsid w:val="008D3699"/>
    <w:rsid w:val="008D7089"/>
    <w:rsid w:val="009161FF"/>
    <w:rsid w:val="00947DA3"/>
    <w:rsid w:val="009C505B"/>
    <w:rsid w:val="00A6479D"/>
    <w:rsid w:val="00A8012C"/>
    <w:rsid w:val="00AC4030"/>
    <w:rsid w:val="00AF191A"/>
    <w:rsid w:val="00B0114C"/>
    <w:rsid w:val="00B30E9F"/>
    <w:rsid w:val="00B71207"/>
    <w:rsid w:val="00B91DF8"/>
    <w:rsid w:val="00BC3C07"/>
    <w:rsid w:val="00BE03C7"/>
    <w:rsid w:val="00BF09E8"/>
    <w:rsid w:val="00BF2D0F"/>
    <w:rsid w:val="00BF2FEC"/>
    <w:rsid w:val="00C102B4"/>
    <w:rsid w:val="00C10EC3"/>
    <w:rsid w:val="00C17018"/>
    <w:rsid w:val="00C40B7E"/>
    <w:rsid w:val="00C4388E"/>
    <w:rsid w:val="00C86B17"/>
    <w:rsid w:val="00C91C9A"/>
    <w:rsid w:val="00CB2365"/>
    <w:rsid w:val="00D05041"/>
    <w:rsid w:val="00D15818"/>
    <w:rsid w:val="00D16990"/>
    <w:rsid w:val="00DC2B03"/>
    <w:rsid w:val="00DE660F"/>
    <w:rsid w:val="00E1701D"/>
    <w:rsid w:val="00EE2C22"/>
    <w:rsid w:val="00F14551"/>
    <w:rsid w:val="00F22601"/>
    <w:rsid w:val="00F22B84"/>
    <w:rsid w:val="00FB7890"/>
    <w:rsid w:val="00FC45B9"/>
    <w:rsid w:val="00FC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14551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C86B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86B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F14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1455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F14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14551"/>
    <w:rPr>
      <w:sz w:val="18"/>
      <w:szCs w:val="18"/>
    </w:rPr>
  </w:style>
  <w:style w:type="table" w:styleId="a6">
    <w:name w:val="Table Grid"/>
    <w:basedOn w:val="a2"/>
    <w:uiPriority w:val="59"/>
    <w:rsid w:val="00F14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uiPriority w:val="34"/>
    <w:qFormat/>
    <w:rsid w:val="00F14551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C86B17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C86B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0573D0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0573D0"/>
    <w:rPr>
      <w:sz w:val="18"/>
      <w:szCs w:val="18"/>
    </w:rPr>
  </w:style>
  <w:style w:type="paragraph" w:customStyle="1" w:styleId="a">
    <w:name w:val="表格（编号）"/>
    <w:rsid w:val="00715680"/>
    <w:pPr>
      <w:numPr>
        <w:numId w:val="5"/>
      </w:numPr>
      <w:jc w:val="center"/>
    </w:pPr>
    <w:rPr>
      <w:rFonts w:ascii="Times New Roman" w:eastAsia="宋体" w:hAnsi="Times New Roman" w:cs="Times New Roman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14551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C86B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86B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F14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1455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F14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14551"/>
    <w:rPr>
      <w:sz w:val="18"/>
      <w:szCs w:val="18"/>
    </w:rPr>
  </w:style>
  <w:style w:type="table" w:styleId="a6">
    <w:name w:val="Table Grid"/>
    <w:basedOn w:val="a2"/>
    <w:uiPriority w:val="59"/>
    <w:rsid w:val="00F14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uiPriority w:val="34"/>
    <w:qFormat/>
    <w:rsid w:val="00F14551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C86B17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C86B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0573D0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0573D0"/>
    <w:rPr>
      <w:sz w:val="18"/>
      <w:szCs w:val="18"/>
    </w:rPr>
  </w:style>
  <w:style w:type="paragraph" w:customStyle="1" w:styleId="a">
    <w:name w:val="表格（编号）"/>
    <w:rsid w:val="00715680"/>
    <w:pPr>
      <w:numPr>
        <w:numId w:val="5"/>
      </w:numPr>
      <w:jc w:val="center"/>
    </w:pPr>
    <w:rPr>
      <w:rFonts w:ascii="Times New Roman" w:eastAsia="宋体" w:hAnsi="Times New Roman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85316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34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887</Characters>
  <Application>Microsoft Office Word</Application>
  <DocSecurity>0</DocSecurity>
  <Lines>7</Lines>
  <Paragraphs>2</Paragraphs>
  <ScaleCrop>false</ScaleCrop>
  <Company>Sky123.Org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曹飞</dc:creator>
  <cp:lastModifiedBy>王姝阳</cp:lastModifiedBy>
  <cp:revision>2</cp:revision>
  <dcterms:created xsi:type="dcterms:W3CDTF">2019-04-15T06:14:00Z</dcterms:created>
  <dcterms:modified xsi:type="dcterms:W3CDTF">2019-04-15T06:14:00Z</dcterms:modified>
</cp:coreProperties>
</file>