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AD" w:rsidRPr="00476D35" w:rsidRDefault="00607912" w:rsidP="00172DAD">
      <w:pPr>
        <w:jc w:val="center"/>
        <w:rPr>
          <w:b/>
          <w:sz w:val="44"/>
          <w:szCs w:val="44"/>
        </w:rPr>
      </w:pPr>
      <w:bookmarkStart w:id="0" w:name="_GoBack"/>
      <w:r w:rsidRPr="00476D35">
        <w:rPr>
          <w:rFonts w:asciiTheme="majorEastAsia" w:eastAsiaTheme="majorEastAsia" w:hAnsiTheme="majorEastAsia" w:hint="eastAsia"/>
          <w:b/>
          <w:sz w:val="52"/>
          <w:szCs w:val="52"/>
        </w:rPr>
        <w:t>超高压抽能高抗保护设备</w:t>
      </w:r>
    </w:p>
    <w:bookmarkEnd w:id="0"/>
    <w:p w:rsidR="0064235F" w:rsidRPr="00476D35" w:rsidRDefault="0064235F" w:rsidP="000F197B">
      <w:pPr>
        <w:pStyle w:val="2"/>
        <w:rPr>
          <w:sz w:val="28"/>
          <w:szCs w:val="28"/>
        </w:rPr>
      </w:pPr>
      <w:r w:rsidRPr="00476D35">
        <w:rPr>
          <w:rFonts w:hint="eastAsia"/>
          <w:sz w:val="28"/>
          <w:szCs w:val="28"/>
        </w:rPr>
        <w:t>概述：</w:t>
      </w:r>
    </w:p>
    <w:p w:rsidR="003C4B48" w:rsidRPr="00D660D6" w:rsidRDefault="003C4B48" w:rsidP="003C4B48">
      <w:pPr>
        <w:spacing w:line="360" w:lineRule="exact"/>
        <w:ind w:firstLine="420"/>
        <w:rPr>
          <w:rFonts w:asciiTheme="minorEastAsia" w:hAnsiTheme="minorEastAsia"/>
          <w:sz w:val="24"/>
          <w:szCs w:val="24"/>
        </w:rPr>
      </w:pPr>
      <w:r w:rsidRPr="00D660D6">
        <w:rPr>
          <w:rFonts w:asciiTheme="minorEastAsia" w:hAnsiTheme="minorEastAsia" w:hint="eastAsia"/>
          <w:sz w:val="24"/>
          <w:szCs w:val="24"/>
        </w:rPr>
        <w:t>随着我国</w:t>
      </w:r>
      <w:r w:rsidR="00B3440C" w:rsidRPr="00D660D6">
        <w:rPr>
          <w:rFonts w:asciiTheme="minorEastAsia" w:hAnsiTheme="minorEastAsia" w:hint="eastAsia"/>
          <w:sz w:val="24"/>
          <w:szCs w:val="24"/>
        </w:rPr>
        <w:t>超</w:t>
      </w:r>
      <w:r w:rsidRPr="00D660D6">
        <w:rPr>
          <w:rFonts w:asciiTheme="minorEastAsia" w:hAnsiTheme="minorEastAsia" w:hint="eastAsia"/>
          <w:sz w:val="24"/>
          <w:szCs w:val="24"/>
        </w:rPr>
        <w:t>高压长距离输电线路的增多，抽能高压并联电抗器在开关站得到</w:t>
      </w:r>
      <w:r w:rsidR="00B3440C" w:rsidRPr="00D660D6">
        <w:rPr>
          <w:rFonts w:asciiTheme="minorEastAsia" w:hAnsiTheme="minorEastAsia" w:hint="eastAsia"/>
          <w:sz w:val="24"/>
          <w:szCs w:val="24"/>
        </w:rPr>
        <w:t>广泛</w:t>
      </w:r>
      <w:r w:rsidRPr="00D660D6">
        <w:rPr>
          <w:rFonts w:asciiTheme="minorEastAsia" w:hAnsiTheme="minorEastAsia" w:hint="eastAsia"/>
          <w:sz w:val="24"/>
          <w:szCs w:val="24"/>
        </w:rPr>
        <w:t>应用。抽能高压并联电抗器不仅具有普通高压并联电抗器的补偿线路功能，还带有“抽能绕组”</w:t>
      </w:r>
      <w:r w:rsidR="0024364B" w:rsidRPr="00D660D6">
        <w:rPr>
          <w:rFonts w:asciiTheme="minorEastAsia" w:hAnsiTheme="minorEastAsia" w:hint="eastAsia"/>
          <w:sz w:val="24"/>
          <w:szCs w:val="24"/>
        </w:rPr>
        <w:t>可</w:t>
      </w:r>
      <w:r w:rsidR="00B3440C" w:rsidRPr="00D660D6">
        <w:rPr>
          <w:rFonts w:asciiTheme="minorEastAsia" w:hAnsiTheme="minorEastAsia" w:hint="eastAsia"/>
          <w:sz w:val="24"/>
          <w:szCs w:val="24"/>
        </w:rPr>
        <w:t>作为开关站站用变的主供电源，具有很好的经济效益。</w:t>
      </w:r>
    </w:p>
    <w:p w:rsidR="00644FE6" w:rsidRPr="00D660D6" w:rsidRDefault="00607912" w:rsidP="00607912">
      <w:pPr>
        <w:spacing w:line="360" w:lineRule="exact"/>
        <w:ind w:firstLine="420"/>
        <w:rPr>
          <w:rFonts w:asciiTheme="minorEastAsia" w:hAnsiTheme="minorEastAsia"/>
          <w:sz w:val="24"/>
          <w:szCs w:val="24"/>
        </w:rPr>
      </w:pPr>
      <w:r w:rsidRPr="00D660D6">
        <w:rPr>
          <w:rFonts w:asciiTheme="minorEastAsia" w:hAnsiTheme="minorEastAsia" w:hint="eastAsia"/>
          <w:sz w:val="24"/>
          <w:szCs w:val="24"/>
        </w:rPr>
        <w:t>北京四方公司系统地研究了抽能</w:t>
      </w:r>
      <w:r w:rsidRPr="00D660D6">
        <w:rPr>
          <w:rFonts w:asciiTheme="minorEastAsia" w:hAnsiTheme="minorEastAsia"/>
          <w:sz w:val="24"/>
          <w:szCs w:val="24"/>
        </w:rPr>
        <w:t>高压</w:t>
      </w:r>
      <w:r w:rsidR="00AA01B0" w:rsidRPr="00D660D6">
        <w:rPr>
          <w:rFonts w:asciiTheme="minorEastAsia" w:hAnsiTheme="minorEastAsia" w:hint="eastAsia"/>
          <w:sz w:val="24"/>
          <w:szCs w:val="24"/>
        </w:rPr>
        <w:t>并联电抗器的结构、</w:t>
      </w:r>
      <w:r w:rsidRPr="00D660D6">
        <w:rPr>
          <w:rFonts w:asciiTheme="minorEastAsia" w:hAnsiTheme="minorEastAsia" w:hint="eastAsia"/>
          <w:sz w:val="24"/>
          <w:szCs w:val="24"/>
        </w:rPr>
        <w:t>电气</w:t>
      </w:r>
      <w:r w:rsidRPr="00D660D6">
        <w:rPr>
          <w:rFonts w:asciiTheme="minorEastAsia" w:hAnsiTheme="minorEastAsia"/>
          <w:sz w:val="24"/>
          <w:szCs w:val="24"/>
        </w:rPr>
        <w:t>特性</w:t>
      </w:r>
      <w:r w:rsidRPr="00D660D6">
        <w:rPr>
          <w:rFonts w:asciiTheme="minorEastAsia" w:hAnsiTheme="minorEastAsia" w:hint="eastAsia"/>
          <w:sz w:val="24"/>
          <w:szCs w:val="24"/>
        </w:rPr>
        <w:t>、系统侧的复杂扰动对继电保护的影响，在国内外首创</w:t>
      </w:r>
      <w:r w:rsidRPr="00D660D6">
        <w:rPr>
          <w:rFonts w:asciiTheme="minorEastAsia" w:hAnsiTheme="minorEastAsia"/>
          <w:sz w:val="24"/>
          <w:szCs w:val="24"/>
        </w:rPr>
        <w:t>了</w:t>
      </w:r>
      <w:r w:rsidRPr="00D660D6">
        <w:rPr>
          <w:rFonts w:asciiTheme="minorEastAsia" w:hAnsiTheme="minorEastAsia" w:hint="eastAsia"/>
          <w:sz w:val="24"/>
          <w:szCs w:val="24"/>
        </w:rPr>
        <w:t>500</w:t>
      </w:r>
      <w:r w:rsidRPr="00D660D6">
        <w:rPr>
          <w:rFonts w:asciiTheme="minorEastAsia" w:hAnsiTheme="minorEastAsia"/>
          <w:sz w:val="24"/>
          <w:szCs w:val="24"/>
        </w:rPr>
        <w:t>k</w:t>
      </w:r>
      <w:r w:rsidRPr="00D660D6">
        <w:rPr>
          <w:rFonts w:asciiTheme="minorEastAsia" w:hAnsiTheme="minorEastAsia" w:hint="eastAsia"/>
          <w:sz w:val="24"/>
          <w:szCs w:val="24"/>
        </w:rPr>
        <w:t>V抽能高压并联电抗器抽能绕组匝间保护等一系列保护方法，研制了具备抽能侧完备保护功能的CSC-330A超高压抽能高抗保护，主要</w:t>
      </w:r>
      <w:r w:rsidRPr="00D660D6">
        <w:rPr>
          <w:rFonts w:asciiTheme="minorEastAsia" w:hAnsiTheme="minorEastAsia"/>
          <w:sz w:val="24"/>
          <w:szCs w:val="24"/>
        </w:rPr>
        <w:t>适用于220kV</w:t>
      </w:r>
      <w:r w:rsidRPr="00D660D6">
        <w:rPr>
          <w:rFonts w:asciiTheme="minorEastAsia" w:hAnsiTheme="minorEastAsia" w:hint="eastAsia"/>
          <w:sz w:val="24"/>
          <w:szCs w:val="24"/>
        </w:rPr>
        <w:t>～1000kV变电站带抽能绕组</w:t>
      </w:r>
      <w:r w:rsidRPr="00D660D6">
        <w:rPr>
          <w:rFonts w:asciiTheme="minorEastAsia" w:hAnsiTheme="minorEastAsia"/>
          <w:sz w:val="24"/>
          <w:szCs w:val="24"/>
        </w:rPr>
        <w:t>的高压并联电抗器</w:t>
      </w:r>
      <w:r w:rsidRPr="00D660D6">
        <w:rPr>
          <w:rFonts w:asciiTheme="minorEastAsia" w:hAnsiTheme="minorEastAsia" w:hint="eastAsia"/>
          <w:sz w:val="24"/>
          <w:szCs w:val="24"/>
        </w:rPr>
        <w:t>，解决了绕组间弱耦合、抽能匝间保护灵敏度低、系统侧复杂扰动等难题，填补了国内外本项技术的空白，并率先</w:t>
      </w:r>
      <w:r w:rsidRPr="00D660D6">
        <w:rPr>
          <w:rFonts w:asciiTheme="minorEastAsia" w:hAnsiTheme="minorEastAsia"/>
          <w:sz w:val="24"/>
          <w:szCs w:val="24"/>
        </w:rPr>
        <w:t>实现了</w:t>
      </w:r>
      <w:r w:rsidRPr="00D660D6">
        <w:rPr>
          <w:rFonts w:asciiTheme="minorEastAsia" w:hAnsiTheme="minorEastAsia" w:hint="eastAsia"/>
          <w:sz w:val="24"/>
          <w:szCs w:val="24"/>
        </w:rPr>
        <w:t>500kV</w:t>
      </w:r>
      <w:r w:rsidR="003C4B48" w:rsidRPr="00D660D6">
        <w:rPr>
          <w:rFonts w:asciiTheme="minorEastAsia" w:hAnsiTheme="minorEastAsia" w:hint="eastAsia"/>
          <w:sz w:val="24"/>
          <w:szCs w:val="24"/>
        </w:rPr>
        <w:t>系统</w:t>
      </w:r>
      <w:r w:rsidRPr="00D660D6">
        <w:rPr>
          <w:rFonts w:asciiTheme="minorEastAsia" w:hAnsiTheme="minorEastAsia" w:hint="eastAsia"/>
          <w:sz w:val="24"/>
          <w:szCs w:val="24"/>
        </w:rPr>
        <w:t>重大</w:t>
      </w:r>
      <w:r w:rsidRPr="00D660D6">
        <w:rPr>
          <w:rFonts w:asciiTheme="minorEastAsia" w:hAnsiTheme="minorEastAsia"/>
          <w:sz w:val="24"/>
          <w:szCs w:val="24"/>
        </w:rPr>
        <w:t>工程</w:t>
      </w:r>
      <w:r w:rsidRPr="00D660D6">
        <w:rPr>
          <w:rFonts w:asciiTheme="minorEastAsia" w:hAnsiTheme="minorEastAsia" w:hint="eastAsia"/>
          <w:sz w:val="24"/>
          <w:szCs w:val="24"/>
        </w:rPr>
        <w:t>的</w:t>
      </w:r>
      <w:r w:rsidRPr="00D660D6">
        <w:rPr>
          <w:rFonts w:asciiTheme="minorEastAsia" w:hAnsiTheme="minorEastAsia"/>
          <w:sz w:val="24"/>
          <w:szCs w:val="24"/>
        </w:rPr>
        <w:t>应用</w:t>
      </w:r>
      <w:r w:rsidRPr="00D660D6">
        <w:rPr>
          <w:rFonts w:asciiTheme="minorEastAsia" w:hAnsiTheme="minorEastAsia" w:hint="eastAsia"/>
          <w:sz w:val="24"/>
          <w:szCs w:val="24"/>
        </w:rPr>
        <w:t>。</w:t>
      </w:r>
    </w:p>
    <w:p w:rsidR="0064235F" w:rsidRPr="00476D35" w:rsidRDefault="00476D35" w:rsidP="000F197B">
      <w:pPr>
        <w:pStyle w:val="2"/>
        <w:rPr>
          <w:sz w:val="28"/>
          <w:szCs w:val="28"/>
        </w:rPr>
      </w:pPr>
      <w:r>
        <w:rPr>
          <w:rFonts w:hint="eastAsia"/>
          <w:sz w:val="28"/>
          <w:szCs w:val="28"/>
        </w:rPr>
        <w:t>保护</w:t>
      </w:r>
      <w:r w:rsidR="003C4B48" w:rsidRPr="00476D35">
        <w:rPr>
          <w:rFonts w:hint="eastAsia"/>
          <w:sz w:val="28"/>
          <w:szCs w:val="28"/>
        </w:rPr>
        <w:t>系统配置</w:t>
      </w:r>
      <w:r w:rsidR="0064235F" w:rsidRPr="00476D35">
        <w:rPr>
          <w:rFonts w:hint="eastAsia"/>
          <w:sz w:val="28"/>
          <w:szCs w:val="28"/>
        </w:rPr>
        <w:t>：</w:t>
      </w:r>
    </w:p>
    <w:p w:rsidR="00CF48B6" w:rsidRPr="00DE5FFF" w:rsidRDefault="00CF48B6" w:rsidP="00CF48B6">
      <w:pPr>
        <w:spacing w:line="360" w:lineRule="exact"/>
        <w:ind w:firstLine="420"/>
        <w:rPr>
          <w:rFonts w:asciiTheme="minorEastAsia" w:hAnsiTheme="minorEastAsia"/>
          <w:sz w:val="24"/>
          <w:szCs w:val="24"/>
        </w:rPr>
      </w:pPr>
      <w:r w:rsidRPr="00DE5FFF">
        <w:rPr>
          <w:rFonts w:asciiTheme="minorEastAsia" w:hAnsiTheme="minorEastAsia"/>
          <w:sz w:val="24"/>
          <w:szCs w:val="24"/>
        </w:rPr>
        <w:t>CSC-330A</w:t>
      </w:r>
      <w:r w:rsidR="00DE5FFF" w:rsidRPr="00DE5FFF">
        <w:rPr>
          <w:rFonts w:asciiTheme="minorEastAsia" w:hAnsiTheme="minorEastAsia" w:hint="eastAsia"/>
          <w:sz w:val="24"/>
          <w:szCs w:val="24"/>
        </w:rPr>
        <w:t>超高压抽能高抗保护</w:t>
      </w:r>
      <w:r w:rsidRPr="00DE5FFF">
        <w:rPr>
          <w:rFonts w:asciiTheme="minorEastAsia" w:hAnsiTheme="minorEastAsia"/>
          <w:sz w:val="24"/>
          <w:szCs w:val="24"/>
        </w:rPr>
        <w:t>所配置的主要</w:t>
      </w:r>
      <w:r w:rsidR="00DE5FFF" w:rsidRPr="00DE5FFF">
        <w:rPr>
          <w:rFonts w:asciiTheme="minorEastAsia" w:hAnsiTheme="minorEastAsia" w:hint="eastAsia"/>
          <w:sz w:val="24"/>
          <w:szCs w:val="24"/>
        </w:rPr>
        <w:t>电气量</w:t>
      </w:r>
      <w:r w:rsidRPr="00DE5FFF">
        <w:rPr>
          <w:rFonts w:asciiTheme="minorEastAsia" w:hAnsiTheme="minorEastAsia"/>
          <w:sz w:val="24"/>
          <w:szCs w:val="24"/>
        </w:rPr>
        <w:t>保护功能包括：</w:t>
      </w:r>
    </w:p>
    <w:p w:rsidR="00CF48B6" w:rsidRPr="00DE5FFF" w:rsidRDefault="00711EC8" w:rsidP="00CF48B6">
      <w:pPr>
        <w:pStyle w:val="a6"/>
        <w:numPr>
          <w:ilvl w:val="0"/>
          <w:numId w:val="2"/>
        </w:numPr>
        <w:spacing w:line="360" w:lineRule="exact"/>
        <w:ind w:firstLineChars="0"/>
        <w:rPr>
          <w:rFonts w:asciiTheme="minorEastAsia" w:hAnsiTheme="minorEastAsia"/>
          <w:sz w:val="24"/>
          <w:szCs w:val="24"/>
        </w:rPr>
      </w:pPr>
      <w:r>
        <w:rPr>
          <w:rFonts w:asciiTheme="minorEastAsia" w:hAnsiTheme="minorEastAsia"/>
          <w:sz w:val="24"/>
          <w:szCs w:val="24"/>
        </w:rPr>
        <w:t>主保护：</w:t>
      </w:r>
      <w:r w:rsidR="00CF48B6" w:rsidRPr="00DE5FFF">
        <w:rPr>
          <w:rFonts w:asciiTheme="minorEastAsia" w:hAnsiTheme="minorEastAsia"/>
          <w:sz w:val="24"/>
          <w:szCs w:val="24"/>
        </w:rPr>
        <w:t>主电抗差动速断保护、主电抗差动保护、主电抗匝间保护、抽能电抗器匝间保护、抽能侧小区</w:t>
      </w:r>
      <w:r>
        <w:rPr>
          <w:rFonts w:asciiTheme="minorEastAsia" w:hAnsiTheme="minorEastAsia" w:hint="eastAsia"/>
          <w:sz w:val="24"/>
          <w:szCs w:val="24"/>
        </w:rPr>
        <w:t>差动</w:t>
      </w:r>
      <w:r w:rsidR="00CF48B6" w:rsidRPr="00DE5FFF">
        <w:rPr>
          <w:rFonts w:asciiTheme="minorEastAsia" w:hAnsiTheme="minorEastAsia"/>
          <w:sz w:val="24"/>
          <w:szCs w:val="24"/>
        </w:rPr>
        <w:t>保护等。</w:t>
      </w:r>
    </w:p>
    <w:p w:rsidR="00CF48B6" w:rsidRPr="00DE5FFF" w:rsidRDefault="00711EC8" w:rsidP="00CF48B6">
      <w:pPr>
        <w:pStyle w:val="a6"/>
        <w:numPr>
          <w:ilvl w:val="0"/>
          <w:numId w:val="2"/>
        </w:numPr>
        <w:spacing w:line="360" w:lineRule="exact"/>
        <w:ind w:firstLineChars="0"/>
        <w:rPr>
          <w:rFonts w:asciiTheme="minorEastAsia" w:hAnsiTheme="minorEastAsia"/>
          <w:sz w:val="24"/>
          <w:szCs w:val="24"/>
        </w:rPr>
      </w:pPr>
      <w:r>
        <w:rPr>
          <w:rFonts w:asciiTheme="minorEastAsia" w:hAnsiTheme="minorEastAsia"/>
          <w:sz w:val="24"/>
          <w:szCs w:val="24"/>
        </w:rPr>
        <w:t>主电抗器后备保护：</w:t>
      </w:r>
      <w:r w:rsidR="00CF48B6" w:rsidRPr="00DE5FFF">
        <w:rPr>
          <w:rFonts w:asciiTheme="minorEastAsia" w:hAnsiTheme="minorEastAsia"/>
          <w:sz w:val="24"/>
          <w:szCs w:val="24"/>
        </w:rPr>
        <w:t>主电抗过电流保护、主电抗零序过流保护、主电抗过负荷保护。</w:t>
      </w:r>
    </w:p>
    <w:p w:rsidR="00CF48B6" w:rsidRPr="00DE5FFF" w:rsidRDefault="00711EC8" w:rsidP="00CF48B6">
      <w:pPr>
        <w:pStyle w:val="a6"/>
        <w:numPr>
          <w:ilvl w:val="0"/>
          <w:numId w:val="2"/>
        </w:numPr>
        <w:spacing w:line="360" w:lineRule="exact"/>
        <w:ind w:firstLineChars="0"/>
        <w:rPr>
          <w:rFonts w:asciiTheme="minorEastAsia" w:hAnsiTheme="minorEastAsia"/>
          <w:sz w:val="24"/>
          <w:szCs w:val="24"/>
        </w:rPr>
      </w:pPr>
      <w:r>
        <w:rPr>
          <w:rFonts w:asciiTheme="minorEastAsia" w:hAnsiTheme="minorEastAsia"/>
          <w:sz w:val="24"/>
          <w:szCs w:val="24"/>
        </w:rPr>
        <w:t>中性点电抗器后备保护：</w:t>
      </w:r>
      <w:r w:rsidR="00CF48B6" w:rsidRPr="00DE5FFF">
        <w:rPr>
          <w:rFonts w:asciiTheme="minorEastAsia" w:hAnsiTheme="minorEastAsia"/>
          <w:sz w:val="24"/>
          <w:szCs w:val="24"/>
        </w:rPr>
        <w:t>中性点电抗器过电流保护、中性点电抗器过负荷保护。</w:t>
      </w:r>
    </w:p>
    <w:p w:rsidR="00CF48B6" w:rsidRPr="00DE5FFF" w:rsidRDefault="00711EC8" w:rsidP="00CF48B6">
      <w:pPr>
        <w:pStyle w:val="a6"/>
        <w:numPr>
          <w:ilvl w:val="0"/>
          <w:numId w:val="2"/>
        </w:numPr>
        <w:spacing w:line="360" w:lineRule="exact"/>
        <w:ind w:firstLineChars="0"/>
        <w:rPr>
          <w:rFonts w:asciiTheme="minorEastAsia" w:hAnsiTheme="minorEastAsia"/>
          <w:sz w:val="24"/>
          <w:szCs w:val="24"/>
        </w:rPr>
      </w:pPr>
      <w:r>
        <w:rPr>
          <w:rFonts w:asciiTheme="minorEastAsia" w:hAnsiTheme="minorEastAsia"/>
          <w:sz w:val="24"/>
          <w:szCs w:val="24"/>
        </w:rPr>
        <w:t>抽能侧后备保护：</w:t>
      </w:r>
      <w:r w:rsidR="00CF48B6" w:rsidRPr="00DE5FFF">
        <w:rPr>
          <w:rFonts w:asciiTheme="minorEastAsia" w:hAnsiTheme="minorEastAsia"/>
          <w:sz w:val="24"/>
          <w:szCs w:val="24"/>
        </w:rPr>
        <w:t>抽能侧零序过流保护、抽能侧绕组复压过流保护、抽能侧开关复压过流保护、抽能侧过负荷、抽能侧零序过压。</w:t>
      </w:r>
    </w:p>
    <w:p w:rsidR="00CF48B6" w:rsidRPr="00DE5FFF" w:rsidRDefault="00711EC8" w:rsidP="00CF48B6">
      <w:pPr>
        <w:pStyle w:val="a6"/>
        <w:numPr>
          <w:ilvl w:val="0"/>
          <w:numId w:val="2"/>
        </w:numPr>
        <w:spacing w:line="360" w:lineRule="exact"/>
        <w:ind w:firstLineChars="0"/>
        <w:rPr>
          <w:rFonts w:asciiTheme="minorEastAsia" w:hAnsiTheme="minorEastAsia"/>
          <w:sz w:val="24"/>
          <w:szCs w:val="24"/>
        </w:rPr>
      </w:pPr>
      <w:r>
        <w:rPr>
          <w:rFonts w:asciiTheme="minorEastAsia" w:hAnsiTheme="minorEastAsia"/>
          <w:sz w:val="24"/>
          <w:szCs w:val="24"/>
        </w:rPr>
        <w:t>异常运行保护：</w:t>
      </w:r>
      <w:r w:rsidR="00CF48B6" w:rsidRPr="00DE5FFF">
        <w:rPr>
          <w:rFonts w:asciiTheme="minorEastAsia" w:hAnsiTheme="minorEastAsia"/>
          <w:sz w:val="24"/>
          <w:szCs w:val="24"/>
        </w:rPr>
        <w:t>CT断线、PT断线判别等。</w:t>
      </w:r>
    </w:p>
    <w:p w:rsidR="00C92087" w:rsidRPr="00476D35" w:rsidRDefault="00DE5FFF" w:rsidP="00476D35">
      <w:pPr>
        <w:spacing w:afterLines="50" w:after="156"/>
        <w:ind w:left="424" w:hangingChars="201" w:hanging="424"/>
        <w:jc w:val="center"/>
        <w:rPr>
          <w:b/>
        </w:rPr>
      </w:pPr>
      <w:r w:rsidRPr="00476D35">
        <w:rPr>
          <w:b/>
        </w:rPr>
        <w:object w:dxaOrig="8355" w:dyaOrig="1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264.75pt" o:ole="">
            <v:imagedata r:id="rId8" o:title=""/>
          </v:shape>
          <o:OLEObject Type="Embed" ProgID="Visio.Drawing.11" ShapeID="_x0000_i1025" DrawAspect="Content" ObjectID="_1616842906" r:id="rId9"/>
        </w:object>
      </w:r>
    </w:p>
    <w:p w:rsidR="00C92087" w:rsidRPr="00476D35" w:rsidRDefault="00C92087" w:rsidP="00C92087">
      <w:pPr>
        <w:snapToGrid w:val="0"/>
        <w:jc w:val="center"/>
        <w:rPr>
          <w:rFonts w:asciiTheme="majorEastAsia" w:eastAsiaTheme="majorEastAsia" w:hAnsiTheme="majorEastAsia"/>
          <w:b/>
          <w:sz w:val="24"/>
          <w:szCs w:val="24"/>
        </w:rPr>
      </w:pPr>
      <w:bookmarkStart w:id="1" w:name="_Ref59459068"/>
      <w:bookmarkStart w:id="2" w:name="_Ref369247206"/>
      <w:r w:rsidRPr="00476D35">
        <w:rPr>
          <w:rFonts w:asciiTheme="majorEastAsia" w:eastAsiaTheme="majorEastAsia" w:hAnsiTheme="majorEastAsia"/>
          <w:b/>
          <w:sz w:val="24"/>
          <w:szCs w:val="24"/>
        </w:rPr>
        <w:t>图</w:t>
      </w:r>
      <w:r w:rsidRPr="00476D35">
        <w:rPr>
          <w:rFonts w:asciiTheme="majorEastAsia" w:eastAsiaTheme="majorEastAsia" w:hAnsiTheme="majorEastAsia" w:hint="eastAsia"/>
          <w:b/>
          <w:sz w:val="24"/>
          <w:szCs w:val="24"/>
        </w:rPr>
        <w:t xml:space="preserve">1 </w:t>
      </w:r>
      <w:bookmarkEnd w:id="1"/>
      <w:bookmarkEnd w:id="2"/>
      <w:r w:rsidRPr="00476D35">
        <w:rPr>
          <w:rFonts w:asciiTheme="majorEastAsia" w:eastAsiaTheme="majorEastAsia" w:hAnsiTheme="majorEastAsia"/>
          <w:b/>
          <w:sz w:val="24"/>
          <w:szCs w:val="24"/>
        </w:rPr>
        <w:t xml:space="preserve"> </w:t>
      </w:r>
      <w:r w:rsidR="003C4B48" w:rsidRPr="00476D35">
        <w:rPr>
          <w:rFonts w:asciiTheme="majorEastAsia" w:eastAsiaTheme="majorEastAsia" w:hAnsiTheme="majorEastAsia" w:hint="eastAsia"/>
          <w:b/>
          <w:sz w:val="24"/>
          <w:szCs w:val="24"/>
        </w:rPr>
        <w:t>抽能高压并联电抗器保护系统</w:t>
      </w:r>
      <w:r w:rsidR="00DE5FFF">
        <w:rPr>
          <w:rFonts w:asciiTheme="majorEastAsia" w:eastAsiaTheme="majorEastAsia" w:hAnsiTheme="majorEastAsia" w:hint="eastAsia"/>
          <w:b/>
          <w:sz w:val="24"/>
          <w:szCs w:val="24"/>
        </w:rPr>
        <w:t>配置</w:t>
      </w:r>
      <w:r w:rsidR="003C4B48" w:rsidRPr="00476D35">
        <w:rPr>
          <w:rFonts w:asciiTheme="majorEastAsia" w:eastAsiaTheme="majorEastAsia" w:hAnsiTheme="majorEastAsia" w:hint="eastAsia"/>
          <w:b/>
          <w:sz w:val="24"/>
          <w:szCs w:val="24"/>
        </w:rPr>
        <w:t>图</w:t>
      </w:r>
    </w:p>
    <w:p w:rsidR="0064235F" w:rsidRPr="00476D35" w:rsidRDefault="00476D35" w:rsidP="000F197B">
      <w:pPr>
        <w:pStyle w:val="2"/>
        <w:rPr>
          <w:sz w:val="28"/>
          <w:szCs w:val="28"/>
        </w:rPr>
      </w:pPr>
      <w:r>
        <w:rPr>
          <w:rFonts w:hint="eastAsia"/>
          <w:sz w:val="28"/>
          <w:szCs w:val="28"/>
        </w:rPr>
        <w:t>技术特征</w:t>
      </w:r>
      <w:r w:rsidR="0064235F" w:rsidRPr="00476D35">
        <w:rPr>
          <w:rFonts w:hint="eastAsia"/>
          <w:sz w:val="28"/>
          <w:szCs w:val="28"/>
        </w:rPr>
        <w:t>：</w:t>
      </w:r>
    </w:p>
    <w:p w:rsidR="00D660D6" w:rsidRPr="00D660D6" w:rsidRDefault="00711EC8" w:rsidP="00D660D6">
      <w:pPr>
        <w:pStyle w:val="a6"/>
        <w:numPr>
          <w:ilvl w:val="0"/>
          <w:numId w:val="6"/>
        </w:numPr>
        <w:spacing w:line="360" w:lineRule="exact"/>
        <w:ind w:firstLineChars="0"/>
        <w:rPr>
          <w:rFonts w:asciiTheme="minorEastAsia" w:hAnsiTheme="minorEastAsia"/>
          <w:sz w:val="24"/>
          <w:szCs w:val="24"/>
        </w:rPr>
      </w:pPr>
      <w:r>
        <w:rPr>
          <w:rFonts w:asciiTheme="minorEastAsia" w:hAnsiTheme="minorEastAsia" w:hint="eastAsia"/>
          <w:sz w:val="24"/>
          <w:szCs w:val="24"/>
        </w:rPr>
        <w:t>保护</w:t>
      </w:r>
      <w:r w:rsidR="00D660D6" w:rsidRPr="00D660D6">
        <w:rPr>
          <w:rFonts w:asciiTheme="minorEastAsia" w:hAnsiTheme="minorEastAsia" w:hint="eastAsia"/>
          <w:sz w:val="24"/>
          <w:szCs w:val="24"/>
        </w:rPr>
        <w:t>具备谐波闭锁及定值免整定功能的抽能电抗器弱耦合差动保护</w:t>
      </w:r>
      <w:r>
        <w:rPr>
          <w:rFonts w:asciiTheme="minorEastAsia" w:hAnsiTheme="minorEastAsia" w:hint="eastAsia"/>
          <w:sz w:val="24"/>
          <w:szCs w:val="24"/>
        </w:rPr>
        <w:t>功能</w:t>
      </w:r>
      <w:r w:rsidR="00D660D6" w:rsidRPr="00D660D6">
        <w:rPr>
          <w:rFonts w:asciiTheme="minorEastAsia" w:hAnsiTheme="minorEastAsia" w:hint="eastAsia"/>
          <w:sz w:val="24"/>
          <w:szCs w:val="24"/>
        </w:rPr>
        <w:t>。</w:t>
      </w:r>
    </w:p>
    <w:p w:rsidR="00D660D6" w:rsidRPr="00D660D6" w:rsidRDefault="00D660D6" w:rsidP="00D660D6">
      <w:pPr>
        <w:pStyle w:val="a6"/>
        <w:numPr>
          <w:ilvl w:val="0"/>
          <w:numId w:val="6"/>
        </w:numPr>
        <w:spacing w:line="360" w:lineRule="exact"/>
        <w:ind w:firstLineChars="0"/>
        <w:rPr>
          <w:rFonts w:asciiTheme="minorEastAsia" w:hAnsiTheme="minorEastAsia"/>
          <w:sz w:val="24"/>
          <w:szCs w:val="24"/>
        </w:rPr>
      </w:pPr>
      <w:r w:rsidRPr="00D660D6">
        <w:rPr>
          <w:rFonts w:asciiTheme="minorEastAsia" w:hAnsiTheme="minorEastAsia" w:hint="eastAsia"/>
          <w:sz w:val="24"/>
          <w:szCs w:val="24"/>
        </w:rPr>
        <w:t>首次提出了具有抽能侧区内外故障识别功能的容错复判自适应匝间保护</w:t>
      </w:r>
      <w:r w:rsidR="00711EC8">
        <w:rPr>
          <w:rFonts w:asciiTheme="minorEastAsia" w:hAnsiTheme="minorEastAsia" w:hint="eastAsia"/>
          <w:sz w:val="24"/>
          <w:szCs w:val="24"/>
        </w:rPr>
        <w:t>功能</w:t>
      </w:r>
      <w:r w:rsidRPr="00D660D6">
        <w:rPr>
          <w:rFonts w:asciiTheme="minorEastAsia" w:hAnsiTheme="minorEastAsia" w:hint="eastAsia"/>
          <w:sz w:val="24"/>
          <w:szCs w:val="24"/>
        </w:rPr>
        <w:t>。</w:t>
      </w:r>
    </w:p>
    <w:p w:rsidR="00D660D6" w:rsidRPr="00D660D6" w:rsidRDefault="00D660D6" w:rsidP="00D660D6">
      <w:pPr>
        <w:pStyle w:val="a6"/>
        <w:numPr>
          <w:ilvl w:val="0"/>
          <w:numId w:val="6"/>
        </w:numPr>
        <w:spacing w:line="360" w:lineRule="exact"/>
        <w:ind w:firstLineChars="0"/>
        <w:rPr>
          <w:rFonts w:asciiTheme="minorEastAsia" w:hAnsiTheme="minorEastAsia"/>
          <w:sz w:val="24"/>
          <w:szCs w:val="24"/>
        </w:rPr>
      </w:pPr>
      <w:r w:rsidRPr="00D660D6">
        <w:rPr>
          <w:rFonts w:asciiTheme="minorEastAsia" w:hAnsiTheme="minorEastAsia" w:hint="eastAsia"/>
          <w:sz w:val="24"/>
          <w:szCs w:val="24"/>
        </w:rPr>
        <w:t>构建高压侧零序电压与抽能绕组零序电流的比值关系K值，首次提出了具有K值闭锁功能的抽能绕组匝间保护。</w:t>
      </w:r>
    </w:p>
    <w:p w:rsidR="00D660D6" w:rsidRPr="00D660D6" w:rsidRDefault="00D660D6" w:rsidP="00D660D6">
      <w:pPr>
        <w:pStyle w:val="a6"/>
        <w:numPr>
          <w:ilvl w:val="0"/>
          <w:numId w:val="6"/>
        </w:numPr>
        <w:spacing w:line="360" w:lineRule="exact"/>
        <w:ind w:firstLineChars="0"/>
        <w:rPr>
          <w:rFonts w:asciiTheme="minorEastAsia" w:hAnsiTheme="minorEastAsia"/>
          <w:sz w:val="24"/>
          <w:szCs w:val="24"/>
        </w:rPr>
      </w:pPr>
      <w:r w:rsidRPr="00D660D6">
        <w:rPr>
          <w:rFonts w:asciiTheme="minorEastAsia" w:hAnsiTheme="minorEastAsia" w:hint="eastAsia"/>
          <w:sz w:val="24"/>
          <w:szCs w:val="24"/>
        </w:rPr>
        <w:t>首次提出了不受系统侧扰动影响的抽能侧转角过流保护及不转角过流保护。</w:t>
      </w:r>
    </w:p>
    <w:p w:rsidR="0064235F" w:rsidRPr="00476D35" w:rsidRDefault="00282AF2" w:rsidP="000F197B">
      <w:pPr>
        <w:pStyle w:val="2"/>
        <w:rPr>
          <w:sz w:val="28"/>
          <w:szCs w:val="28"/>
        </w:rPr>
      </w:pPr>
      <w:r>
        <w:rPr>
          <w:rFonts w:hint="eastAsia"/>
          <w:sz w:val="28"/>
          <w:szCs w:val="28"/>
        </w:rPr>
        <w:t>成果及</w:t>
      </w:r>
      <w:r w:rsidR="0064235F" w:rsidRPr="00476D35">
        <w:rPr>
          <w:rFonts w:hint="eastAsia"/>
          <w:sz w:val="28"/>
          <w:szCs w:val="28"/>
        </w:rPr>
        <w:t>工程应用：</w:t>
      </w:r>
    </w:p>
    <w:p w:rsidR="00B941C3" w:rsidRDefault="00780028" w:rsidP="00973A11">
      <w:pPr>
        <w:spacing w:line="360" w:lineRule="exact"/>
        <w:ind w:firstLine="420"/>
        <w:rPr>
          <w:rFonts w:asciiTheme="minorEastAsia" w:hAnsiTheme="minorEastAsia"/>
          <w:sz w:val="24"/>
          <w:szCs w:val="24"/>
        </w:rPr>
      </w:pPr>
      <w:r w:rsidRPr="00973A11">
        <w:rPr>
          <w:rFonts w:asciiTheme="minorEastAsia" w:hAnsiTheme="minorEastAsia" w:hint="eastAsia"/>
          <w:sz w:val="24"/>
          <w:szCs w:val="24"/>
        </w:rPr>
        <w:t>北京四方公司的超高压抽能高抗保护</w:t>
      </w:r>
      <w:r w:rsidR="009778B9" w:rsidRPr="00973A11">
        <w:rPr>
          <w:rFonts w:asciiTheme="minorEastAsia" w:hAnsiTheme="minorEastAsia" w:hint="eastAsia"/>
          <w:sz w:val="24"/>
          <w:szCs w:val="24"/>
        </w:rPr>
        <w:t>设备</w:t>
      </w:r>
      <w:r w:rsidRPr="00973A11">
        <w:rPr>
          <w:rFonts w:asciiTheme="minorEastAsia" w:hAnsiTheme="minorEastAsia" w:hint="eastAsia"/>
          <w:sz w:val="24"/>
          <w:szCs w:val="24"/>
        </w:rPr>
        <w:t>已</w:t>
      </w:r>
      <w:r w:rsidR="00C24129" w:rsidRPr="00973A11">
        <w:rPr>
          <w:rFonts w:asciiTheme="minorEastAsia" w:hAnsiTheme="minorEastAsia" w:hint="eastAsia"/>
          <w:sz w:val="24"/>
          <w:szCs w:val="24"/>
        </w:rPr>
        <w:t>在</w:t>
      </w:r>
      <w:r w:rsidR="00DE0E7D">
        <w:rPr>
          <w:rFonts w:asciiTheme="minorEastAsia" w:hAnsiTheme="minorEastAsia" w:hint="eastAsia"/>
          <w:sz w:val="24"/>
          <w:szCs w:val="24"/>
        </w:rPr>
        <w:t>国内</w:t>
      </w:r>
      <w:r w:rsidR="00B941C3" w:rsidRPr="00973A11">
        <w:rPr>
          <w:rFonts w:asciiTheme="minorEastAsia" w:hAnsiTheme="minorEastAsia" w:hint="eastAsia"/>
          <w:sz w:val="24"/>
          <w:szCs w:val="24"/>
        </w:rPr>
        <w:t>多个项目中得到应用，涉及藏中联网、</w:t>
      </w:r>
      <w:r w:rsidR="004E575E" w:rsidRPr="00973A11">
        <w:rPr>
          <w:rFonts w:asciiTheme="minorEastAsia" w:hAnsiTheme="minorEastAsia" w:hint="eastAsia"/>
          <w:sz w:val="24"/>
          <w:szCs w:val="24"/>
        </w:rPr>
        <w:t>中国</w:t>
      </w:r>
      <w:r w:rsidR="00B941C3" w:rsidRPr="00973A11">
        <w:rPr>
          <w:rFonts w:asciiTheme="minorEastAsia" w:hAnsiTheme="minorEastAsia" w:hint="eastAsia"/>
          <w:sz w:val="24"/>
          <w:szCs w:val="24"/>
        </w:rPr>
        <w:t>-老挝联网及南方主网和海南电网联网等重大</w:t>
      </w:r>
      <w:r w:rsidR="00D55D81">
        <w:rPr>
          <w:rFonts w:asciiTheme="minorEastAsia" w:hAnsiTheme="minorEastAsia" w:hint="eastAsia"/>
          <w:sz w:val="24"/>
          <w:szCs w:val="24"/>
        </w:rPr>
        <w:t>工程</w:t>
      </w:r>
      <w:r w:rsidR="00B941C3" w:rsidRPr="00973A11">
        <w:rPr>
          <w:rFonts w:asciiTheme="minorEastAsia" w:hAnsiTheme="minorEastAsia" w:hint="eastAsia"/>
          <w:sz w:val="24"/>
          <w:szCs w:val="24"/>
        </w:rPr>
        <w:t>。设备</w:t>
      </w:r>
      <w:r w:rsidRPr="00973A11">
        <w:rPr>
          <w:rFonts w:asciiTheme="minorEastAsia" w:hAnsiTheme="minorEastAsia" w:hint="eastAsia"/>
          <w:sz w:val="24"/>
          <w:szCs w:val="24"/>
        </w:rPr>
        <w:t>自投运以来，</w:t>
      </w:r>
      <w:r w:rsidR="00D55D81">
        <w:rPr>
          <w:rFonts w:asciiTheme="minorEastAsia" w:hAnsiTheme="minorEastAsia" w:hint="eastAsia"/>
          <w:sz w:val="24"/>
          <w:szCs w:val="24"/>
        </w:rPr>
        <w:t>未发生任何</w:t>
      </w:r>
      <w:r w:rsidR="002A7B8B">
        <w:rPr>
          <w:rFonts w:asciiTheme="minorEastAsia" w:hAnsiTheme="minorEastAsia" w:hint="eastAsia"/>
          <w:sz w:val="24"/>
          <w:szCs w:val="24"/>
        </w:rPr>
        <w:t>异常</w:t>
      </w:r>
      <w:r w:rsidR="00D55D81">
        <w:rPr>
          <w:rFonts w:asciiTheme="minorEastAsia" w:hAnsiTheme="minorEastAsia" w:hint="eastAsia"/>
          <w:sz w:val="24"/>
          <w:szCs w:val="24"/>
        </w:rPr>
        <w:t>情况</w:t>
      </w:r>
      <w:r w:rsidR="002A7B8B">
        <w:rPr>
          <w:rFonts w:asciiTheme="minorEastAsia" w:hAnsiTheme="minorEastAsia" w:hint="eastAsia"/>
          <w:sz w:val="24"/>
          <w:szCs w:val="24"/>
        </w:rPr>
        <w:t>，</w:t>
      </w:r>
      <w:r w:rsidR="002A7B8B" w:rsidRPr="00973A11">
        <w:rPr>
          <w:rFonts w:asciiTheme="minorEastAsia" w:hAnsiTheme="minorEastAsia" w:hint="eastAsia"/>
          <w:sz w:val="24"/>
          <w:szCs w:val="24"/>
        </w:rPr>
        <w:t>运行</w:t>
      </w:r>
      <w:r w:rsidR="002A7B8B">
        <w:rPr>
          <w:rFonts w:asciiTheme="minorEastAsia" w:hAnsiTheme="minorEastAsia" w:hint="eastAsia"/>
          <w:sz w:val="24"/>
          <w:szCs w:val="24"/>
        </w:rPr>
        <w:t>状态</w:t>
      </w:r>
      <w:r w:rsidR="002A7B8B" w:rsidRPr="00973A11">
        <w:rPr>
          <w:rFonts w:asciiTheme="minorEastAsia" w:hAnsiTheme="minorEastAsia" w:hint="eastAsia"/>
          <w:sz w:val="24"/>
          <w:szCs w:val="24"/>
        </w:rPr>
        <w:t>稳定、可靠</w:t>
      </w:r>
      <w:r w:rsidR="00B941C3" w:rsidRPr="00973A11">
        <w:rPr>
          <w:rFonts w:asciiTheme="minorEastAsia" w:hAnsiTheme="minorEastAsia" w:hint="eastAsia"/>
          <w:sz w:val="24"/>
          <w:szCs w:val="24"/>
        </w:rPr>
        <w:t>。</w:t>
      </w:r>
    </w:p>
    <w:p w:rsidR="00973A11" w:rsidRPr="002A7B8B" w:rsidRDefault="00973A11" w:rsidP="00973A11">
      <w:pPr>
        <w:spacing w:line="360" w:lineRule="exact"/>
        <w:ind w:firstLine="420"/>
        <w:rPr>
          <w:rFonts w:asciiTheme="minorEastAsia" w:hAnsiTheme="minorEastAsia"/>
          <w:sz w:val="24"/>
          <w:szCs w:val="24"/>
        </w:rPr>
      </w:pPr>
    </w:p>
    <w:p w:rsidR="00973A11" w:rsidRDefault="00973A11" w:rsidP="00973A11">
      <w:pPr>
        <w:spacing w:line="360" w:lineRule="exact"/>
        <w:ind w:firstLine="420"/>
        <w:rPr>
          <w:rFonts w:asciiTheme="minorEastAsia" w:hAnsiTheme="minorEastAsia"/>
          <w:sz w:val="24"/>
          <w:szCs w:val="24"/>
        </w:rPr>
      </w:pPr>
    </w:p>
    <w:p w:rsidR="00973A11" w:rsidRDefault="00973A11" w:rsidP="00973A11">
      <w:pPr>
        <w:spacing w:line="360" w:lineRule="exact"/>
        <w:ind w:firstLine="420"/>
        <w:rPr>
          <w:rFonts w:asciiTheme="minorEastAsia" w:hAnsiTheme="minorEastAsia"/>
          <w:sz w:val="24"/>
          <w:szCs w:val="24"/>
        </w:rPr>
      </w:pPr>
    </w:p>
    <w:p w:rsidR="00973A11" w:rsidRDefault="00973A11" w:rsidP="00973A11">
      <w:pPr>
        <w:spacing w:line="360" w:lineRule="exact"/>
        <w:ind w:firstLine="420"/>
        <w:rPr>
          <w:rFonts w:asciiTheme="minorEastAsia" w:hAnsiTheme="minorEastAsia"/>
          <w:sz w:val="24"/>
          <w:szCs w:val="24"/>
        </w:rPr>
      </w:pPr>
    </w:p>
    <w:p w:rsidR="00973A11" w:rsidRDefault="00973A11" w:rsidP="00973A11">
      <w:pPr>
        <w:spacing w:line="360" w:lineRule="exact"/>
        <w:ind w:firstLine="420"/>
        <w:rPr>
          <w:rFonts w:asciiTheme="minorEastAsia" w:hAnsiTheme="minorEastAsia"/>
          <w:sz w:val="24"/>
          <w:szCs w:val="24"/>
        </w:rPr>
      </w:pPr>
    </w:p>
    <w:p w:rsidR="00C24129" w:rsidRDefault="00C24129" w:rsidP="00973A11">
      <w:pPr>
        <w:spacing w:line="360" w:lineRule="exact"/>
        <w:ind w:firstLineChars="200" w:firstLine="480"/>
        <w:rPr>
          <w:b/>
          <w:sz w:val="24"/>
          <w:szCs w:val="24"/>
        </w:rPr>
      </w:pPr>
      <w:r w:rsidRPr="002D62CD">
        <w:rPr>
          <w:rFonts w:asciiTheme="minorEastAsia" w:eastAsia="宋体" w:hAnsiTheme="minorEastAsia" w:cs="宋体"/>
          <w:noProof/>
          <w:kern w:val="0"/>
          <w:sz w:val="24"/>
          <w:szCs w:val="24"/>
        </w:rPr>
        <w:lastRenderedPageBreak/>
        <w:drawing>
          <wp:anchor distT="0" distB="0" distL="114300" distR="114300" simplePos="0" relativeHeight="251660288" behindDoc="0" locked="0" layoutInCell="1" allowOverlap="1" wp14:anchorId="192E0B91" wp14:editId="167E7758">
            <wp:simplePos x="0" y="0"/>
            <wp:positionH relativeFrom="column">
              <wp:posOffset>2519045</wp:posOffset>
            </wp:positionH>
            <wp:positionV relativeFrom="paragraph">
              <wp:posOffset>-207010</wp:posOffset>
            </wp:positionV>
            <wp:extent cx="2992120" cy="2077720"/>
            <wp:effectExtent l="0" t="0" r="0" b="0"/>
            <wp:wrapNone/>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2992120" cy="2077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D20EE97" wp14:editId="336DDFC3">
            <wp:simplePos x="0" y="0"/>
            <wp:positionH relativeFrom="column">
              <wp:posOffset>-32360</wp:posOffset>
            </wp:positionH>
            <wp:positionV relativeFrom="paragraph">
              <wp:posOffset>100965</wp:posOffset>
            </wp:positionV>
            <wp:extent cx="2483485" cy="173863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83485" cy="1738630"/>
                    </a:xfrm>
                    <a:prstGeom prst="rect">
                      <a:avLst/>
                    </a:prstGeom>
                  </pic:spPr>
                </pic:pic>
              </a:graphicData>
            </a:graphic>
            <wp14:sizeRelH relativeFrom="margin">
              <wp14:pctWidth>0</wp14:pctWidth>
            </wp14:sizeRelH>
            <wp14:sizeRelV relativeFrom="margin">
              <wp14:pctHeight>0</wp14:pctHeight>
            </wp14:sizeRelV>
          </wp:anchor>
        </w:drawing>
      </w:r>
    </w:p>
    <w:p w:rsidR="00C24129" w:rsidRPr="00476D35" w:rsidRDefault="00C24129" w:rsidP="00476D35">
      <w:pPr>
        <w:spacing w:line="360" w:lineRule="exact"/>
        <w:ind w:firstLineChars="200" w:firstLine="482"/>
        <w:rPr>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DB0603" w:rsidP="009778B9">
      <w:pPr>
        <w:snapToGrid w:val="0"/>
        <w:jc w:val="center"/>
        <w:rPr>
          <w:rFonts w:asciiTheme="majorEastAsia" w:eastAsiaTheme="majorEastAsia" w:hAnsiTheme="majorEastAsia"/>
          <w:b/>
          <w:sz w:val="24"/>
          <w:szCs w:val="24"/>
        </w:rPr>
      </w:pPr>
      <w:r>
        <w:rPr>
          <w:rFonts w:asciiTheme="majorEastAsia" w:eastAsiaTheme="majorEastAsia" w:hAnsiTheme="majorEastAsia"/>
          <w:b/>
          <w:noProof/>
          <w:sz w:val="24"/>
          <w:szCs w:val="24"/>
        </w:rPr>
        <w:drawing>
          <wp:anchor distT="0" distB="0" distL="114300" distR="114300" simplePos="0" relativeHeight="251661312" behindDoc="0" locked="0" layoutInCell="1" allowOverlap="1" wp14:anchorId="4884B8E0" wp14:editId="26B54012">
            <wp:simplePos x="0" y="0"/>
            <wp:positionH relativeFrom="column">
              <wp:posOffset>4419600</wp:posOffset>
            </wp:positionH>
            <wp:positionV relativeFrom="paragraph">
              <wp:posOffset>73660</wp:posOffset>
            </wp:positionV>
            <wp:extent cx="1085850" cy="730861"/>
            <wp:effectExtent l="0" t="0" r="0" b="0"/>
            <wp:wrapNone/>
            <wp:docPr id="2" name="图片 2" descr="D:\高压产品线\2019年\3月\新品鉴定\新品鉴定-高压保护\抽能高抗\IMG_20190412_130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高压产品线\2019年\3月\新品鉴定\新品鉴定-高压保护\抽能高抗\IMG_20190412_130126.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573" t="16144" r="8137" b="11807"/>
                    <a:stretch/>
                  </pic:blipFill>
                  <pic:spPr bwMode="auto">
                    <a:xfrm>
                      <a:off x="0" y="0"/>
                      <a:ext cx="1089660" cy="733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973A11" w:rsidRDefault="00973A11"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r w:rsidRPr="00DC2B03">
        <w:rPr>
          <w:rFonts w:asciiTheme="majorEastAsia" w:eastAsiaTheme="majorEastAsia" w:hAnsiTheme="majorEastAsia" w:hint="eastAsia"/>
          <w:b/>
          <w:sz w:val="24"/>
          <w:szCs w:val="24"/>
        </w:rPr>
        <w:t xml:space="preserve">图2   </w:t>
      </w:r>
      <w:r w:rsidR="0004215B">
        <w:rPr>
          <w:rFonts w:asciiTheme="majorEastAsia" w:eastAsiaTheme="majorEastAsia" w:hAnsiTheme="majorEastAsia" w:hint="eastAsia"/>
          <w:b/>
          <w:sz w:val="24"/>
          <w:szCs w:val="24"/>
        </w:rPr>
        <w:t>抽能高抗保护及</w:t>
      </w:r>
      <w:r w:rsidRPr="00DC2B03">
        <w:rPr>
          <w:rFonts w:asciiTheme="majorEastAsia" w:eastAsiaTheme="majorEastAsia" w:hAnsiTheme="majorEastAsia" w:hint="eastAsia"/>
          <w:b/>
          <w:sz w:val="24"/>
          <w:szCs w:val="24"/>
        </w:rPr>
        <w:t>工程应用示例</w:t>
      </w: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C24129" w:rsidRDefault="00C24129" w:rsidP="009778B9">
      <w:pPr>
        <w:snapToGrid w:val="0"/>
        <w:jc w:val="center"/>
        <w:rPr>
          <w:rFonts w:asciiTheme="majorEastAsia" w:eastAsiaTheme="majorEastAsia" w:hAnsiTheme="majorEastAsia"/>
          <w:b/>
          <w:sz w:val="24"/>
          <w:szCs w:val="24"/>
        </w:rPr>
      </w:pPr>
    </w:p>
    <w:p w:rsidR="009778B9" w:rsidRPr="00476D35" w:rsidRDefault="009778B9" w:rsidP="009778B9">
      <w:pPr>
        <w:ind w:left="105" w:hangingChars="50" w:hanging="105"/>
        <w:rPr>
          <w:b/>
        </w:rPr>
      </w:pPr>
    </w:p>
    <w:p w:rsidR="00B941C3" w:rsidRPr="00476D35" w:rsidRDefault="00B941C3" w:rsidP="00B941C3">
      <w:pPr>
        <w:spacing w:line="360" w:lineRule="exact"/>
        <w:ind w:firstLine="420"/>
        <w:rPr>
          <w:b/>
        </w:rPr>
      </w:pPr>
    </w:p>
    <w:sectPr w:rsidR="00B941C3" w:rsidRPr="00476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1B3" w:rsidRDefault="00B151B3" w:rsidP="0003749B">
      <w:r>
        <w:separator/>
      </w:r>
    </w:p>
  </w:endnote>
  <w:endnote w:type="continuationSeparator" w:id="0">
    <w:p w:rsidR="00B151B3" w:rsidRDefault="00B151B3" w:rsidP="0003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1B3" w:rsidRDefault="00B151B3" w:rsidP="0003749B">
      <w:r>
        <w:separator/>
      </w:r>
    </w:p>
  </w:footnote>
  <w:footnote w:type="continuationSeparator" w:id="0">
    <w:p w:rsidR="00B151B3" w:rsidRDefault="00B151B3" w:rsidP="00037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367BA"/>
    <w:multiLevelType w:val="hybridMultilevel"/>
    <w:tmpl w:val="143814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EC43AD"/>
    <w:multiLevelType w:val="hybridMultilevel"/>
    <w:tmpl w:val="C8AAB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935246"/>
    <w:multiLevelType w:val="hybridMultilevel"/>
    <w:tmpl w:val="27FE958A"/>
    <w:lvl w:ilvl="0" w:tplc="D694A29C">
      <w:start w:val="1"/>
      <w:numFmt w:val="decimal"/>
      <w:lvlText w:val="%1."/>
      <w:lvlJc w:val="left"/>
      <w:pPr>
        <w:ind w:left="163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EC320F"/>
    <w:multiLevelType w:val="hybridMultilevel"/>
    <w:tmpl w:val="6DE8F7F2"/>
    <w:lvl w:ilvl="0" w:tplc="0409000F">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FDF275C"/>
    <w:multiLevelType w:val="hybridMultilevel"/>
    <w:tmpl w:val="59EC3566"/>
    <w:lvl w:ilvl="0" w:tplc="CD3CF84E">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2DE35A3"/>
    <w:multiLevelType w:val="hybridMultilevel"/>
    <w:tmpl w:val="ADA8A124"/>
    <w:lvl w:ilvl="0" w:tplc="D694A29C">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9C"/>
    <w:rsid w:val="0003749B"/>
    <w:rsid w:val="0004215B"/>
    <w:rsid w:val="000966C2"/>
    <w:rsid w:val="000A4842"/>
    <w:rsid w:val="000F197B"/>
    <w:rsid w:val="00116861"/>
    <w:rsid w:val="00147E7B"/>
    <w:rsid w:val="00172DAD"/>
    <w:rsid w:val="001A33D7"/>
    <w:rsid w:val="001D3F9D"/>
    <w:rsid w:val="0023275D"/>
    <w:rsid w:val="0024364B"/>
    <w:rsid w:val="002662D3"/>
    <w:rsid w:val="00282AF2"/>
    <w:rsid w:val="002A7B8B"/>
    <w:rsid w:val="002B1A03"/>
    <w:rsid w:val="002D0A70"/>
    <w:rsid w:val="00341ECD"/>
    <w:rsid w:val="003668CC"/>
    <w:rsid w:val="003C4B48"/>
    <w:rsid w:val="003C7D35"/>
    <w:rsid w:val="00442DB7"/>
    <w:rsid w:val="00462A70"/>
    <w:rsid w:val="00476D35"/>
    <w:rsid w:val="00486DDD"/>
    <w:rsid w:val="004A7A64"/>
    <w:rsid w:val="004E575E"/>
    <w:rsid w:val="00530538"/>
    <w:rsid w:val="00607912"/>
    <w:rsid w:val="0064235F"/>
    <w:rsid w:val="00644FE6"/>
    <w:rsid w:val="00711EC8"/>
    <w:rsid w:val="00751578"/>
    <w:rsid w:val="00780028"/>
    <w:rsid w:val="007B5398"/>
    <w:rsid w:val="007D7CB9"/>
    <w:rsid w:val="00844DCB"/>
    <w:rsid w:val="00861049"/>
    <w:rsid w:val="008D3699"/>
    <w:rsid w:val="008D4C16"/>
    <w:rsid w:val="00956F79"/>
    <w:rsid w:val="00973A11"/>
    <w:rsid w:val="009778B9"/>
    <w:rsid w:val="00991ACF"/>
    <w:rsid w:val="009B2BA0"/>
    <w:rsid w:val="009C7F45"/>
    <w:rsid w:val="009F318F"/>
    <w:rsid w:val="00A37CCB"/>
    <w:rsid w:val="00A51496"/>
    <w:rsid w:val="00AA01B0"/>
    <w:rsid w:val="00AA4EC1"/>
    <w:rsid w:val="00AA6DDE"/>
    <w:rsid w:val="00AB3977"/>
    <w:rsid w:val="00AE1585"/>
    <w:rsid w:val="00B151B3"/>
    <w:rsid w:val="00B3440C"/>
    <w:rsid w:val="00B603C7"/>
    <w:rsid w:val="00B81B7E"/>
    <w:rsid w:val="00B941C3"/>
    <w:rsid w:val="00BC05FA"/>
    <w:rsid w:val="00BE3D45"/>
    <w:rsid w:val="00C130B2"/>
    <w:rsid w:val="00C24129"/>
    <w:rsid w:val="00C5089C"/>
    <w:rsid w:val="00C92087"/>
    <w:rsid w:val="00CB0CB4"/>
    <w:rsid w:val="00CD64F3"/>
    <w:rsid w:val="00CE1CDF"/>
    <w:rsid w:val="00CF48B6"/>
    <w:rsid w:val="00D55D81"/>
    <w:rsid w:val="00D660D6"/>
    <w:rsid w:val="00DB0603"/>
    <w:rsid w:val="00DD592D"/>
    <w:rsid w:val="00DE0755"/>
    <w:rsid w:val="00DE0E7D"/>
    <w:rsid w:val="00DE5FFF"/>
    <w:rsid w:val="00E46AE2"/>
    <w:rsid w:val="00F014E7"/>
    <w:rsid w:val="00F27263"/>
    <w:rsid w:val="00F512AA"/>
    <w:rsid w:val="00F74C2A"/>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49B"/>
    <w:pPr>
      <w:widowControl w:val="0"/>
      <w:jc w:val="both"/>
    </w:pPr>
  </w:style>
  <w:style w:type="paragraph" w:styleId="1">
    <w:name w:val="heading 1"/>
    <w:basedOn w:val="a"/>
    <w:next w:val="a"/>
    <w:link w:val="1Char"/>
    <w:uiPriority w:val="9"/>
    <w:qFormat/>
    <w:rsid w:val="000F19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19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49B"/>
    <w:rPr>
      <w:sz w:val="18"/>
      <w:szCs w:val="18"/>
    </w:rPr>
  </w:style>
  <w:style w:type="paragraph" w:styleId="a4">
    <w:name w:val="footer"/>
    <w:basedOn w:val="a"/>
    <w:link w:val="Char0"/>
    <w:uiPriority w:val="99"/>
    <w:unhideWhenUsed/>
    <w:rsid w:val="0003749B"/>
    <w:pPr>
      <w:tabs>
        <w:tab w:val="center" w:pos="4153"/>
        <w:tab w:val="right" w:pos="8306"/>
      </w:tabs>
      <w:snapToGrid w:val="0"/>
      <w:jc w:val="left"/>
    </w:pPr>
    <w:rPr>
      <w:sz w:val="18"/>
      <w:szCs w:val="18"/>
    </w:rPr>
  </w:style>
  <w:style w:type="character" w:customStyle="1" w:styleId="Char0">
    <w:name w:val="页脚 Char"/>
    <w:basedOn w:val="a0"/>
    <w:link w:val="a4"/>
    <w:uiPriority w:val="99"/>
    <w:rsid w:val="0003749B"/>
    <w:rPr>
      <w:sz w:val="18"/>
      <w:szCs w:val="18"/>
    </w:rPr>
  </w:style>
  <w:style w:type="table" w:styleId="a5">
    <w:name w:val="Table Grid"/>
    <w:basedOn w:val="a1"/>
    <w:uiPriority w:val="59"/>
    <w:rsid w:val="00037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3749B"/>
    <w:pPr>
      <w:ind w:firstLineChars="200" w:firstLine="420"/>
    </w:pPr>
  </w:style>
  <w:style w:type="character" w:customStyle="1" w:styleId="1Char">
    <w:name w:val="标题 1 Char"/>
    <w:basedOn w:val="a0"/>
    <w:link w:val="1"/>
    <w:uiPriority w:val="9"/>
    <w:rsid w:val="000F197B"/>
    <w:rPr>
      <w:b/>
      <w:bCs/>
      <w:kern w:val="44"/>
      <w:sz w:val="44"/>
      <w:szCs w:val="44"/>
    </w:rPr>
  </w:style>
  <w:style w:type="character" w:customStyle="1" w:styleId="2Char">
    <w:name w:val="标题 2 Char"/>
    <w:basedOn w:val="a0"/>
    <w:link w:val="2"/>
    <w:uiPriority w:val="9"/>
    <w:rsid w:val="000F197B"/>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3668CC"/>
    <w:rPr>
      <w:sz w:val="18"/>
      <w:szCs w:val="18"/>
    </w:rPr>
  </w:style>
  <w:style w:type="character" w:customStyle="1" w:styleId="Char1">
    <w:name w:val="批注框文本 Char"/>
    <w:basedOn w:val="a0"/>
    <w:link w:val="a7"/>
    <w:uiPriority w:val="99"/>
    <w:semiHidden/>
    <w:rsid w:val="003668CC"/>
    <w:rPr>
      <w:sz w:val="18"/>
      <w:szCs w:val="18"/>
    </w:rPr>
  </w:style>
  <w:style w:type="paragraph" w:styleId="a8">
    <w:name w:val="Normal (Web)"/>
    <w:basedOn w:val="a"/>
    <w:uiPriority w:val="99"/>
    <w:semiHidden/>
    <w:unhideWhenUsed/>
    <w:rsid w:val="003C4B4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49B"/>
    <w:pPr>
      <w:widowControl w:val="0"/>
      <w:jc w:val="both"/>
    </w:pPr>
  </w:style>
  <w:style w:type="paragraph" w:styleId="1">
    <w:name w:val="heading 1"/>
    <w:basedOn w:val="a"/>
    <w:next w:val="a"/>
    <w:link w:val="1Char"/>
    <w:uiPriority w:val="9"/>
    <w:qFormat/>
    <w:rsid w:val="000F19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19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49B"/>
    <w:rPr>
      <w:sz w:val="18"/>
      <w:szCs w:val="18"/>
    </w:rPr>
  </w:style>
  <w:style w:type="paragraph" w:styleId="a4">
    <w:name w:val="footer"/>
    <w:basedOn w:val="a"/>
    <w:link w:val="Char0"/>
    <w:uiPriority w:val="99"/>
    <w:unhideWhenUsed/>
    <w:rsid w:val="0003749B"/>
    <w:pPr>
      <w:tabs>
        <w:tab w:val="center" w:pos="4153"/>
        <w:tab w:val="right" w:pos="8306"/>
      </w:tabs>
      <w:snapToGrid w:val="0"/>
      <w:jc w:val="left"/>
    </w:pPr>
    <w:rPr>
      <w:sz w:val="18"/>
      <w:szCs w:val="18"/>
    </w:rPr>
  </w:style>
  <w:style w:type="character" w:customStyle="1" w:styleId="Char0">
    <w:name w:val="页脚 Char"/>
    <w:basedOn w:val="a0"/>
    <w:link w:val="a4"/>
    <w:uiPriority w:val="99"/>
    <w:rsid w:val="0003749B"/>
    <w:rPr>
      <w:sz w:val="18"/>
      <w:szCs w:val="18"/>
    </w:rPr>
  </w:style>
  <w:style w:type="table" w:styleId="a5">
    <w:name w:val="Table Grid"/>
    <w:basedOn w:val="a1"/>
    <w:uiPriority w:val="59"/>
    <w:rsid w:val="00037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3749B"/>
    <w:pPr>
      <w:ind w:firstLineChars="200" w:firstLine="420"/>
    </w:pPr>
  </w:style>
  <w:style w:type="character" w:customStyle="1" w:styleId="1Char">
    <w:name w:val="标题 1 Char"/>
    <w:basedOn w:val="a0"/>
    <w:link w:val="1"/>
    <w:uiPriority w:val="9"/>
    <w:rsid w:val="000F197B"/>
    <w:rPr>
      <w:b/>
      <w:bCs/>
      <w:kern w:val="44"/>
      <w:sz w:val="44"/>
      <w:szCs w:val="44"/>
    </w:rPr>
  </w:style>
  <w:style w:type="character" w:customStyle="1" w:styleId="2Char">
    <w:name w:val="标题 2 Char"/>
    <w:basedOn w:val="a0"/>
    <w:link w:val="2"/>
    <w:uiPriority w:val="9"/>
    <w:rsid w:val="000F197B"/>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3668CC"/>
    <w:rPr>
      <w:sz w:val="18"/>
      <w:szCs w:val="18"/>
    </w:rPr>
  </w:style>
  <w:style w:type="character" w:customStyle="1" w:styleId="Char1">
    <w:name w:val="批注框文本 Char"/>
    <w:basedOn w:val="a0"/>
    <w:link w:val="a7"/>
    <w:uiPriority w:val="99"/>
    <w:semiHidden/>
    <w:rsid w:val="003668CC"/>
    <w:rPr>
      <w:sz w:val="18"/>
      <w:szCs w:val="18"/>
    </w:rPr>
  </w:style>
  <w:style w:type="paragraph" w:styleId="a8">
    <w:name w:val="Normal (Web)"/>
    <w:basedOn w:val="a"/>
    <w:uiPriority w:val="99"/>
    <w:semiHidden/>
    <w:unhideWhenUsed/>
    <w:rsid w:val="003C4B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3905">
      <w:bodyDiv w:val="1"/>
      <w:marLeft w:val="0"/>
      <w:marRight w:val="0"/>
      <w:marTop w:val="0"/>
      <w:marBottom w:val="0"/>
      <w:divBdr>
        <w:top w:val="none" w:sz="0" w:space="0" w:color="auto"/>
        <w:left w:val="none" w:sz="0" w:space="0" w:color="auto"/>
        <w:bottom w:val="none" w:sz="0" w:space="0" w:color="auto"/>
        <w:right w:val="none" w:sz="0" w:space="0" w:color="auto"/>
      </w:divBdr>
      <w:divsChild>
        <w:div w:id="452789902">
          <w:marLeft w:val="0"/>
          <w:marRight w:val="0"/>
          <w:marTop w:val="0"/>
          <w:marBottom w:val="0"/>
          <w:divBdr>
            <w:top w:val="none" w:sz="0" w:space="0" w:color="auto"/>
            <w:left w:val="none" w:sz="0" w:space="0" w:color="auto"/>
            <w:bottom w:val="none" w:sz="0" w:space="0" w:color="auto"/>
            <w:right w:val="none" w:sz="0" w:space="0" w:color="auto"/>
          </w:divBdr>
        </w:div>
      </w:divsChild>
    </w:div>
    <w:div w:id="570700003">
      <w:bodyDiv w:val="1"/>
      <w:marLeft w:val="0"/>
      <w:marRight w:val="0"/>
      <w:marTop w:val="0"/>
      <w:marBottom w:val="0"/>
      <w:divBdr>
        <w:top w:val="none" w:sz="0" w:space="0" w:color="auto"/>
        <w:left w:val="none" w:sz="0" w:space="0" w:color="auto"/>
        <w:bottom w:val="none" w:sz="0" w:space="0" w:color="auto"/>
        <w:right w:val="none" w:sz="0" w:space="0" w:color="auto"/>
      </w:divBdr>
    </w:div>
    <w:div w:id="1516651466">
      <w:bodyDiv w:val="1"/>
      <w:marLeft w:val="0"/>
      <w:marRight w:val="0"/>
      <w:marTop w:val="0"/>
      <w:marBottom w:val="0"/>
      <w:divBdr>
        <w:top w:val="none" w:sz="0" w:space="0" w:color="auto"/>
        <w:left w:val="none" w:sz="0" w:space="0" w:color="auto"/>
        <w:bottom w:val="none" w:sz="0" w:space="0" w:color="auto"/>
        <w:right w:val="none" w:sz="0" w:space="0" w:color="auto"/>
      </w:divBdr>
    </w:div>
    <w:div w:id="17465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Words>
  <Characters>802</Characters>
  <Application>Microsoft Office Word</Application>
  <DocSecurity>0</DocSecurity>
  <Lines>6</Lines>
  <Paragraphs>1</Paragraphs>
  <ScaleCrop>false</ScaleCrop>
  <Company>Sky123.Org</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曹飞</dc:creator>
  <cp:lastModifiedBy>王姝阳</cp:lastModifiedBy>
  <cp:revision>2</cp:revision>
  <dcterms:created xsi:type="dcterms:W3CDTF">2019-04-15T06:15:00Z</dcterms:created>
  <dcterms:modified xsi:type="dcterms:W3CDTF">2019-04-15T06:15:00Z</dcterms:modified>
</cp:coreProperties>
</file>