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55C" w:rsidRPr="004F655C" w:rsidRDefault="004F655C" w:rsidP="001F7633">
      <w:pPr>
        <w:widowControl/>
        <w:shd w:val="clear" w:color="auto" w:fill="FFFFFF"/>
        <w:spacing w:beforeLines="50" w:afterLines="50"/>
        <w:jc w:val="center"/>
        <w:rPr>
          <w:rFonts w:ascii="宋体" w:eastAsia="宋体" w:hAnsi="宋体" w:cs="Helvetica"/>
          <w:b/>
          <w:bCs/>
          <w:spacing w:val="-3"/>
          <w:kern w:val="0"/>
          <w:sz w:val="32"/>
          <w:szCs w:val="32"/>
        </w:rPr>
      </w:pPr>
      <w:r w:rsidRPr="004F655C">
        <w:rPr>
          <w:rFonts w:ascii="宋体" w:eastAsia="宋体" w:hAnsi="宋体" w:cs="Helvetica" w:hint="eastAsia"/>
          <w:b/>
          <w:bCs/>
          <w:spacing w:val="-3"/>
          <w:kern w:val="0"/>
          <w:sz w:val="32"/>
          <w:szCs w:val="32"/>
        </w:rPr>
        <w:t>CSD-812D次同步振荡监测保护装置</w:t>
      </w:r>
    </w:p>
    <w:p w:rsidR="004F655C" w:rsidRDefault="004F655C" w:rsidP="001F7633">
      <w:pPr>
        <w:widowControl/>
        <w:shd w:val="clear" w:color="auto" w:fill="FFFFFF"/>
        <w:spacing w:beforeLines="50" w:afterLines="50"/>
        <w:jc w:val="left"/>
        <w:rPr>
          <w:rFonts w:ascii="宋体" w:eastAsia="宋体" w:hAnsi="宋体" w:cs="Helvetica"/>
          <w:b/>
          <w:bCs/>
          <w:spacing w:val="-3"/>
          <w:kern w:val="0"/>
          <w:szCs w:val="21"/>
        </w:rPr>
      </w:pPr>
    </w:p>
    <w:p w:rsidR="0064115B" w:rsidRPr="004F655C" w:rsidRDefault="00967AA5" w:rsidP="001F7633">
      <w:pPr>
        <w:widowControl/>
        <w:shd w:val="clear" w:color="auto" w:fill="FFFFFF"/>
        <w:spacing w:beforeLines="50" w:afterLines="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4F655C">
        <w:rPr>
          <w:rFonts w:ascii="宋体" w:eastAsia="宋体" w:hAnsi="宋体" w:cs="Helvetica" w:hint="eastAsia"/>
          <w:b/>
          <w:bCs/>
          <w:spacing w:val="-3"/>
          <w:kern w:val="0"/>
          <w:sz w:val="24"/>
          <w:szCs w:val="24"/>
        </w:rPr>
        <w:t>产品</w:t>
      </w:r>
      <w:r w:rsidR="0064115B" w:rsidRPr="004F655C">
        <w:rPr>
          <w:rFonts w:ascii="宋体" w:eastAsia="宋体" w:hAnsi="宋体" w:cs="Helvetica" w:hint="eastAsia"/>
          <w:b/>
          <w:bCs/>
          <w:spacing w:val="-3"/>
          <w:kern w:val="0"/>
          <w:sz w:val="24"/>
          <w:szCs w:val="24"/>
        </w:rPr>
        <w:t>概述</w:t>
      </w:r>
    </w:p>
    <w:p w:rsidR="00A2409F" w:rsidRPr="004F655C" w:rsidRDefault="00A2409F" w:rsidP="004F655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F655C">
        <w:rPr>
          <w:rFonts w:asciiTheme="minorEastAsia" w:hAnsiTheme="minorEastAsia" w:hint="eastAsia"/>
          <w:sz w:val="24"/>
          <w:szCs w:val="24"/>
        </w:rPr>
        <w:t>风电、光伏等新能源发电技术迅猛发展，使得电网面临频繁的次/超同步振荡干扰，安全稳定受到威胁。新能源集中接入地区电网的新型次同步振荡表现为频率宽频时变，多振荡分量并存且可远距离传播引发区域电网振荡。CSD-812D次同步振荡监测保护装置适用于对新能源厂站、新能源汇集站的进出线路的次同步/超同步振荡进行监测。</w:t>
      </w:r>
    </w:p>
    <w:p w:rsidR="00B4206F" w:rsidRPr="004F655C" w:rsidRDefault="00B4206F" w:rsidP="001F7633">
      <w:pPr>
        <w:widowControl/>
        <w:shd w:val="clear" w:color="auto" w:fill="FFFFFF"/>
        <w:spacing w:beforeLines="50" w:afterLines="50"/>
        <w:jc w:val="left"/>
        <w:rPr>
          <w:rFonts w:ascii="宋体" w:eastAsia="宋体" w:hAnsi="宋体" w:cs="Helvetica"/>
          <w:b/>
          <w:bCs/>
          <w:spacing w:val="-3"/>
          <w:kern w:val="0"/>
          <w:sz w:val="24"/>
          <w:szCs w:val="24"/>
        </w:rPr>
      </w:pPr>
      <w:r w:rsidRPr="004F655C">
        <w:rPr>
          <w:rFonts w:ascii="宋体" w:eastAsia="宋体" w:hAnsi="宋体" w:cs="Helvetica" w:hint="eastAsia"/>
          <w:b/>
          <w:bCs/>
          <w:spacing w:val="-3"/>
          <w:kern w:val="0"/>
          <w:sz w:val="24"/>
          <w:szCs w:val="24"/>
        </w:rPr>
        <w:t>主要功能</w:t>
      </w:r>
    </w:p>
    <w:p w:rsidR="00CF69B2" w:rsidRPr="004F655C" w:rsidRDefault="0028769C" w:rsidP="004F655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F655C">
        <w:rPr>
          <w:rFonts w:asciiTheme="minorEastAsia" w:hAnsiTheme="minorEastAsia" w:hint="eastAsia"/>
          <w:sz w:val="24"/>
          <w:szCs w:val="24"/>
        </w:rPr>
        <w:t>CSD-812D次同步振荡检测保护装置</w:t>
      </w:r>
      <w:r w:rsidR="00CF69B2" w:rsidRPr="004F655C">
        <w:rPr>
          <w:rFonts w:asciiTheme="minorEastAsia" w:hAnsiTheme="minorEastAsia" w:hint="eastAsia"/>
          <w:sz w:val="24"/>
          <w:szCs w:val="24"/>
        </w:rPr>
        <w:t>针对大规模新能源接入系统后引起的次同步/超同步振荡问题实施监测和保护，能够快速识别产生振荡的扰动源，实现新能源接入后发生振荡时有选择性地顺序切除扰动源，从而避免系统持续振荡、保障系统的安全稳定运行。</w:t>
      </w:r>
    </w:p>
    <w:p w:rsidR="0028769C" w:rsidRPr="004F655C" w:rsidRDefault="00CF69B2" w:rsidP="004F655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F655C">
        <w:rPr>
          <w:rFonts w:asciiTheme="minorEastAsia" w:hAnsiTheme="minorEastAsia" w:hint="eastAsia"/>
          <w:sz w:val="24"/>
          <w:szCs w:val="24"/>
        </w:rPr>
        <w:t>CSD-812D</w:t>
      </w:r>
      <w:r w:rsidR="004D1E2C" w:rsidRPr="004F655C">
        <w:rPr>
          <w:rFonts w:asciiTheme="minorEastAsia" w:hAnsiTheme="minorEastAsia" w:hint="eastAsia"/>
          <w:sz w:val="24"/>
          <w:szCs w:val="24"/>
        </w:rPr>
        <w:t>装置</w:t>
      </w:r>
      <w:r w:rsidR="0028769C" w:rsidRPr="004F655C">
        <w:rPr>
          <w:rFonts w:asciiTheme="minorEastAsia" w:hAnsiTheme="minorEastAsia" w:hint="eastAsia"/>
          <w:sz w:val="24"/>
          <w:szCs w:val="24"/>
        </w:rPr>
        <w:t>具备以下主要功能：</w:t>
      </w:r>
    </w:p>
    <w:p w:rsidR="0028769C" w:rsidRPr="004F655C" w:rsidRDefault="00477538" w:rsidP="004F655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F655C">
        <w:rPr>
          <w:rFonts w:asciiTheme="minorEastAsia" w:hAnsiTheme="minorEastAsia" w:hint="eastAsia"/>
          <w:sz w:val="24"/>
          <w:szCs w:val="24"/>
        </w:rPr>
        <w:t>1）</w:t>
      </w:r>
      <w:r w:rsidR="0028769C" w:rsidRPr="004F655C">
        <w:rPr>
          <w:rFonts w:asciiTheme="minorEastAsia" w:hAnsiTheme="minorEastAsia" w:hint="eastAsia"/>
          <w:sz w:val="24"/>
          <w:szCs w:val="24"/>
        </w:rPr>
        <w:t>监测：实时监测测点线路的振荡频率及振荡特征参量。</w:t>
      </w:r>
    </w:p>
    <w:p w:rsidR="0028769C" w:rsidRPr="004F655C" w:rsidRDefault="00477538" w:rsidP="004F655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F655C">
        <w:rPr>
          <w:rFonts w:asciiTheme="minorEastAsia" w:hAnsiTheme="minorEastAsia" w:hint="eastAsia"/>
          <w:sz w:val="24"/>
          <w:szCs w:val="24"/>
        </w:rPr>
        <w:t>2）</w:t>
      </w:r>
      <w:r w:rsidR="0028769C" w:rsidRPr="004F655C">
        <w:rPr>
          <w:rFonts w:asciiTheme="minorEastAsia" w:hAnsiTheme="minorEastAsia" w:hint="eastAsia"/>
          <w:sz w:val="24"/>
          <w:szCs w:val="24"/>
        </w:rPr>
        <w:t>保护：多层次的次/超同步保护功能，必要时切除振荡线路，保障区域安全。</w:t>
      </w:r>
    </w:p>
    <w:p w:rsidR="0028769C" w:rsidRPr="004F655C" w:rsidRDefault="00477538" w:rsidP="004F655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F655C">
        <w:rPr>
          <w:rFonts w:asciiTheme="minorEastAsia" w:hAnsiTheme="minorEastAsia" w:hint="eastAsia"/>
          <w:sz w:val="24"/>
          <w:szCs w:val="24"/>
        </w:rPr>
        <w:t>3）</w:t>
      </w:r>
      <w:r w:rsidR="0028769C" w:rsidRPr="004F655C">
        <w:rPr>
          <w:rFonts w:asciiTheme="minorEastAsia" w:hAnsiTheme="minorEastAsia" w:hint="eastAsia"/>
          <w:sz w:val="24"/>
          <w:szCs w:val="24"/>
        </w:rPr>
        <w:t>诊断：提供振荡特性分析参数，为振荡源/振荡传播规律研究提供数据支撑。</w:t>
      </w:r>
    </w:p>
    <w:p w:rsidR="0064115B" w:rsidRPr="004F655C" w:rsidRDefault="007F1FF3" w:rsidP="001F7633">
      <w:pPr>
        <w:widowControl/>
        <w:shd w:val="clear" w:color="auto" w:fill="FFFFFF"/>
        <w:spacing w:beforeLines="50" w:afterLines="50"/>
        <w:jc w:val="left"/>
        <w:rPr>
          <w:rFonts w:ascii="宋体" w:eastAsia="宋体" w:hAnsi="宋体" w:cs="Helvetica"/>
          <w:b/>
          <w:bCs/>
          <w:spacing w:val="-3"/>
          <w:kern w:val="0"/>
          <w:sz w:val="24"/>
          <w:szCs w:val="24"/>
        </w:rPr>
      </w:pPr>
      <w:r w:rsidRPr="004F655C">
        <w:rPr>
          <w:rFonts w:ascii="宋体" w:eastAsia="宋体" w:hAnsi="宋体" w:cs="Helvetica" w:hint="eastAsia"/>
          <w:b/>
          <w:bCs/>
          <w:spacing w:val="-3"/>
          <w:kern w:val="0"/>
          <w:sz w:val="24"/>
          <w:szCs w:val="24"/>
        </w:rPr>
        <w:t>核心技术</w:t>
      </w:r>
    </w:p>
    <w:p w:rsidR="007F1FF3" w:rsidRPr="004F655C" w:rsidRDefault="00477538" w:rsidP="004F655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F655C">
        <w:rPr>
          <w:rFonts w:asciiTheme="minorEastAsia" w:hAnsiTheme="minorEastAsia" w:hint="eastAsia"/>
          <w:sz w:val="24"/>
          <w:szCs w:val="24"/>
        </w:rPr>
        <w:t>1）</w:t>
      </w:r>
      <w:r w:rsidR="007F1FF3" w:rsidRPr="004F655C">
        <w:rPr>
          <w:rFonts w:asciiTheme="minorEastAsia" w:hAnsiTheme="minorEastAsia" w:hint="eastAsia"/>
          <w:sz w:val="24"/>
          <w:szCs w:val="24"/>
        </w:rPr>
        <w:t>基于原始采样数据的广域宽频高精度提取，频率自适应+多振荡模式分离；</w:t>
      </w:r>
    </w:p>
    <w:p w:rsidR="007F1FF3" w:rsidRPr="004F655C" w:rsidRDefault="00477538" w:rsidP="004F655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F655C">
        <w:rPr>
          <w:rFonts w:asciiTheme="minorEastAsia" w:hAnsiTheme="minorEastAsia" w:hint="eastAsia"/>
          <w:sz w:val="24"/>
          <w:szCs w:val="24"/>
        </w:rPr>
        <w:t>2）</w:t>
      </w:r>
      <w:r w:rsidR="007F1FF3" w:rsidRPr="004F655C">
        <w:rPr>
          <w:rFonts w:asciiTheme="minorEastAsia" w:hAnsiTheme="minorEastAsia" w:hint="eastAsia"/>
          <w:sz w:val="24"/>
          <w:szCs w:val="24"/>
        </w:rPr>
        <w:t>多特征参量（谐波频率/谐波阻抗/谐波功率/谐波电流/电压）全程在线监测；</w:t>
      </w:r>
    </w:p>
    <w:p w:rsidR="007F1FF3" w:rsidRPr="004F655C" w:rsidRDefault="00477538" w:rsidP="004F655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F655C">
        <w:rPr>
          <w:rFonts w:asciiTheme="minorEastAsia" w:hAnsiTheme="minorEastAsia" w:hint="eastAsia"/>
          <w:sz w:val="24"/>
          <w:szCs w:val="24"/>
        </w:rPr>
        <w:t>3）</w:t>
      </w:r>
      <w:r w:rsidR="007F1FF3" w:rsidRPr="004F655C">
        <w:rPr>
          <w:rFonts w:asciiTheme="minorEastAsia" w:hAnsiTheme="minorEastAsia" w:hint="eastAsia"/>
          <w:sz w:val="24"/>
          <w:szCs w:val="24"/>
        </w:rPr>
        <w:t>全方位多层次保护功能设计，基于传播方向的谐波阻抗实时计算为四方独有；</w:t>
      </w:r>
    </w:p>
    <w:p w:rsidR="007F1FF3" w:rsidRPr="004F655C" w:rsidRDefault="00477538" w:rsidP="004F655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F655C">
        <w:rPr>
          <w:rFonts w:asciiTheme="minorEastAsia" w:hAnsiTheme="minorEastAsia" w:hint="eastAsia"/>
          <w:sz w:val="24"/>
          <w:szCs w:val="24"/>
        </w:rPr>
        <w:t>4）</w:t>
      </w:r>
      <w:r w:rsidR="007F1FF3" w:rsidRPr="004F655C">
        <w:rPr>
          <w:rFonts w:asciiTheme="minorEastAsia" w:hAnsiTheme="minorEastAsia" w:hint="eastAsia"/>
          <w:sz w:val="24"/>
          <w:szCs w:val="24"/>
        </w:rPr>
        <w:t>灵活的保护功能配置与出口策略，依据不同应用场景，支持分组轮切与精细化切除；</w:t>
      </w:r>
    </w:p>
    <w:p w:rsidR="007F1FF3" w:rsidRPr="004F655C" w:rsidRDefault="00477538" w:rsidP="004F655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F655C">
        <w:rPr>
          <w:rFonts w:asciiTheme="minorEastAsia" w:hAnsiTheme="minorEastAsia" w:hint="eastAsia"/>
          <w:sz w:val="24"/>
          <w:szCs w:val="24"/>
        </w:rPr>
        <w:t>5）</w:t>
      </w:r>
      <w:r w:rsidR="007F1FF3" w:rsidRPr="004F655C">
        <w:rPr>
          <w:rFonts w:asciiTheme="minorEastAsia" w:hAnsiTheme="minorEastAsia" w:hint="eastAsia"/>
          <w:sz w:val="24"/>
          <w:szCs w:val="24"/>
        </w:rPr>
        <w:t>具备多种</w:t>
      </w:r>
      <w:r w:rsidR="00145608" w:rsidRPr="004F655C">
        <w:rPr>
          <w:rFonts w:asciiTheme="minorEastAsia" w:hAnsiTheme="minorEastAsia" w:hint="eastAsia"/>
          <w:sz w:val="24"/>
          <w:szCs w:val="24"/>
        </w:rPr>
        <w:t>通信接口，支持组网，构建区域次同步振荡监控系统实现高级分析应用。</w:t>
      </w:r>
    </w:p>
    <w:p w:rsidR="0064115B" w:rsidRPr="004F655C" w:rsidRDefault="0064115B" w:rsidP="001F7633">
      <w:pPr>
        <w:widowControl/>
        <w:shd w:val="clear" w:color="auto" w:fill="FFFFFF"/>
        <w:spacing w:beforeLines="50" w:afterLines="50"/>
        <w:jc w:val="left"/>
        <w:rPr>
          <w:rFonts w:ascii="宋体" w:eastAsia="宋体" w:hAnsi="宋体" w:cs="Helvetica"/>
          <w:b/>
          <w:bCs/>
          <w:spacing w:val="-3"/>
          <w:kern w:val="0"/>
          <w:sz w:val="24"/>
          <w:szCs w:val="24"/>
        </w:rPr>
      </w:pPr>
      <w:r w:rsidRPr="004F655C">
        <w:rPr>
          <w:rFonts w:ascii="宋体" w:eastAsia="宋体" w:hAnsi="宋体" w:cs="Helvetica" w:hint="eastAsia"/>
          <w:b/>
          <w:bCs/>
          <w:spacing w:val="-3"/>
          <w:kern w:val="0"/>
          <w:sz w:val="24"/>
          <w:szCs w:val="24"/>
        </w:rPr>
        <w:t>工程应用</w:t>
      </w:r>
    </w:p>
    <w:p w:rsidR="008408BC" w:rsidRPr="004F655C" w:rsidRDefault="008408BC" w:rsidP="004F655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F655C">
        <w:rPr>
          <w:rFonts w:asciiTheme="minorEastAsia" w:hAnsiTheme="minorEastAsia" w:hint="eastAsia"/>
          <w:sz w:val="24"/>
          <w:szCs w:val="24"/>
        </w:rPr>
        <w:t>CSD-812D实现对风电场、风电汇集站线路次/超同步振荡功率/阻抗/电流的实时监视，当测点特征量越限且持续时间满足设定，切除振荡线路，防止振荡进一步扩张，同时，装置以</w:t>
      </w:r>
      <w:r w:rsidR="00932EFD" w:rsidRPr="004F655C">
        <w:rPr>
          <w:rFonts w:asciiTheme="minorEastAsia" w:hAnsiTheme="minorEastAsia" w:hint="eastAsia"/>
          <w:sz w:val="24"/>
          <w:szCs w:val="24"/>
        </w:rPr>
        <w:t xml:space="preserve">IEEE Std </w:t>
      </w:r>
      <w:r w:rsidRPr="004F655C">
        <w:rPr>
          <w:rFonts w:asciiTheme="minorEastAsia" w:hAnsiTheme="minorEastAsia" w:hint="eastAsia"/>
          <w:sz w:val="24"/>
          <w:szCs w:val="24"/>
        </w:rPr>
        <w:t>C37规约上传测点监测信息及录波数据，便于主站获取全网次/超同步振荡态势，分析振荡来源/路径，优化运行方式，确保电网安全。</w:t>
      </w:r>
    </w:p>
    <w:p w:rsidR="008408BC" w:rsidRPr="004F655C" w:rsidRDefault="008408BC" w:rsidP="001F7633">
      <w:pPr>
        <w:widowControl/>
        <w:shd w:val="clear" w:color="auto" w:fill="FFFFFF"/>
        <w:spacing w:beforeLines="50" w:afterLines="50"/>
        <w:jc w:val="left"/>
        <w:rPr>
          <w:rFonts w:ascii="宋体" w:eastAsia="宋体" w:hAnsi="宋体" w:cs="Helvetica"/>
          <w:b/>
          <w:bCs/>
          <w:spacing w:val="-3"/>
          <w:kern w:val="0"/>
          <w:sz w:val="24"/>
          <w:szCs w:val="24"/>
        </w:rPr>
      </w:pPr>
    </w:p>
    <w:p w:rsidR="0064115B" w:rsidRPr="00631F0F" w:rsidRDefault="001F7633" w:rsidP="001F7633">
      <w:pPr>
        <w:widowControl/>
        <w:shd w:val="clear" w:color="auto" w:fill="FFFFFF"/>
        <w:spacing w:beforeLines="50" w:afterLines="50"/>
        <w:jc w:val="center"/>
        <w:rPr>
          <w:rFonts w:ascii="宋体" w:eastAsia="宋体" w:hAnsi="宋体" w:cs="Helvetica"/>
          <w:b/>
          <w:bCs/>
          <w:spacing w:val="-3"/>
          <w:kern w:val="0"/>
          <w:szCs w:val="21"/>
        </w:rPr>
      </w:pPr>
      <w:r>
        <w:object w:dxaOrig="20850" w:dyaOrig="142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75pt;height:367.5pt" o:ole="">
            <v:imagedata r:id="rId7" o:title=""/>
          </v:shape>
          <o:OLEObject Type="Embed" ProgID="Visio.Drawing.11" ShapeID="_x0000_i1025" DrawAspect="Content" ObjectID="_1616925765" r:id="rId8"/>
        </w:object>
      </w:r>
      <w:r w:rsidR="00932EFD">
        <w:rPr>
          <w:rFonts w:hint="eastAsia"/>
        </w:rPr>
        <w:t>新能源集中接入地区次同步振荡广域监测保护系统网络结构图</w:t>
      </w:r>
    </w:p>
    <w:p w:rsidR="00145608" w:rsidRPr="004F655C" w:rsidRDefault="00145608" w:rsidP="00145608">
      <w:pPr>
        <w:rPr>
          <w:rFonts w:ascii="微软雅黑" w:eastAsia="微软雅黑" w:hAnsi="微软雅黑"/>
          <w:sz w:val="24"/>
          <w:szCs w:val="24"/>
        </w:rPr>
      </w:pPr>
      <w:r w:rsidRPr="004F655C">
        <w:rPr>
          <w:rFonts w:ascii="微软雅黑" w:eastAsia="微软雅黑" w:hAnsi="微软雅黑" w:hint="eastAsia"/>
          <w:sz w:val="24"/>
          <w:szCs w:val="24"/>
        </w:rPr>
        <w:t>四方股份为您提供优质的解决方案，如有任何问题，请与</w:t>
      </w:r>
      <w:r w:rsidR="00DB1D76" w:rsidRPr="004F655C">
        <w:rPr>
          <w:rFonts w:ascii="微软雅黑" w:eastAsia="微软雅黑" w:hAnsi="微软雅黑" w:hint="eastAsia"/>
          <w:sz w:val="24"/>
          <w:szCs w:val="24"/>
        </w:rPr>
        <w:t>我们</w:t>
      </w:r>
      <w:r w:rsidRPr="004F655C">
        <w:rPr>
          <w:rFonts w:ascii="微软雅黑" w:eastAsia="微软雅黑" w:hAnsi="微软雅黑" w:hint="eastAsia"/>
          <w:sz w:val="24"/>
          <w:szCs w:val="24"/>
        </w:rPr>
        <w:t>联系：</w:t>
      </w:r>
    </w:p>
    <w:p w:rsidR="00145608" w:rsidRPr="004F655C" w:rsidRDefault="00145608" w:rsidP="001F7633">
      <w:pPr>
        <w:spacing w:afterLines="50"/>
        <w:jc w:val="left"/>
        <w:rPr>
          <w:rFonts w:ascii="微软雅黑" w:eastAsia="微软雅黑" w:hAnsi="微软雅黑"/>
          <w:sz w:val="24"/>
          <w:szCs w:val="24"/>
        </w:rPr>
      </w:pPr>
      <w:r w:rsidRPr="004F655C">
        <w:rPr>
          <w:rFonts w:ascii="微软雅黑" w:eastAsia="微软雅黑" w:hAnsi="微软雅黑" w:hint="eastAsia"/>
          <w:sz w:val="24"/>
          <w:szCs w:val="24"/>
        </w:rPr>
        <w:t>技术沟通联络邮箱：</w:t>
      </w:r>
      <w:hyperlink r:id="rId9" w:history="1">
        <w:r w:rsidRPr="004F655C">
          <w:rPr>
            <w:rStyle w:val="a4"/>
            <w:rFonts w:ascii="宋体" w:eastAsia="宋体" w:hAnsi="宋体" w:cs="宋体" w:hint="eastAsia"/>
            <w:kern w:val="0"/>
            <w:sz w:val="24"/>
            <w:szCs w:val="24"/>
          </w:rPr>
          <w:t>changfujie@sf-auto.com</w:t>
        </w:r>
      </w:hyperlink>
    </w:p>
    <w:p w:rsidR="00145608" w:rsidRDefault="00145608" w:rsidP="00145608">
      <w:pPr>
        <w:widowControl/>
        <w:shd w:val="clear" w:color="auto" w:fill="FFFFFF"/>
        <w:jc w:val="left"/>
        <w:rPr>
          <w:rFonts w:ascii="微软雅黑" w:eastAsia="微软雅黑" w:hAnsi="微软雅黑"/>
          <w:sz w:val="24"/>
          <w:szCs w:val="24"/>
        </w:rPr>
      </w:pPr>
      <w:r w:rsidRPr="004F655C">
        <w:rPr>
          <w:rFonts w:ascii="微软雅黑" w:eastAsia="微软雅黑" w:hAnsi="微软雅黑" w:hint="eastAsia"/>
          <w:sz w:val="24"/>
          <w:szCs w:val="24"/>
        </w:rPr>
        <w:t>技术沟通联系电话：18</w:t>
      </w:r>
      <w:r w:rsidRPr="004F655C">
        <w:rPr>
          <w:rFonts w:ascii="微软雅黑" w:eastAsia="微软雅黑" w:hAnsi="微软雅黑"/>
          <w:sz w:val="24"/>
          <w:szCs w:val="24"/>
        </w:rPr>
        <w:t>611628359</w:t>
      </w:r>
    </w:p>
    <w:p w:rsidR="004F655C" w:rsidRPr="004F655C" w:rsidRDefault="004F655C" w:rsidP="00145608">
      <w:pPr>
        <w:widowControl/>
        <w:shd w:val="clear" w:color="auto" w:fill="FFFFFF"/>
        <w:jc w:val="left"/>
        <w:rPr>
          <w:rFonts w:ascii="宋体" w:hAnsi="宋体" w:cs="宋体"/>
          <w:color w:val="3E3E3E"/>
          <w:kern w:val="0"/>
          <w:sz w:val="24"/>
          <w:szCs w:val="24"/>
        </w:rPr>
      </w:pPr>
      <w:bookmarkStart w:id="0" w:name="_GoBack"/>
      <w:bookmarkEnd w:id="0"/>
    </w:p>
    <w:p w:rsidR="00145608" w:rsidRPr="004F655C" w:rsidRDefault="00145608" w:rsidP="00145608">
      <w:pPr>
        <w:pStyle w:val="a3"/>
        <w:spacing w:before="62" w:after="75" w:line="360" w:lineRule="auto"/>
        <w:jc w:val="center"/>
        <w:rPr>
          <w:rFonts w:ascii="Arial" w:hAnsi="Arial" w:cs="Arial"/>
          <w:color w:val="004EA2"/>
          <w:sz w:val="28"/>
          <w:szCs w:val="28"/>
        </w:rPr>
      </w:pPr>
      <w:r w:rsidRPr="004F655C">
        <w:rPr>
          <w:rFonts w:ascii="华文中宋" w:eastAsia="华文中宋" w:hAnsi="华文中宋" w:cs="Arial" w:hint="eastAsia"/>
          <w:color w:val="004EA2"/>
          <w:sz w:val="28"/>
          <w:szCs w:val="28"/>
        </w:rPr>
        <w:t>★</w:t>
      </w:r>
      <w:r w:rsidRPr="004F655C">
        <w:rPr>
          <w:rStyle w:val="a5"/>
          <w:rFonts w:cs="Arial" w:hint="eastAsia"/>
          <w:color w:val="004EA2"/>
          <w:sz w:val="28"/>
          <w:szCs w:val="28"/>
        </w:rPr>
        <w:t>创新铸就四方，梦想点亮未来</w:t>
      </w:r>
      <w:r w:rsidRPr="004F655C">
        <w:rPr>
          <w:rFonts w:ascii="华文中宋" w:eastAsia="华文中宋" w:hAnsi="华文中宋" w:cs="Arial" w:hint="eastAsia"/>
          <w:color w:val="004EA2"/>
          <w:sz w:val="28"/>
          <w:szCs w:val="28"/>
        </w:rPr>
        <w:t>★</w:t>
      </w:r>
    </w:p>
    <w:p w:rsidR="00EB4122" w:rsidRPr="004F655C" w:rsidRDefault="00145608" w:rsidP="00145608">
      <w:pPr>
        <w:spacing w:line="360" w:lineRule="auto"/>
        <w:jc w:val="center"/>
        <w:rPr>
          <w:rFonts w:cs="Arial"/>
          <w:b/>
          <w:bCs/>
          <w:color w:val="004EA2"/>
          <w:sz w:val="28"/>
          <w:szCs w:val="28"/>
        </w:rPr>
      </w:pPr>
      <w:r w:rsidRPr="004F655C">
        <w:rPr>
          <w:rFonts w:ascii="华文中宋" w:eastAsia="华文中宋" w:hAnsi="华文中宋" w:cs="Arial" w:hint="eastAsia"/>
          <w:color w:val="004EA2"/>
          <w:sz w:val="28"/>
          <w:szCs w:val="28"/>
        </w:rPr>
        <w:t>★</w:t>
      </w:r>
      <w:r w:rsidRPr="004F655C">
        <w:rPr>
          <w:rStyle w:val="a5"/>
          <w:rFonts w:cs="Arial"/>
          <w:color w:val="004EA2"/>
          <w:sz w:val="28"/>
          <w:szCs w:val="28"/>
        </w:rPr>
        <w:t>Innovation Lights Our Future</w:t>
      </w:r>
      <w:r w:rsidRPr="004F655C">
        <w:rPr>
          <w:rFonts w:ascii="华文中宋" w:eastAsia="华文中宋" w:hAnsi="华文中宋" w:cs="Arial" w:hint="eastAsia"/>
          <w:color w:val="004EA2"/>
          <w:sz w:val="28"/>
          <w:szCs w:val="28"/>
        </w:rPr>
        <w:t>★</w:t>
      </w:r>
    </w:p>
    <w:sectPr w:rsidR="00EB4122" w:rsidRPr="004F655C" w:rsidSect="00B15913">
      <w:pgSz w:w="11906" w:h="16838"/>
      <w:pgMar w:top="1440" w:right="17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0651" w:rsidRDefault="00B30651" w:rsidP="00015907">
      <w:r>
        <w:separator/>
      </w:r>
    </w:p>
  </w:endnote>
  <w:endnote w:type="continuationSeparator" w:id="0">
    <w:p w:rsidR="00B30651" w:rsidRDefault="00B30651" w:rsidP="000159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中宋">
    <w:altName w:val="hakuyoxingshu7000"/>
    <w:charset w:val="86"/>
    <w:family w:val="auto"/>
    <w:pitch w:val="variable"/>
    <w:sig w:usb0="00000000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0651" w:rsidRDefault="00B30651" w:rsidP="00015907">
      <w:r>
        <w:separator/>
      </w:r>
    </w:p>
  </w:footnote>
  <w:footnote w:type="continuationSeparator" w:id="0">
    <w:p w:rsidR="00B30651" w:rsidRDefault="00B30651" w:rsidP="000159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A6348"/>
    <w:multiLevelType w:val="hybridMultilevel"/>
    <w:tmpl w:val="07D8420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115B"/>
    <w:rsid w:val="00015907"/>
    <w:rsid w:val="000D7B21"/>
    <w:rsid w:val="00145608"/>
    <w:rsid w:val="001746C8"/>
    <w:rsid w:val="001F7633"/>
    <w:rsid w:val="00266D9E"/>
    <w:rsid w:val="0028769C"/>
    <w:rsid w:val="00327CC2"/>
    <w:rsid w:val="00441FB5"/>
    <w:rsid w:val="00477538"/>
    <w:rsid w:val="00486EA7"/>
    <w:rsid w:val="004D1E2C"/>
    <w:rsid w:val="004F1DB3"/>
    <w:rsid w:val="004F655C"/>
    <w:rsid w:val="005910F5"/>
    <w:rsid w:val="00631F0F"/>
    <w:rsid w:val="0064115B"/>
    <w:rsid w:val="007F1FF3"/>
    <w:rsid w:val="00827F76"/>
    <w:rsid w:val="008408BC"/>
    <w:rsid w:val="008F56E5"/>
    <w:rsid w:val="00932EFD"/>
    <w:rsid w:val="00967AA5"/>
    <w:rsid w:val="009A01D4"/>
    <w:rsid w:val="00A2409F"/>
    <w:rsid w:val="00B15913"/>
    <w:rsid w:val="00B30651"/>
    <w:rsid w:val="00B4206F"/>
    <w:rsid w:val="00BA2DD8"/>
    <w:rsid w:val="00C036A5"/>
    <w:rsid w:val="00CF69B2"/>
    <w:rsid w:val="00DB1D76"/>
    <w:rsid w:val="00EB4122"/>
    <w:rsid w:val="00F61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F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iceheadersubtitledate">
    <w:name w:val="notice_header_subtitle_date"/>
    <w:basedOn w:val="a0"/>
    <w:rsid w:val="0064115B"/>
  </w:style>
  <w:style w:type="character" w:customStyle="1" w:styleId="noticeheadersubtitleauthor">
    <w:name w:val="notice_header_subtitle_author"/>
    <w:basedOn w:val="a0"/>
    <w:rsid w:val="0064115B"/>
  </w:style>
  <w:style w:type="paragraph" w:styleId="a3">
    <w:name w:val="Normal (Web)"/>
    <w:basedOn w:val="a"/>
    <w:uiPriority w:val="99"/>
    <w:unhideWhenUsed/>
    <w:rsid w:val="006411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64115B"/>
    <w:rPr>
      <w:color w:val="0000FF"/>
      <w:u w:val="single"/>
    </w:rPr>
  </w:style>
  <w:style w:type="character" w:styleId="a5">
    <w:name w:val="Strong"/>
    <w:basedOn w:val="a0"/>
    <w:uiPriority w:val="22"/>
    <w:qFormat/>
    <w:rsid w:val="0064115B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64115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4115B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0159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01590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0159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015907"/>
    <w:rPr>
      <w:sz w:val="18"/>
      <w:szCs w:val="18"/>
    </w:rPr>
  </w:style>
  <w:style w:type="paragraph" w:styleId="a9">
    <w:name w:val="List Paragraph"/>
    <w:basedOn w:val="a"/>
    <w:uiPriority w:val="34"/>
    <w:qFormat/>
    <w:rsid w:val="007F1FF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iceheadersubtitledate">
    <w:name w:val="notice_header_subtitle_date"/>
    <w:basedOn w:val="a0"/>
    <w:rsid w:val="0064115B"/>
  </w:style>
  <w:style w:type="character" w:customStyle="1" w:styleId="noticeheadersubtitleauthor">
    <w:name w:val="notice_header_subtitle_author"/>
    <w:basedOn w:val="a0"/>
    <w:rsid w:val="0064115B"/>
  </w:style>
  <w:style w:type="paragraph" w:styleId="a3">
    <w:name w:val="Normal (Web)"/>
    <w:basedOn w:val="a"/>
    <w:uiPriority w:val="99"/>
    <w:unhideWhenUsed/>
    <w:rsid w:val="006411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64115B"/>
    <w:rPr>
      <w:color w:val="0000FF"/>
      <w:u w:val="single"/>
    </w:rPr>
  </w:style>
  <w:style w:type="character" w:styleId="a5">
    <w:name w:val="Strong"/>
    <w:basedOn w:val="a0"/>
    <w:uiPriority w:val="22"/>
    <w:qFormat/>
    <w:rsid w:val="0064115B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64115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4115B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0159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01590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0159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015907"/>
    <w:rPr>
      <w:sz w:val="18"/>
      <w:szCs w:val="18"/>
    </w:rPr>
  </w:style>
  <w:style w:type="paragraph" w:styleId="a9">
    <w:name w:val="List Paragraph"/>
    <w:basedOn w:val="a"/>
    <w:uiPriority w:val="34"/>
    <w:qFormat/>
    <w:rsid w:val="007F1FF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69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33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1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hangfujie@sf-aut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151</Words>
  <Characters>863</Characters>
  <Application>Microsoft Office Word</Application>
  <DocSecurity>0</DocSecurity>
  <Lines>7</Lines>
  <Paragraphs>2</Paragraphs>
  <ScaleCrop>false</ScaleCrop>
  <Company>china</Company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51</cp:revision>
  <dcterms:created xsi:type="dcterms:W3CDTF">2018-01-26T02:53:00Z</dcterms:created>
  <dcterms:modified xsi:type="dcterms:W3CDTF">2019-04-16T05:16:00Z</dcterms:modified>
</cp:coreProperties>
</file>