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CC" w:rsidRDefault="00ED2ECC" w:rsidP="00ED2ECC">
      <w:pPr>
        <w:shd w:val="clear" w:color="auto" w:fill="FFFFFF"/>
        <w:spacing w:line="270" w:lineRule="atLeast"/>
        <w:rPr>
          <w:rFonts w:ascii="Helvetica" w:eastAsia="宋体" w:hAnsi="Helvetica" w:cs="Helvetica"/>
          <w:sz w:val="36"/>
          <w:szCs w:val="36"/>
        </w:rPr>
      </w:pPr>
      <w:r w:rsidRPr="0085577F">
        <w:rPr>
          <w:rFonts w:ascii="Helvetica" w:eastAsia="宋体" w:hAnsi="Helvetica" w:cs="Helvetica" w:hint="eastAsia"/>
          <w:sz w:val="36"/>
          <w:szCs w:val="36"/>
        </w:rPr>
        <w:t>VR/AR</w:t>
      </w:r>
      <w:r w:rsidRPr="0085577F">
        <w:rPr>
          <w:rFonts w:ascii="Helvetica" w:eastAsia="宋体" w:hAnsi="Helvetica" w:cs="Helvetica" w:hint="eastAsia"/>
          <w:sz w:val="36"/>
          <w:szCs w:val="36"/>
        </w:rPr>
        <w:t>技术在变电站的应用</w:t>
      </w:r>
    </w:p>
    <w:p w:rsidR="00ED2ECC" w:rsidRDefault="00ED2ECC" w:rsidP="00ED2ECC">
      <w:pPr>
        <w:shd w:val="clear" w:color="auto" w:fill="FFFFFF"/>
        <w:rPr>
          <w:rFonts w:ascii="Helvetica" w:eastAsia="宋体" w:hAnsi="Helvetica" w:cs="Helvetica"/>
          <w:szCs w:val="21"/>
        </w:rPr>
      </w:pPr>
    </w:p>
    <w:p w:rsidR="00ED2ECC" w:rsidRDefault="00ED2ECC" w:rsidP="00ED2ECC">
      <w:pPr>
        <w:shd w:val="clear" w:color="auto" w:fill="FFFFFF"/>
        <w:rPr>
          <w:rFonts w:ascii="宋体" w:eastAsia="宋体" w:hAnsi="宋体" w:cs="Helvetica"/>
          <w:b/>
          <w:bCs/>
          <w:spacing w:val="-3"/>
          <w:szCs w:val="21"/>
        </w:rPr>
      </w:pPr>
      <w:bookmarkStart w:id="0" w:name="_GoBack"/>
      <w:bookmarkEnd w:id="0"/>
      <w:r w:rsidRPr="00015907">
        <w:rPr>
          <w:rFonts w:ascii="宋体" w:eastAsia="宋体" w:hAnsi="宋体" w:cs="Helvetica" w:hint="eastAsia"/>
          <w:b/>
          <w:bCs/>
          <w:spacing w:val="-3"/>
          <w:szCs w:val="21"/>
        </w:rPr>
        <w:t>概述</w:t>
      </w:r>
    </w:p>
    <w:p w:rsidR="00ED2ECC" w:rsidRDefault="00ED2ECC" w:rsidP="00ED2ECC">
      <w:pPr>
        <w:shd w:val="clear" w:color="auto" w:fill="FFFFFF"/>
        <w:rPr>
          <w:rFonts w:ascii="宋体" w:eastAsia="宋体" w:hAnsi="宋体" w:cs="Helvetica"/>
          <w:b/>
          <w:bCs/>
          <w:spacing w:val="-3"/>
          <w:szCs w:val="21"/>
        </w:rPr>
      </w:pPr>
    </w:p>
    <w:p w:rsidR="00ED2ECC" w:rsidRDefault="00ED2ECC" w:rsidP="00ED2ECC">
      <w:pPr>
        <w:shd w:val="clear" w:color="auto" w:fill="FFFFFF"/>
        <w:ind w:firstLineChars="150" w:firstLine="330"/>
        <w:rPr>
          <w:rFonts w:ascii="Helvetica" w:eastAsia="宋体" w:hAnsi="Helvetica" w:cs="Helvetica"/>
          <w:szCs w:val="21"/>
        </w:rPr>
      </w:pPr>
      <w:r w:rsidRPr="000E50F0">
        <w:rPr>
          <w:rFonts w:ascii="Helvetica" w:eastAsia="宋体" w:hAnsi="Helvetica" w:cs="Helvetica" w:hint="eastAsia"/>
          <w:szCs w:val="21"/>
        </w:rPr>
        <w:t>基于</w:t>
      </w:r>
      <w:r w:rsidRPr="000E50F0">
        <w:rPr>
          <w:rFonts w:ascii="Helvetica" w:eastAsia="宋体" w:hAnsi="Helvetica" w:cs="Helvetica" w:hint="eastAsia"/>
          <w:szCs w:val="21"/>
        </w:rPr>
        <w:t>VR</w:t>
      </w:r>
      <w:r w:rsidRPr="000E50F0">
        <w:rPr>
          <w:rFonts w:ascii="Helvetica" w:eastAsia="宋体" w:hAnsi="Helvetica" w:cs="Helvetica" w:hint="eastAsia"/>
          <w:szCs w:val="21"/>
        </w:rPr>
        <w:t>虚拟现实技术的变电站</w:t>
      </w:r>
      <w:r>
        <w:rPr>
          <w:rFonts w:ascii="Helvetica" w:eastAsia="宋体" w:hAnsi="Helvetica" w:cs="Helvetica" w:hint="eastAsia"/>
          <w:szCs w:val="21"/>
        </w:rPr>
        <w:t>仿真技术</w:t>
      </w:r>
      <w:r w:rsidRPr="000E50F0">
        <w:rPr>
          <w:rFonts w:ascii="Helvetica" w:eastAsia="宋体" w:hAnsi="Helvetica" w:cs="Helvetica" w:hint="eastAsia"/>
          <w:szCs w:val="21"/>
        </w:rPr>
        <w:t>可以为继电保护运行人员提供直观了解变电站</w:t>
      </w:r>
      <w:r>
        <w:rPr>
          <w:rFonts w:ascii="Helvetica" w:eastAsia="宋体" w:hAnsi="Helvetica" w:cs="Helvetica" w:hint="eastAsia"/>
          <w:szCs w:val="21"/>
        </w:rPr>
        <w:t>一次、</w:t>
      </w:r>
      <w:r w:rsidRPr="000E50F0">
        <w:rPr>
          <w:rFonts w:ascii="Helvetica" w:eastAsia="宋体" w:hAnsi="Helvetica" w:cs="Helvetica" w:hint="eastAsia"/>
          <w:szCs w:val="21"/>
        </w:rPr>
        <w:t>二次设备运行、测试、维护、检修的</w:t>
      </w:r>
      <w:r>
        <w:rPr>
          <w:rFonts w:ascii="Helvetica" w:eastAsia="宋体" w:hAnsi="Helvetica" w:cs="Helvetica" w:hint="eastAsia"/>
          <w:szCs w:val="21"/>
        </w:rPr>
        <w:t>培训</w:t>
      </w:r>
      <w:r w:rsidRPr="000E50F0">
        <w:rPr>
          <w:rFonts w:ascii="Helvetica" w:eastAsia="宋体" w:hAnsi="Helvetica" w:cs="Helvetica" w:hint="eastAsia"/>
          <w:szCs w:val="21"/>
        </w:rPr>
        <w:t>平台，提供可视化、真实的现场</w:t>
      </w:r>
      <w:r>
        <w:rPr>
          <w:rFonts w:ascii="Helvetica" w:eastAsia="宋体" w:hAnsi="Helvetica" w:cs="Helvetica" w:hint="eastAsia"/>
          <w:szCs w:val="21"/>
        </w:rPr>
        <w:t>场景、沉浸式的操作</w:t>
      </w:r>
      <w:r w:rsidRPr="000E50F0">
        <w:rPr>
          <w:rFonts w:ascii="Helvetica" w:eastAsia="宋体" w:hAnsi="Helvetica" w:cs="Helvetica" w:hint="eastAsia"/>
          <w:szCs w:val="21"/>
        </w:rPr>
        <w:t>，弥补学员对变电站</w:t>
      </w:r>
      <w:r>
        <w:rPr>
          <w:rFonts w:ascii="Helvetica" w:eastAsia="宋体" w:hAnsi="Helvetica" w:cs="Helvetica" w:hint="eastAsia"/>
          <w:szCs w:val="21"/>
        </w:rPr>
        <w:t>一次、</w:t>
      </w:r>
      <w:r w:rsidRPr="000E50F0">
        <w:rPr>
          <w:rFonts w:ascii="Helvetica" w:eastAsia="宋体" w:hAnsi="Helvetica" w:cs="Helvetica" w:hint="eastAsia"/>
          <w:szCs w:val="21"/>
        </w:rPr>
        <w:t>二次设备特别是二次回路运行检修经验</w:t>
      </w:r>
      <w:r>
        <w:rPr>
          <w:rFonts w:ascii="Helvetica" w:eastAsia="宋体" w:hAnsi="Helvetica" w:cs="Helvetica" w:hint="eastAsia"/>
          <w:szCs w:val="21"/>
        </w:rPr>
        <w:t>不足、测试条件不完整的弊端，实现故障异常模拟、设备功能测试、设备缺陷处理</w:t>
      </w:r>
      <w:r w:rsidRPr="000E50F0">
        <w:rPr>
          <w:rFonts w:ascii="Helvetica" w:eastAsia="宋体" w:hAnsi="Helvetica" w:cs="Helvetica" w:hint="eastAsia"/>
          <w:szCs w:val="21"/>
        </w:rPr>
        <w:t>等</w:t>
      </w:r>
      <w:r>
        <w:rPr>
          <w:rFonts w:ascii="Helvetica" w:eastAsia="宋体" w:hAnsi="Helvetica" w:cs="Helvetica" w:hint="eastAsia"/>
          <w:szCs w:val="21"/>
        </w:rPr>
        <w:t>培训。</w:t>
      </w:r>
    </w:p>
    <w:p w:rsidR="00ED2ECC" w:rsidRDefault="00ED2ECC" w:rsidP="00ED2ECC">
      <w:pPr>
        <w:shd w:val="clear" w:color="auto" w:fill="FFFFFF"/>
        <w:ind w:firstLineChars="150" w:firstLine="330"/>
        <w:rPr>
          <w:rFonts w:ascii="宋体" w:eastAsia="宋体" w:hAnsi="宋体" w:cs="宋体"/>
          <w:sz w:val="24"/>
          <w:szCs w:val="24"/>
        </w:rPr>
      </w:pPr>
      <w:r w:rsidRPr="000E50F0">
        <w:rPr>
          <w:rFonts w:ascii="Helvetica" w:eastAsia="宋体" w:hAnsi="Helvetica" w:cs="Helvetica" w:hint="eastAsia"/>
          <w:szCs w:val="21"/>
        </w:rPr>
        <w:t>将</w:t>
      </w:r>
      <w:r w:rsidRPr="000E50F0">
        <w:rPr>
          <w:rFonts w:ascii="Helvetica" w:eastAsia="宋体" w:hAnsi="Helvetica" w:cs="Helvetica" w:hint="eastAsia"/>
          <w:szCs w:val="21"/>
        </w:rPr>
        <w:t>AR</w:t>
      </w:r>
      <w:r w:rsidRPr="000E50F0">
        <w:rPr>
          <w:rFonts w:ascii="Helvetica" w:eastAsia="宋体" w:hAnsi="Helvetica" w:cs="Helvetica" w:hint="eastAsia"/>
          <w:szCs w:val="21"/>
        </w:rPr>
        <w:t>增强现实技术应用于变电站设备</w:t>
      </w:r>
      <w:r>
        <w:rPr>
          <w:rFonts w:ascii="Helvetica" w:eastAsia="宋体" w:hAnsi="Helvetica" w:cs="Helvetica" w:hint="eastAsia"/>
          <w:szCs w:val="21"/>
        </w:rPr>
        <w:t>检修及</w:t>
      </w:r>
      <w:r w:rsidRPr="000E50F0">
        <w:rPr>
          <w:rFonts w:ascii="Helvetica" w:eastAsia="宋体" w:hAnsi="Helvetica" w:cs="Helvetica" w:hint="eastAsia"/>
          <w:szCs w:val="21"/>
        </w:rPr>
        <w:t>运维工作，借助</w:t>
      </w:r>
      <w:r w:rsidRPr="000E50F0">
        <w:rPr>
          <w:rFonts w:ascii="Helvetica" w:eastAsia="宋体" w:hAnsi="Helvetica" w:cs="Helvetica" w:hint="eastAsia"/>
          <w:szCs w:val="21"/>
        </w:rPr>
        <w:t>AR</w:t>
      </w:r>
      <w:r w:rsidRPr="000E50F0">
        <w:rPr>
          <w:rFonts w:ascii="Helvetica" w:eastAsia="宋体" w:hAnsi="Helvetica" w:cs="Helvetica" w:hint="eastAsia"/>
          <w:szCs w:val="21"/>
        </w:rPr>
        <w:t>技术在图像辨识、影像重构、信息交互方面的优势，通过终端设备扫描捕捉被检查设备的图像信息，并与后台数据库信息进行比对，能够自动检查发现设备的异常，发出提示信息，能够杜绝人工检查的错误。</w:t>
      </w:r>
      <w:r>
        <w:rPr>
          <w:rFonts w:ascii="Helvetica" w:eastAsia="宋体" w:hAnsi="Helvetica" w:cs="Helvetica" w:hint="eastAsia"/>
          <w:szCs w:val="21"/>
        </w:rPr>
        <w:t>可以查看</w:t>
      </w:r>
      <w:r w:rsidRPr="000E50F0">
        <w:rPr>
          <w:rFonts w:ascii="Helvetica" w:eastAsia="宋体" w:hAnsi="Helvetica" w:cs="Helvetica" w:hint="eastAsia"/>
          <w:szCs w:val="21"/>
        </w:rPr>
        <w:t>标准操作规范图像或视频，</w:t>
      </w:r>
      <w:r>
        <w:rPr>
          <w:rFonts w:ascii="Helvetica" w:eastAsia="宋体" w:hAnsi="Helvetica" w:cs="Helvetica" w:hint="eastAsia"/>
          <w:szCs w:val="21"/>
        </w:rPr>
        <w:t>运用</w:t>
      </w:r>
      <w:r w:rsidRPr="000E50F0">
        <w:rPr>
          <w:rFonts w:ascii="Helvetica" w:eastAsia="宋体" w:hAnsi="Helvetica" w:cs="Helvetica" w:hint="eastAsia"/>
          <w:szCs w:val="21"/>
        </w:rPr>
        <w:t>远程专家指导功能，实时进行远程协作及工作指导</w:t>
      </w:r>
      <w:r>
        <w:rPr>
          <w:rFonts w:ascii="Helvetica" w:eastAsia="宋体" w:hAnsi="Helvetica" w:cs="Helvetica" w:hint="eastAsia"/>
          <w:szCs w:val="21"/>
        </w:rPr>
        <w:t>，</w:t>
      </w:r>
      <w:r w:rsidRPr="000E50F0">
        <w:rPr>
          <w:rFonts w:ascii="Helvetica" w:eastAsia="宋体" w:hAnsi="Helvetica" w:cs="Helvetica" w:hint="eastAsia"/>
          <w:szCs w:val="21"/>
        </w:rPr>
        <w:t>使巡检人员</w:t>
      </w:r>
      <w:r>
        <w:rPr>
          <w:rFonts w:ascii="Helvetica" w:eastAsia="宋体" w:hAnsi="Helvetica" w:cs="Helvetica" w:hint="eastAsia"/>
          <w:szCs w:val="21"/>
        </w:rPr>
        <w:t>有效完成智能巡检</w:t>
      </w:r>
      <w:r w:rsidRPr="000E50F0">
        <w:rPr>
          <w:rFonts w:ascii="Helvetica" w:eastAsia="宋体" w:hAnsi="Helvetica" w:cs="Helvetica" w:hint="eastAsia"/>
          <w:szCs w:val="21"/>
        </w:rPr>
        <w:t>。</w:t>
      </w:r>
    </w:p>
    <w:p w:rsidR="00ED2ECC" w:rsidRPr="0011430B" w:rsidRDefault="00ED2ECC" w:rsidP="00ED2ECC">
      <w:pPr>
        <w:shd w:val="clear" w:color="auto" w:fill="FFFFFF"/>
        <w:rPr>
          <w:rFonts w:ascii="Helvetica" w:eastAsia="宋体" w:hAnsi="Helvetica" w:cs="Helvetica"/>
          <w:szCs w:val="21"/>
        </w:rPr>
      </w:pP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sz w:val="24"/>
          <w:szCs w:val="24"/>
        </w:rPr>
        <w:t>网络结构</w:t>
      </w:r>
    </w:p>
    <w:p w:rsidR="00ED2ECC" w:rsidRPr="00E32762" w:rsidRDefault="00ED2ECC" w:rsidP="00ED2ECC">
      <w:pPr>
        <w:shd w:val="clear" w:color="auto" w:fill="FFFFFF"/>
        <w:spacing w:line="315" w:lineRule="atLeast"/>
        <w:ind w:right="495" w:firstLineChars="200" w:firstLine="440"/>
        <w:rPr>
          <w:rFonts w:ascii="Helvetica" w:eastAsia="宋体" w:hAnsi="Helvetica" w:cs="Helvetica"/>
          <w:szCs w:val="21"/>
        </w:rPr>
      </w:pPr>
      <w:r w:rsidRPr="00E32762">
        <w:rPr>
          <w:rFonts w:ascii="Helvetica" w:eastAsia="宋体" w:hAnsi="Helvetica" w:cs="Helvetica" w:hint="eastAsia"/>
          <w:szCs w:val="21"/>
        </w:rPr>
        <w:t>利用多种先进的计算机技术，使</w:t>
      </w:r>
      <w:r w:rsidRPr="00E32762">
        <w:rPr>
          <w:rFonts w:ascii="Helvetica" w:eastAsia="宋体" w:hAnsi="Helvetica" w:cs="Helvetica"/>
          <w:szCs w:val="21"/>
        </w:rPr>
        <w:t>VR/AR</w:t>
      </w:r>
      <w:r w:rsidRPr="00E32762">
        <w:rPr>
          <w:rFonts w:ascii="Helvetica" w:eastAsia="宋体" w:hAnsi="Helvetica" w:cs="Helvetica" w:hint="eastAsia"/>
          <w:szCs w:val="21"/>
        </w:rPr>
        <w:t>输入输出等传感器设备与变电站仿真软件连接通讯。采用数据库形式存储数学仿真模型和</w:t>
      </w:r>
      <w:r w:rsidRPr="00E32762">
        <w:rPr>
          <w:rFonts w:ascii="Helvetica" w:eastAsia="宋体" w:hAnsi="Helvetica" w:cs="Helvetica" w:hint="eastAsia"/>
          <w:szCs w:val="21"/>
        </w:rPr>
        <w:t>3D</w:t>
      </w:r>
      <w:r w:rsidRPr="00E32762">
        <w:rPr>
          <w:rFonts w:ascii="Helvetica" w:eastAsia="宋体" w:hAnsi="Helvetica" w:cs="Helvetica" w:hint="eastAsia"/>
          <w:szCs w:val="21"/>
        </w:rPr>
        <w:t>模型的实时状态信息，通过通讯方式实现两者的状态一致。</w:t>
      </w:r>
      <w:r w:rsidRPr="00E32762">
        <w:rPr>
          <w:rFonts w:ascii="Helvetica" w:eastAsia="宋体" w:hAnsi="Helvetica" w:cs="Helvetica" w:hint="eastAsia"/>
          <w:szCs w:val="21"/>
        </w:rPr>
        <w:t>VR/AR</w:t>
      </w:r>
      <w:r w:rsidRPr="00E32762">
        <w:rPr>
          <w:rFonts w:ascii="Helvetica" w:eastAsia="宋体" w:hAnsi="Helvetica" w:cs="Helvetica" w:hint="eastAsia"/>
          <w:szCs w:val="21"/>
        </w:rPr>
        <w:t>技术软件结构图如下：</w:t>
      </w:r>
    </w:p>
    <w:p w:rsidR="00ED2ECC" w:rsidRDefault="00ED2ECC" w:rsidP="00ED2ECC">
      <w:pPr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3964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CC" w:rsidRDefault="00ED2ECC" w:rsidP="00ED2ECC">
      <w:pPr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305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sz w:val="24"/>
          <w:szCs w:val="24"/>
        </w:rPr>
      </w:pP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sz w:val="24"/>
          <w:szCs w:val="24"/>
        </w:rPr>
        <w:t>系统组成</w:t>
      </w:r>
    </w:p>
    <w:p w:rsidR="00ED2ECC" w:rsidRPr="00015907" w:rsidRDefault="00ED2ECC" w:rsidP="00ED2ECC">
      <w:pPr>
        <w:shd w:val="clear" w:color="auto" w:fill="FFFFFF"/>
        <w:spacing w:line="315" w:lineRule="atLeast"/>
        <w:ind w:right="495" w:firstLine="424"/>
        <w:rPr>
          <w:rFonts w:ascii="宋体" w:eastAsia="宋体" w:hAnsi="宋体" w:cs="宋体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sz w:val="24"/>
          <w:szCs w:val="24"/>
        </w:rPr>
        <w:t>系统主要包括：通用仿真支撑系统(CYBERSIM)、电网动态分析程序、户外一次设备仿真软件、室内控制及保护室仿真软件、教员台及培训管理软件、变电站监控系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统软件、3D场景及设备模型、</w:t>
      </w:r>
      <w:r w:rsidRPr="00155760">
        <w:rPr>
          <w:rFonts w:ascii="宋体" w:eastAsia="宋体" w:hAnsi="宋体" w:cs="宋体"/>
          <w:spacing w:val="-3"/>
          <w:sz w:val="24"/>
          <w:szCs w:val="24"/>
        </w:rPr>
        <w:t>VR/AR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硬件设备以及从实时数据库中数据读取及处理接口程序等</w:t>
      </w:r>
      <w:r w:rsidRPr="00015907">
        <w:rPr>
          <w:rFonts w:ascii="宋体" w:eastAsia="宋体" w:hAnsi="宋体" w:cs="宋体" w:hint="eastAsia"/>
          <w:spacing w:val="-3"/>
          <w:sz w:val="24"/>
          <w:szCs w:val="24"/>
        </w:rPr>
        <w:t>。</w:t>
      </w: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系统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特点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DA028C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仿真系统与虚拟现实设备实现了无缝联接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。</w:t>
      </w:r>
    </w:p>
    <w:p w:rsidR="00ED2ECC" w:rsidRPr="00DA028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基于</w:t>
      </w:r>
      <w:r w:rsidRPr="00155760">
        <w:rPr>
          <w:rFonts w:ascii="宋体" w:eastAsia="宋体" w:hAnsi="宋体" w:cs="宋体"/>
          <w:spacing w:val="-3"/>
          <w:kern w:val="0"/>
          <w:sz w:val="24"/>
          <w:szCs w:val="24"/>
        </w:rPr>
        <w:t>VR/AR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技术的变电站仿真技术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真实的场景，体验感</w:t>
      </w:r>
      <w:r w:rsidRPr="00DA028C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和互动性强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。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电力系统一二次设备的</w:t>
      </w:r>
      <w:r w:rsidRPr="00E40D90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巡视及操作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。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E40D90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具有导航功能，能够快速跳转定位。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实现故障设置及处理流程培训。</w:t>
      </w:r>
    </w:p>
    <w:p w:rsidR="00ED2EC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设备铭牌查看及操作指导</w:t>
      </w:r>
    </w:p>
    <w:p w:rsidR="00ED2ECC" w:rsidRPr="00DA028C" w:rsidRDefault="00ED2ECC" w:rsidP="00ED2ECC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故障诊断及</w:t>
      </w:r>
      <w:r w:rsidRPr="00E40D90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远程专家指导</w:t>
      </w:r>
    </w:p>
    <w:p w:rsidR="00ED2ECC" w:rsidRPr="00015907" w:rsidRDefault="00ED2ECC" w:rsidP="00ED2ECC">
      <w:pPr>
        <w:shd w:val="clear" w:color="auto" w:fill="FFFFFF"/>
        <w:spacing w:line="315" w:lineRule="atLeast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sz w:val="24"/>
          <w:szCs w:val="24"/>
        </w:rPr>
        <w:t>工程应用</w:t>
      </w:r>
    </w:p>
    <w:p w:rsidR="00ED2ECC" w:rsidRDefault="00ED2ECC" w:rsidP="00ED2ECC">
      <w:pPr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78574" cy="2232944"/>
            <wp:effectExtent l="19050" t="0" r="7426" b="0"/>
            <wp:docPr id="10" name="图片 10" descr="C:\Users\liuanyang\Desktop\仿真资料\光伏VR系统截屏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anyang\Desktop\仿真资料\光伏VR系统截屏\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19" cy="223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469404" cy="2232443"/>
            <wp:effectExtent l="19050" t="0" r="7096" b="0"/>
            <wp:docPr id="1" name="图片 1" descr="C:\Users\guodongxia\Desktop\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dongxia\Desktop\图片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44" cy="223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94779" cy="2585032"/>
            <wp:effectExtent l="19050" t="0" r="0" b="0"/>
            <wp:docPr id="6" name="图片 2" descr="F:\朱烨\phot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朱烨\photo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63" cy="25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375259" cy="2584174"/>
            <wp:effectExtent l="19050" t="0" r="5991" b="0"/>
            <wp:docPr id="8" name="图片 3" descr="F:\朱烨\photo\2019_03_19_16_56.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朱烨\photo\2019_03_19_16_56.09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38" cy="258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CC" w:rsidRDefault="00ED2ECC" w:rsidP="00ED2ECC">
      <w:pPr>
        <w:shd w:val="clear" w:color="auto" w:fill="FFFFFF"/>
        <w:spacing w:line="315" w:lineRule="atLeast"/>
        <w:ind w:right="495"/>
        <w:jc w:val="center"/>
        <w:rPr>
          <w:noProof/>
        </w:rPr>
      </w:pPr>
      <w:r w:rsidRPr="00F644A4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334536" cy="2154342"/>
            <wp:effectExtent l="19050" t="0" r="8614" b="0"/>
            <wp:docPr id="24590" name="图片 24590" descr="演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" name="图片 24590" descr="演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57" cy="21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8146" cy="2151550"/>
            <wp:effectExtent l="19050" t="0" r="2154" b="0"/>
            <wp:docPr id="5" name="图片 3" descr="C:\Users\guodongxia\AppData\Local\Microsoft\Windows\Temporary Internet Files\Content.Word\微信图片_201903151325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dongxia\AppData\Local\Microsoft\Windows\Temporary Internet Files\Content.Word\微信图片_2019031513253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6" cy="215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CC" w:rsidRPr="00015907" w:rsidRDefault="00ED2ECC" w:rsidP="00ED2ECC">
      <w:pPr>
        <w:shd w:val="clear" w:color="auto" w:fill="FFFFFF"/>
        <w:spacing w:line="315" w:lineRule="atLeast"/>
        <w:ind w:right="495"/>
        <w:rPr>
          <w:rFonts w:ascii="宋体" w:eastAsia="宋体" w:hAnsi="宋体" w:cs="宋体"/>
          <w:sz w:val="24"/>
          <w:szCs w:val="24"/>
        </w:rPr>
      </w:pPr>
    </w:p>
    <w:p w:rsidR="00ED2ECC" w:rsidRPr="00015907" w:rsidRDefault="00ED2ECC" w:rsidP="00ED2ECC">
      <w:pPr>
        <w:shd w:val="clear" w:color="auto" w:fill="FFFFFF"/>
        <w:spacing w:line="315" w:lineRule="atLeast"/>
        <w:ind w:firstLine="437"/>
        <w:rPr>
          <w:rFonts w:ascii="宋体" w:eastAsia="宋体" w:hAnsi="宋体" w:cs="宋体"/>
          <w:sz w:val="24"/>
          <w:szCs w:val="24"/>
        </w:rPr>
      </w:pPr>
    </w:p>
    <w:p w:rsidR="00ED2ECC" w:rsidRPr="00015907" w:rsidRDefault="00ED2ECC" w:rsidP="00ED2ECC">
      <w:pPr>
        <w:shd w:val="clear" w:color="auto" w:fill="FFFFFF"/>
        <w:spacing w:line="315" w:lineRule="atLeast"/>
        <w:ind w:firstLine="437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sz w:val="24"/>
          <w:szCs w:val="24"/>
        </w:rPr>
        <w:t>四方股份为您提供优质的解决方案，如有任何问题，请与我们联系：</w:t>
      </w:r>
    </w:p>
    <w:p w:rsidR="00ED2ECC" w:rsidRPr="00015907" w:rsidRDefault="00ED2ECC" w:rsidP="00ED2ECC">
      <w:pPr>
        <w:shd w:val="clear" w:color="auto" w:fill="FFFFFF"/>
        <w:spacing w:line="315" w:lineRule="atLeast"/>
        <w:ind w:firstLine="437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sz w:val="24"/>
          <w:szCs w:val="24"/>
        </w:rPr>
        <w:t>邮箱：</w:t>
      </w:r>
      <w:hyperlink r:id="rId15" w:history="1">
        <w:r w:rsidRPr="003729A7">
          <w:rPr>
            <w:rStyle w:val="a5"/>
            <w:rFonts w:ascii="宋体" w:eastAsia="宋体" w:hAnsi="宋体" w:cs="宋体" w:hint="eastAsia"/>
            <w:sz w:val="24"/>
            <w:szCs w:val="24"/>
          </w:rPr>
          <w:t>guodongxia@sf-auto.com</w:t>
        </w:r>
      </w:hyperlink>
    </w:p>
    <w:p w:rsidR="00ED2ECC" w:rsidRPr="00015907" w:rsidRDefault="00ED2ECC" w:rsidP="00ED2ECC">
      <w:pPr>
        <w:shd w:val="clear" w:color="auto" w:fill="FFFFFF"/>
        <w:spacing w:line="315" w:lineRule="atLeast"/>
        <w:ind w:firstLine="437"/>
        <w:rPr>
          <w:rFonts w:ascii="宋体" w:eastAsia="宋体" w:hAnsi="宋体" w:cs="宋体"/>
          <w:sz w:val="24"/>
          <w:szCs w:val="24"/>
        </w:rPr>
      </w:pPr>
      <w:r w:rsidRPr="00015907">
        <w:rPr>
          <w:rFonts w:ascii="宋体" w:eastAsia="宋体" w:hAnsi="宋体" w:cs="宋体" w:hint="eastAsia"/>
          <w:sz w:val="24"/>
          <w:szCs w:val="24"/>
        </w:rPr>
        <w:t>电话：185155138</w:t>
      </w:r>
      <w:r>
        <w:rPr>
          <w:rFonts w:ascii="宋体" w:eastAsia="宋体" w:hAnsi="宋体" w:cs="宋体" w:hint="eastAsia"/>
          <w:sz w:val="24"/>
          <w:szCs w:val="24"/>
        </w:rPr>
        <w:t>81</w:t>
      </w:r>
      <w:r w:rsidRPr="00015907">
        <w:rPr>
          <w:rFonts w:ascii="宋体" w:eastAsia="宋体" w:hAnsi="宋体" w:cs="宋体" w:hint="eastAsia"/>
          <w:sz w:val="24"/>
          <w:szCs w:val="24"/>
        </w:rPr>
        <w:t>/010-8218</w:t>
      </w:r>
      <w:r w:rsidRPr="00CA5982">
        <w:rPr>
          <w:rFonts w:ascii="宋体" w:eastAsia="宋体" w:hAnsi="宋体" w:cs="宋体"/>
          <w:sz w:val="24"/>
          <w:szCs w:val="24"/>
        </w:rPr>
        <w:t>1832</w:t>
      </w:r>
    </w:p>
    <w:p w:rsidR="00ED2ECC" w:rsidRPr="0064115B" w:rsidRDefault="00ED2ECC" w:rsidP="00ED2ECC">
      <w:pPr>
        <w:shd w:val="clear" w:color="auto" w:fill="FFFFFF"/>
        <w:spacing w:line="315" w:lineRule="atLeast"/>
        <w:ind w:firstLine="437"/>
        <w:rPr>
          <w:rFonts w:ascii="宋体" w:eastAsia="宋体" w:hAnsi="宋体" w:cs="宋体"/>
          <w:color w:val="555555"/>
          <w:sz w:val="24"/>
          <w:szCs w:val="24"/>
        </w:rPr>
      </w:pPr>
    </w:p>
    <w:p w:rsidR="00ED2ECC" w:rsidRPr="0064115B" w:rsidRDefault="00ED2ECC" w:rsidP="00ED2ECC">
      <w:pPr>
        <w:shd w:val="clear" w:color="auto" w:fill="FFFFFF"/>
        <w:spacing w:before="60" w:after="75" w:line="360" w:lineRule="atLeast"/>
        <w:jc w:val="center"/>
        <w:rPr>
          <w:rFonts w:ascii="Helvetica" w:eastAsia="宋体" w:hAnsi="Helvetica" w:cs="Helvetica"/>
          <w:color w:val="555555"/>
          <w:szCs w:val="21"/>
        </w:rPr>
      </w:pPr>
      <w:r w:rsidRPr="0064115B">
        <w:rPr>
          <w:rFonts w:ascii="华文中宋" w:eastAsia="华文中宋" w:hAnsi="华文中宋" w:cs="Helvetica" w:hint="eastAsia"/>
          <w:color w:val="004EA2"/>
          <w:sz w:val="29"/>
          <w:szCs w:val="29"/>
        </w:rPr>
        <w:t>★</w:t>
      </w:r>
      <w:r w:rsidRPr="0064115B">
        <w:rPr>
          <w:rFonts w:ascii="宋体" w:eastAsia="宋体" w:hAnsi="宋体" w:cs="Helvetica" w:hint="eastAsia"/>
          <w:b/>
          <w:bCs/>
          <w:color w:val="004EA2"/>
          <w:sz w:val="29"/>
          <w:szCs w:val="29"/>
        </w:rPr>
        <w:t>创新铸就四方，梦想点亮未来</w:t>
      </w:r>
      <w:r w:rsidRPr="0064115B">
        <w:rPr>
          <w:rFonts w:ascii="华文中宋" w:eastAsia="华文中宋" w:hAnsi="华文中宋" w:cs="Helvetica" w:hint="eastAsia"/>
          <w:color w:val="004EA2"/>
          <w:sz w:val="29"/>
          <w:szCs w:val="29"/>
        </w:rPr>
        <w:t>★</w:t>
      </w:r>
    </w:p>
    <w:p w:rsidR="00ED2ECC" w:rsidRPr="0064115B" w:rsidRDefault="00ED2ECC" w:rsidP="00ED2ECC">
      <w:pPr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555555"/>
          <w:szCs w:val="21"/>
        </w:rPr>
      </w:pPr>
      <w:r w:rsidRPr="0064115B">
        <w:rPr>
          <w:rFonts w:ascii="华文中宋" w:eastAsia="华文中宋" w:hAnsi="华文中宋" w:cs="Helvetica" w:hint="eastAsia"/>
          <w:color w:val="004EA2"/>
          <w:sz w:val="29"/>
          <w:szCs w:val="29"/>
        </w:rPr>
        <w:t>★</w:t>
      </w:r>
      <w:r w:rsidRPr="0064115B">
        <w:rPr>
          <w:rFonts w:ascii="Helvetica" w:eastAsia="宋体" w:hAnsi="Helvetica" w:cs="Helvetica"/>
          <w:b/>
          <w:bCs/>
          <w:color w:val="004EA2"/>
          <w:sz w:val="29"/>
          <w:szCs w:val="29"/>
        </w:rPr>
        <w:t>Innovation Lights Our Future</w:t>
      </w:r>
      <w:r w:rsidRPr="0064115B">
        <w:rPr>
          <w:rFonts w:ascii="华文中宋" w:eastAsia="华文中宋" w:hAnsi="华文中宋" w:cs="Helvetica" w:hint="eastAsia"/>
          <w:color w:val="004EA2"/>
          <w:sz w:val="29"/>
          <w:szCs w:val="29"/>
        </w:rPr>
        <w:t>★</w:t>
      </w:r>
    </w:p>
    <w:p w:rsidR="00ED2ECC" w:rsidRPr="007511F9" w:rsidRDefault="00ED2ECC" w:rsidP="00ED2ECC"/>
    <w:p w:rsidR="004358AB" w:rsidRDefault="004358AB" w:rsidP="00D31D50">
      <w:pPr>
        <w:spacing w:line="220" w:lineRule="atLeast"/>
      </w:pPr>
    </w:p>
    <w:sectPr w:rsidR="004358AB" w:rsidSect="00C9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F11" w:rsidRDefault="00961F11" w:rsidP="00ED2ECC">
      <w:pPr>
        <w:spacing w:after="0"/>
      </w:pPr>
      <w:r>
        <w:separator/>
      </w:r>
    </w:p>
  </w:endnote>
  <w:endnote w:type="continuationSeparator" w:id="0">
    <w:p w:rsidR="00961F11" w:rsidRDefault="00961F11" w:rsidP="00ED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F11" w:rsidRDefault="00961F11" w:rsidP="00ED2ECC">
      <w:pPr>
        <w:spacing w:after="0"/>
      </w:pPr>
      <w:r>
        <w:separator/>
      </w:r>
    </w:p>
  </w:footnote>
  <w:footnote w:type="continuationSeparator" w:id="0">
    <w:p w:rsidR="00961F11" w:rsidRDefault="00961F11" w:rsidP="00ED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7B34"/>
    <w:multiLevelType w:val="hybridMultilevel"/>
    <w:tmpl w:val="787CB88C"/>
    <w:lvl w:ilvl="0" w:tplc="33CC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948A7"/>
    <w:rsid w:val="008B7726"/>
    <w:rsid w:val="00961F11"/>
    <w:rsid w:val="00D31D50"/>
    <w:rsid w:val="00ED2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E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E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E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EC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D2EC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2EC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ED2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E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guodongxia@sf-auto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2019-04-16T05:37:00Z</dcterms:modified>
</cp:coreProperties>
</file>