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补充材料</w:t>
      </w:r>
    </w:p>
    <w:p>
      <w:r>
        <w:rPr>
          <w:b/>
        </w:rPr>
        <w:t>预训练蛋白质表征改善同源冷评估下的酶动力学预测</w:t>
      </w:r>
    </w:p>
    <w:p>
      <w:r>
        <w:t>[作者匿名审稿]</w:t>
      </w:r>
    </w:p>
    <w:p/>
    <w:p>
      <w:pPr>
        <w:pStyle w:val="Heading1"/>
      </w:pPr>
      <w:r>
        <w:t>S1: 冻结划分身份</w:t>
      </w:r>
    </w:p>
    <w:p>
      <w:pPr>
        <w:pStyle w:val="ListBullet"/>
      </w:pPr>
      <w:r>
        <w:t xml:space="preserve">源 SHA256: </w:t>
      </w:r>
      <w:r>
        <w:rPr>
          <w:rFonts w:ascii="Consolas" w:hAnsi="Consolas"/>
        </w:rPr>
        <w:t>13643b0b36374f8d3f64d8b014882cf1b3b58946eeaae2b9dcd59e8b2c2d6719</w:t>
      </w:r>
    </w:p>
    <w:p>
      <w:pPr>
        <w:pStyle w:val="ListBullet"/>
      </w:pPr>
      <w:r>
        <w:t xml:space="preserve">划分 SHA256: </w:t>
      </w:r>
      <w:r>
        <w:rPr>
          <w:rFonts w:ascii="Consolas" w:hAnsi="Consolas"/>
        </w:rPr>
        <w:t>ae1793afea078b4a2d8b834e9b9cd7c836d43508e26185ed87d26b8b82f96300</w:t>
      </w:r>
    </w:p>
    <w:p>
      <w:pPr>
        <w:pStyle w:val="ListBullet"/>
      </w:pPr>
      <w:r>
        <w:t xml:space="preserve">MMseqs2 版本: </w:t>
      </w:r>
      <w:r>
        <w:rPr>
          <w:rFonts w:ascii="Consolas" w:hAnsi="Consolas"/>
        </w:rPr>
        <w:t>5d152c612b6ad2a56f657b7a02c127eceaea2a75</w:t>
      </w:r>
    </w:p>
    <w:p>
      <w:pPr>
        <w:pStyle w:val="ListBullet"/>
      </w:pPr>
      <w:r>
        <w:t>聚类: 30% 一致性, 80% 覆盖率, 覆盖模式 0</w:t>
      </w:r>
    </w:p>
    <w:p>
      <w:pPr>
        <w:pStyle w:val="ListBullet"/>
      </w:pPr>
      <w:r>
        <w:t>簇数: 2,204（中位数聚合后 13,157 训练 / 1,640 验证 / 1,646 测试）</w:t>
      </w:r>
    </w:p>
    <w:p/>
    <w:p>
      <w:pPr>
        <w:pStyle w:val="Heading1"/>
      </w:pPr>
      <w:r>
        <w:t>S2: ESM-2 模型配置</w:t>
      </w:r>
    </w:p>
    <w:p>
      <w:pPr>
        <w:pStyle w:val="ListBullet"/>
      </w:pPr>
      <w:r>
        <w:t>模型: esm2_t6_8M_UR50D（6 层，320 维，8M 参数，冻结）</w:t>
      </w:r>
    </w:p>
    <w:p>
      <w:pPr>
        <w:pStyle w:val="ListBullet"/>
      </w:pPr>
      <w:r>
        <w:t>投影: Linear(320, 256) + SiLU + Dropout(0.1) + LayerNorm(256)</w:t>
      </w:r>
    </w:p>
    <w:p>
      <w:pPr>
        <w:pStyle w:val="ListBullet"/>
      </w:pPr>
      <w:r>
        <w:t>分块池化: 128 残基块，掩码均值</w:t>
      </w:r>
    </w:p>
    <w:p>
      <w:pPr>
        <w:pStyle w:val="ListBullet"/>
      </w:pPr>
      <w:r>
        <w:t>序列截断: 最大 512 残基</w:t>
      </w:r>
    </w:p>
    <w:p>
      <w:pPr>
        <w:pStyle w:val="ListBullet"/>
      </w:pPr>
      <w:r>
        <w:t>训练: AdamW, lr=3e-4, 余弦调度, 2 轮预热, 耐心 4</w:t>
      </w:r>
    </w:p>
    <w:p>
      <w:pPr>
        <w:pStyle w:val="ListBullet"/>
      </w:pPr>
      <w:r>
        <w:t>有效批大小: 32（微批次 4，累积 8）</w:t>
      </w:r>
    </w:p>
    <w:p>
      <w:pPr>
        <w:pStyle w:val="ListBullet"/>
      </w:pPr>
      <w:r>
        <w:t>模型参数（总数，含冻结骨干）: 12,946,716</w:t>
      </w:r>
    </w:p>
    <w:p/>
    <w:p>
      <w:pPr>
        <w:pStyle w:val="Heading1"/>
      </w:pPr>
      <w:r>
        <w:t>S3: 架构消融结果（种子 42，从头模型）</w:t>
      </w:r>
    </w:p>
    <w:p>
      <w:r>
        <w:rPr>
          <w:b/>
        </w:rPr>
        <w:t>补充表 S1.</w:t>
      </w:r>
      <w:r>
        <w:t xml:space="preserve"> 单种子消融结果。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消融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测试 RMSE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Delta RMSE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测试 Pearson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任务查询基线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1.4638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0.2731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移除反应上下文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1.5046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0.1908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共享任务查询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1.4911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+0.0273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0.2520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全局均值蛋白质编码器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1.4910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+0.0272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0.2278</w:t>
            </w:r>
          </w:p>
        </w:tc>
      </w:tr>
    </w:tbl>
    <w:p/>
    <w:p>
      <w:pPr>
        <w:pStyle w:val="Heading1"/>
      </w:pPr>
      <w:r>
        <w:t>S4: 逐种子测试结果（ESM-2 多模态）</w:t>
      </w:r>
    </w:p>
    <w:p>
      <w:r>
        <w:rPr>
          <w:b/>
        </w:rPr>
        <w:t>补充表 S2.</w:t>
      </w:r>
      <w:r>
        <w:t xml:space="preserve"> 逐种子测试指标。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种子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测试 RMSE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测试 MAE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测试 Pearson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最佳轮次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1.3880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1.0683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0.3906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1.3754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1.0606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0.3968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1.4114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1.0835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0.3556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均值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1.3916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1.0708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0.3810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标准差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0.0183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0.0117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0.0222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S4a: ESM-2 模态事后诊断</w:t>
      </w:r>
    </w:p>
    <w:p>
      <w:r>
        <w:t>这组比较是在内部测试结果已被观察后设计的；六个新运行开始前冻结了方案。各变体使用相同的 ESM-2 骨干、模型维度、数据划分、目标、训练日程和随机种子。关闭的模态在任务查询融合层中被掩码。结果属于诊断，不能视为独立确认。汇总前已核对源数据和划分身份。</w:t>
      </w:r>
    </w:p>
    <w:p>
      <w:r>
        <w:rPr>
          <w:b/>
        </w:rPr>
        <w:t>补充表 S3.</w:t>
      </w:r>
      <w:r>
        <w:t xml:space="preserve"> 逐种子测试结果与三种子汇总（1,646 条记录）。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变体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种子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Pearson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仅蛋白质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1.1597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0.2171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仅蛋白质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1.5094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1.1682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0.2586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仅蛋白质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1.4969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1.1690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0.1766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仅蛋白质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均值 ± SD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1.5025 ± 0.0064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1.1656 ± 0.0051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0.2174 ± 0.0410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蛋白质＋底物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1.4571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1.1287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0.2734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蛋白质＋底物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1.4278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0.3109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蛋白质＋底物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1.4513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1.1286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0.2529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蛋白质＋底物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均值 ± SD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1.4454 ± 0.0156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1.1200 ± 0.0149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0.2791 ± 0.0294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完整模型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1.3880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1.0683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0.3906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完整模型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1.3754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1.0606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0.3968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完整模型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1.4114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1.0835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0.3556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完整模型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均值 ± SD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1.3916 ± 0.0183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1.0708 ± 0.0117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0.3810 ± 0.0222</w:t>
            </w:r>
          </w:p>
        </w:tc>
      </w:tr>
    </w:tbl>
    <w:p>
      <w:r>
        <w:t xml:space="preserve">蛋白质＋底物相对仅蛋白质的配对平均 RMSE 变化为 −0.0571 ± 0.0213；完整模型相对蛋白质＋底物为 −0.0538 ± 0.0147（均为三个种子的样本标准差）。每个种子的方向一致。机器可读结果及输入身份见 </w:t>
      </w:r>
      <w:r>
        <w:rPr>
          <w:rFonts w:ascii="Consolas" w:hAnsi="Consolas"/>
        </w:rPr>
        <w:t>artifacts/esm2-modality-diagnostic/summary.json</w:t>
      </w:r>
      <w:r>
        <w:t>。</w:t>
      </w:r>
    </w:p>
    <w:p/>
    <w:p>
      <w:pPr>
        <w:pStyle w:val="Heading1"/>
      </w:pPr>
      <w:r>
        <w:t>S5: EnzEngDB 选择协议</w:t>
      </w:r>
    </w:p>
    <w:p>
      <w:pPr>
        <w:pStyle w:val="ListBullet"/>
      </w:pPr>
      <w:r>
        <w:t xml:space="preserve">档案: 30,050,527 字节, SHA256 </w:t>
      </w:r>
      <w:r>
        <w:rPr>
          <w:rFonts w:ascii="Consolas" w:hAnsi="Consolas"/>
        </w:rPr>
        <w:t>8013ad81586db2187162aada0709c1cabc7e7d69f03dd5c199776aaf000dd6ea</w:t>
      </w:r>
    </w:p>
    <w:p>
      <w:pPr>
        <w:pStyle w:val="ListBullet"/>
      </w:pPr>
      <w:r>
        <w:t>接受行数: 跨 160 个活动 245,945 行</w:t>
      </w:r>
    </w:p>
    <w:p>
      <w:pPr>
        <w:pStyle w:val="ListBullet"/>
      </w:pPr>
      <w:r>
        <w:t>标签无关上限: 每活动 2,000 行（按候选 ID 的 SHA256）</w:t>
      </w:r>
    </w:p>
    <w:p>
      <w:pPr>
        <w:pStyle w:val="ListBullet"/>
      </w:pPr>
      <w:r>
        <w:t>同源过滤: MMseqs2 30%/80% 对所有 UniKP 序列</w:t>
      </w:r>
    </w:p>
    <w:p>
      <w:pPr>
        <w:pStyle w:val="ListBullet"/>
      </w:pPr>
      <w:r>
        <w:t>最终选择: 6,423 行, 51 个活动, 零精确序列重叠</w:t>
      </w:r>
    </w:p>
    <w:p>
      <w:pPr>
        <w:pStyle w:val="ListBullet"/>
      </w:pPr>
      <w:r>
        <w:t xml:space="preserve">选择 SHA256: </w:t>
      </w:r>
      <w:r>
        <w:rPr>
          <w:rFonts w:ascii="Consolas" w:hAnsi="Consolas"/>
        </w:rPr>
        <w:t>8e76932fc76b884ea8cf127934683b43b9e896b057b817488a9dc5533cf1fc4b</w:t>
      </w:r>
    </w:p>
    <w:p/>
    <w:p>
      <w:pPr>
        <w:pStyle w:val="Heading1"/>
      </w:pPr>
      <w:r>
        <w:t>S5a：与现代重新训练基线的比较</w:t>
      </w:r>
    </w:p>
    <w:p>
      <w:r>
        <w:t>所有预测器均在冻结训练划分上重新训练，并在1,646条记录的测试划分上各评估一次。UniKP与DLKcat按其冻结协议；CataPro使用缓存ProtT5/MolT5特征上的官方预测头与默认优化器，以固定验证集早停替代官方十折；CatPred为适配管线（非标准残基映射至零嵌入、内存映射特征缓存、独立成员种子修订），围绕冻结的650M参数ESM-2特征与官方集成推理（三组种子 x 每组10成员），非上游运行的逐位复现。</w:t>
      </w:r>
    </w:p>
    <w:p>
      <w:r>
        <w:rPr>
          <w:b/>
        </w:rPr>
        <w:t>补充表S4。</w:t>
      </w:r>
      <w:r>
        <w:t xml:space="preserve"> 三种子汇总（种子间均值 +/- SD）。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Pearson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BioCandidateRanker ESM-2（历史实现）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1.3916 +/- 0.0183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1.0708 +/- 0.0117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0.3810 +/- 0.0222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BioCandidateRanker（当前代码回放历史权重）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1.3956 +/- 0.0174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1.0744 +/- 0.0113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0.3749 +/- 0.0223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CataPro Mode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1.3876 +/- 0.0195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1.0650 +/- 0.0105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0.4320 +/- 0.0004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CatPred Mode B（适配版）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1.3893 +/- 0.0175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1.0744 +/- 0.0144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0.3897 +/- 0.0279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UniKP Mode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1.4093 +/- 0.0094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1.0785 +/- 0.0041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0.3777 +/- 0.0222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DLKcat Mode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1.7138 +/- 0.1415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1.3351 +/- 0.1251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0.1463 +/- 0.0764</w:t>
            </w:r>
          </w:p>
        </w:tc>
      </w:tr>
    </w:tbl>
    <w:p>
      <w:r>
        <w:rPr>
          <w:b/>
        </w:rPr>
        <w:t>补充表S5。</w:t>
      </w:r>
      <w:r>
        <w:t xml:space="preserve"> 探索性家族配对bootstrap，RMSE差值（本模型减基线），5,000次家族重采样的95%区间（219个家族，种子20260918；未做多重比较校正）。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基线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参照实现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RMSE差值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95%区间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CatPred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历史实现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[-0.0555, +0.0634]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CataPro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当前代码回放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+0.0080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[-0.0731, +0.0967]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UniKP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当前代码回放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-0.0137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[-0.0717, +0.0511]</w:t>
            </w:r>
          </w:p>
        </w:tc>
      </w:tr>
    </w:tbl>
    <w:p>
      <w:r>
        <w:t>所有区间均跨零：既未确立优越性，也未确立等效性。机器可读收据：</w:t>
      </w:r>
      <w:r>
        <w:rPr>
          <w:rFonts w:ascii="Consolas" w:hAnsi="Consolas"/>
        </w:rPr>
        <w:t>artifacts/catapro-mode-b/internal-test/</w:t>
      </w:r>
      <w:r>
        <w:t>、</w:t>
      </w:r>
      <w:r>
        <w:rPr>
          <w:rFonts w:ascii="Consolas" w:hAnsi="Consolas"/>
        </w:rPr>
        <w:t>artifacts/catpred-mode-b/internal-test/</w:t>
      </w:r>
      <w:r>
        <w:t>、</w:t>
      </w:r>
      <w:r>
        <w:rPr>
          <w:rFonts w:ascii="Consolas" w:hAnsi="Consolas"/>
        </w:rPr>
        <w:t>artifacts/paired-family-analysis/current-code/paired-bootstrap.json</w:t>
      </w:r>
      <w:r>
        <w:t xml:space="preserve">；冻结协议 </w:t>
      </w:r>
      <w:r>
        <w:rPr>
          <w:rFonts w:ascii="Consolas" w:hAnsi="Consolas"/>
        </w:rPr>
        <w:t>configs/catapro_internal_test_freeze.json</w:t>
      </w:r>
      <w:r>
        <w:t>、</w:t>
      </w:r>
      <w:r>
        <w:rPr>
          <w:rFonts w:ascii="Consolas" w:hAnsi="Consolas"/>
        </w:rPr>
        <w:t>configs/catpred_internal_test_protocol.json</w:t>
      </w:r>
      <w:r>
        <w:t>。</w:t>
      </w:r>
    </w:p>
    <w:p/>
    <w:p>
      <w:pPr>
        <w:pStyle w:val="Heading1"/>
      </w:pPr>
      <w:r>
        <w:t>S6: 声明边界</w:t>
      </w:r>
    </w:p>
    <w:p>
      <w:r>
        <w:t>本工作建立了内部同源冷预测增益，并完成模态事后诊断。未建立：校准不确定性、外部 kcat 验证、活性或通量预测、候选排序效用、或酶工程决策的出版级效力。前瞻性独立基准仍未完成（209/300 条记录，28/30 个家族）。未对前瞻性池生成模型预测。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