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rPr>
          <w:b/>
        </w:rPr>
        <w:t>Pretrained Protein Representations Improve Enzyme Kinetic Prediction under Homology-Cold Evaluation</w:t>
      </w:r>
    </w:p>
    <w:p>
      <w:r>
        <w:t>[Authors anonymized for review]</w:t>
      </w:r>
    </w:p>
    <w:p/>
    <w:p>
      <w:pPr>
        <w:pStyle w:val="Heading1"/>
      </w:pPr>
      <w:r>
        <w:t>S1: Frozen Split Identities</w:t>
      </w:r>
    </w:p>
    <w:p>
      <w:pPr>
        <w:pStyle w:val="ListBullet"/>
      </w:pPr>
      <w:r>
        <w:t xml:space="preserve">Source SHA256: </w:t>
      </w:r>
      <w:r>
        <w:rPr>
          <w:rFonts w:ascii="Consolas" w:hAnsi="Consolas"/>
        </w:rPr>
        <w:t>13643b0b36374f8d3f64d8b014882cf1b3b58946eeaae2b9dcd59e8b2c2d6719</w:t>
      </w:r>
    </w:p>
    <w:p>
      <w:pPr>
        <w:pStyle w:val="ListBullet"/>
      </w:pPr>
      <w:r>
        <w:t xml:space="preserve">Split SHA256: </w:t>
      </w:r>
      <w:r>
        <w:rPr>
          <w:rFonts w:ascii="Consolas" w:hAnsi="Consolas"/>
        </w:rPr>
        <w:t>ae1793afea078b4a2d8b834e9b9cd7c836d43508e26185ed87d26b8b82f96300</w:t>
      </w:r>
    </w:p>
    <w:p>
      <w:pPr>
        <w:pStyle w:val="ListBullet"/>
      </w:pPr>
      <w:r>
        <w:t xml:space="preserve">MMseqs2 version: </w:t>
      </w:r>
      <w:r>
        <w:rPr>
          <w:rFonts w:ascii="Consolas" w:hAnsi="Consolas"/>
        </w:rPr>
        <w:t>5d152c612b6ad2a56f657b7a02c127eceaea2a75</w:t>
      </w:r>
    </w:p>
    <w:p>
      <w:pPr>
        <w:pStyle w:val="ListBullet"/>
      </w:pPr>
      <w:r>
        <w:t>Clustering: 30% identity, 80% coverage, coverage mode 0</w:t>
      </w:r>
    </w:p>
    <w:p>
      <w:pPr>
        <w:pStyle w:val="ListBullet"/>
      </w:pPr>
      <w:r>
        <w:t>Clusters: 2,204 (13,157 train / 1,640 validation / 1,646 test after median aggregation)</w:t>
      </w:r>
    </w:p>
    <w:p/>
    <w:p>
      <w:pPr>
        <w:pStyle w:val="Heading1"/>
      </w:pPr>
      <w:r>
        <w:t>S2: ESM-2 Model Configuration</w:t>
      </w:r>
    </w:p>
    <w:p>
      <w:pPr>
        <w:pStyle w:val="ListBullet"/>
      </w:pPr>
      <w:r>
        <w:t>Model: esm2_t6_8M_UR50D (6 layers, 320-dim, 8M parameters, frozen)</w:t>
      </w:r>
    </w:p>
    <w:p>
      <w:pPr>
        <w:pStyle w:val="ListBullet"/>
      </w:pPr>
      <w:r>
        <w:t>Projection: Linear(320, 256) + SiLU + Dropout(0.1) + LayerNorm(256)</w:t>
      </w:r>
    </w:p>
    <w:p>
      <w:pPr>
        <w:pStyle w:val="ListBullet"/>
      </w:pPr>
      <w:r>
        <w:t>Chunk pooling: 128-residue chunks, masked mean</w:t>
      </w:r>
    </w:p>
    <w:p>
      <w:pPr>
        <w:pStyle w:val="ListBullet"/>
      </w:pPr>
      <w:r>
        <w:t>Sequence truncation: 512 residues maximum</w:t>
      </w:r>
    </w:p>
    <w:p>
      <w:pPr>
        <w:pStyle w:val="ListBullet"/>
      </w:pPr>
      <w:r>
        <w:t>Training: AdamW, lr=3e-4, cosine schedule, 2-epoch warmup, patience 4</w:t>
      </w:r>
    </w:p>
    <w:p>
      <w:pPr>
        <w:pStyle w:val="ListBullet"/>
      </w:pPr>
      <w:r>
        <w:t>Effective batch size: 32 (micro-batch 4, accumulation 8)</w:t>
      </w:r>
    </w:p>
    <w:p>
      <w:pPr>
        <w:pStyle w:val="ListBullet"/>
      </w:pPr>
      <w:r>
        <w:t>Model parameters (total, including frozen backbone): 12,946,716</w:t>
      </w:r>
    </w:p>
    <w:p/>
    <w:p>
      <w:pPr>
        <w:pStyle w:val="Heading1"/>
      </w:pPr>
      <w:r>
        <w:t>S3: Architecture Ablation Results (Seed 42, From-Scratch Model)</w:t>
      </w:r>
    </w:p>
    <w:p>
      <w:r>
        <w:rPr>
          <w:b/>
        </w:rPr>
        <w:t>Supplementary Table S1.</w:t>
      </w:r>
      <w:r>
        <w:t xml:space="preserve"> Single-seed ablation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Ablation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Test RMSE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Delta RMSE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Test Pearson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Task-query baseline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1.4638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0.2731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Remove reaction 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0.1908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 task 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1.4911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0.2520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Global-mean protein encoder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1.4910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+0.0272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0.2278</w:t>
            </w:r>
          </w:p>
        </w:tc>
      </w:tr>
    </w:tbl>
    <w:p/>
    <w:p>
      <w:pPr>
        <w:pStyle w:val="Heading1"/>
      </w:pPr>
      <w:r>
        <w:t>S4: Per-Seed Test Results (ESM-2 Multimodal)</w:t>
      </w:r>
    </w:p>
    <w:p>
      <w:r>
        <w:rPr>
          <w:b/>
        </w:rPr>
        <w:t>Supplementary Table S2.</w:t>
      </w:r>
      <w:r>
        <w:t xml:space="preserve"> Per-seed test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 Pearson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Best Epoch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1.3880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1.0683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0.3906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1.3754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1.0606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0.3968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1.4114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1.0835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0.3556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1.3916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1.0708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0.3810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0.0183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0.0117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0.0222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S4a: Post-Hoc ESM-2 Modality Diagnostics</w:t>
      </w:r>
    </w:p>
    <w:p>
      <w:r>
        <w:t>The internal test was observed before this comparison. The protocol was frozen before the six new runs. All variants use the same ESM-2 backbone, model width, split, target, training schedule, and seeds. Disabled modalities are masked in the task-query fusion model. Results are diagnostic, not independent confirmation. Source and split identities were checked against the full-model reference before summary.</w:t>
      </w:r>
    </w:p>
    <w:p>
      <w:r>
        <w:rPr>
          <w:b/>
        </w:rPr>
        <w:t>Supplementary Table S3.</w:t>
      </w:r>
      <w:r>
        <w:t xml:space="preserve"> Per-seed test results and three-seed summaries (1,646 records).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Variant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Pearson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Protein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1.1597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0.2171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Protein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1.5094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1.1682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0.2586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Protein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1.4969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1.1690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0.1766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Protein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Mean ± 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1.5025 ± 0.0064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1.1656 ± 0.0051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0.2174 ± 0.0410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Protein + substrate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1.4571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1.1287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0.2734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Protein + substrate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1.4278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0.3109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Protein + substrate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1.4513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1.1286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0.2529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Protein + substrate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Mean ± 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1.4454 ± 0.0156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1.1200 ± 0.0149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0.2791 ± 0.0294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Full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1.3880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1.0683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0.3906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Full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1.3754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1.0606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0.3968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Full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1.4114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1.0835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0.3556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Full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Mean ± SD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1.3916 ± 0.0183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1.0708 ± 0.0117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0.3810 ± 0.0222</w:t>
            </w:r>
          </w:p>
        </w:tc>
      </w:tr>
    </w:tbl>
    <w:p>
      <w:r>
        <w:t xml:space="preserve">Paired mean RMSE changes are −0.0571 ± 0.0213 for protein + substrate versus protein only, and −0.0538 ± 0.0147 for full versus protein + substrate (sample SD across three seeds). Both directions are consistent across seeds. Machine-readable values and input identities are in </w:t>
      </w:r>
      <w:r>
        <w:rPr>
          <w:rFonts w:ascii="Consolas" w:hAnsi="Consolas"/>
        </w:rPr>
        <w:t>artifacts/esm2-modality-diagnostic/summary.json</w:t>
      </w:r>
      <w:r>
        <w:t>.</w:t>
      </w:r>
    </w:p>
    <w:p/>
    <w:p>
      <w:pPr>
        <w:pStyle w:val="Heading1"/>
      </w:pPr>
      <w:r>
        <w:t>S5: EnzEngDB Selection Protocol</w:t>
      </w:r>
    </w:p>
    <w:p>
      <w:pPr>
        <w:pStyle w:val="ListBullet"/>
      </w:pPr>
      <w:r>
        <w:t xml:space="preserve">Archive: 30,050,527 bytes, SHA256 </w:t>
      </w:r>
      <w:r>
        <w:rPr>
          <w:rFonts w:ascii="Consolas" w:hAnsi="Consolas"/>
        </w:rPr>
        <w:t>8013ad81586db2187162aada0709c1cabc7e7d69f03dd5c199776aaf000dd6ea</w:t>
      </w:r>
    </w:p>
    <w:p>
      <w:pPr>
        <w:pStyle w:val="ListBullet"/>
      </w:pPr>
      <w:r>
        <w:t>Accepted rows: 245,945 across 160 campaigns</w:t>
      </w:r>
    </w:p>
    <w:p>
      <w:pPr>
        <w:pStyle w:val="ListBullet"/>
      </w:pPr>
      <w:r>
        <w:t>Label-independent cap: 2,000 rows per campaign by SHA256 of candidate ID</w:t>
      </w:r>
    </w:p>
    <w:p>
      <w:pPr>
        <w:pStyle w:val="ListBullet"/>
      </w:pPr>
      <w:r>
        <w:t>Homology filtering: MMseqs2 30%/80% against all UniKP sequences</w:t>
      </w:r>
    </w:p>
    <w:p>
      <w:pPr>
        <w:pStyle w:val="ListBullet"/>
      </w:pPr>
      <w:r>
        <w:t>Final selection: 6,423 rows, 51 campaigns, zero exact sequence overlap</w:t>
      </w:r>
    </w:p>
    <w:p>
      <w:pPr>
        <w:pStyle w:val="ListBullet"/>
      </w:pPr>
      <w:r>
        <w:t xml:space="preserve">Selection SHA256: </w:t>
      </w:r>
      <w:r>
        <w:rPr>
          <w:rFonts w:ascii="Consolas" w:hAnsi="Consolas"/>
        </w:rPr>
        <w:t>8e76932fc76b884ea8cf127934683b43b9e896b057b817488a9dc5533cf1fc4b</w:t>
      </w:r>
    </w:p>
    <w:p/>
    <w:p>
      <w:pPr>
        <w:pStyle w:val="Heading1"/>
      </w:pPr>
      <w:r>
        <w:t>S5a: Comparison With Retrained Modern Baselines</w:t>
      </w:r>
    </w:p>
    <w:p>
      <w:r>
        <w:t>All predictors were retrained on the frozen training partition and evaluated once on the 1,646-record test partition. UniKP and DLKcat follow their frozen protocols; CataPro uses the official head and default optimizer over cached ProtT5/MolT5 features with fixed-validation early stopping; CatPred is an adapted pipeline (non-standard residues mapped to a zero embedding, memory-mapped feature cache, per-member seed revision) around frozen 650M-parameter ESM-2 features with official ensemble inference (three group seeds x 10 ensemble members), not a bit-level reproduction of the upstream run.</w:t>
      </w:r>
    </w:p>
    <w:p>
      <w:r>
        <w:rPr>
          <w:b/>
        </w:rPr>
        <w:t>Supplementary Table S4.</w:t>
      </w:r>
      <w:r>
        <w:t xml:space="preserve"> Three-seed summaries (mean +/- SD over seeds).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Pearson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BioCandidateRanker ESM-2 (historical implementation)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1.3916 +/- 0.0183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1.0708 +/- 0.0117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0.3810 +/- 0.0222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BioCandidateRanker (current-code replay of historical weights)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1.3956 +/- 0.0174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1.0744 +/- 0.0113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0.3749 +/- 0.0223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CataPro Mode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1.3876 +/- 0.0195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1.0650 +/- 0.0105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0.4320 +/- 0.0004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CatPred Mode B (adapted)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1.3893 +/- 0.0175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1.0744 +/- 0.0144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0.3897 +/- 0.0279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UniKP Mode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1.4093 +/- 0.0094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1.0785 +/- 0.0041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0.3777 +/- 0.0222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DLKcat Mode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1.7138 +/- 0.1415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1.3351 +/- 0.1251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0.1463 +/- 0.0764</w:t>
            </w:r>
          </w:p>
        </w:tc>
      </w:tr>
    </w:tbl>
    <w:p>
      <w:r>
        <w:rPr>
          <w:b/>
        </w:rPr>
        <w:t>Supplementary Table S5.</w:t>
      </w:r>
      <w:r>
        <w:t xml:space="preserve"> Exploratory family-level paired bootstrap, RMSE difference (ours minus baseline), 95% interval over 5,000 family resamples (219 families, seed 20260918; no multiple-comparison correction).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Reference implementation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RMSE difference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95% interval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CatPred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[-0.0555, +0.0634]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CataPro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current-code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[-0.0731, +0.0967]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UniKP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current-code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[-0.0717, +0.0511]</w:t>
            </w:r>
          </w:p>
        </w:tc>
      </w:tr>
    </w:tbl>
    <w:p>
      <w:r>
        <w:t xml:space="preserve">Every interval crosses zero: neither superiority nor equivalence is established. Machine-readable receipts: </w:t>
      </w:r>
      <w:r>
        <w:rPr>
          <w:rFonts w:ascii="Consolas" w:hAnsi="Consolas"/>
        </w:rPr>
        <w:t>artifacts/catapro-mode-b/internal-test/</w:t>
      </w:r>
      <w:r>
        <w:t xml:space="preserve">, </w:t>
      </w:r>
      <w:r>
        <w:rPr>
          <w:rFonts w:ascii="Consolas" w:hAnsi="Consolas"/>
        </w:rPr>
        <w:t>artifacts/catpred-mode-b/internal-test/</w:t>
      </w:r>
      <w:r>
        <w:t xml:space="preserve">, </w:t>
      </w:r>
      <w:r>
        <w:rPr>
          <w:rFonts w:ascii="Consolas" w:hAnsi="Consolas"/>
        </w:rPr>
        <w:t>artifacts/paired-family-analysis/current-code/paired-bootstrap.json</w:t>
      </w:r>
      <w:r>
        <w:t xml:space="preserve">; frozen protocols </w:t>
      </w:r>
      <w:r>
        <w:rPr>
          <w:rFonts w:ascii="Consolas" w:hAnsi="Consolas"/>
        </w:rPr>
        <w:t>configs/catapro_internal_test_freeze.json</w:t>
      </w:r>
      <w:r>
        <w:t xml:space="preserve">, </w:t>
      </w:r>
      <w:r>
        <w:rPr>
          <w:rFonts w:ascii="Consolas" w:hAnsi="Consolas"/>
        </w:rPr>
        <w:t>configs/catpred_internal_test_protocol.json</w:t>
      </w:r>
      <w:r>
        <w:t>.</w:t>
      </w:r>
    </w:p>
    <w:p/>
    <w:p>
      <w:pPr>
        <w:pStyle w:val="Heading1"/>
      </w:pPr>
      <w:r>
        <w:t>S6: Claim Boundary</w:t>
      </w:r>
    </w:p>
    <w:p>
      <w:r>
        <w:t>This work establishes an internal homology-cold predictive gain and post-hoc modality diagnostic. It does not establish: calibrated uncertainty, external kcat validation, activity or flux prediction, candidate ranking utility, or publication-grade efficacy for enzyme engineering decisions. The prospective independent benchmark remains incomplete (209/300 records, 28/30 families). No model predictions have been generated for the prospective pool.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