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rPr>
          <w:b/>
          <w:bCs/>
        </w:rPr>
        <w:t xml:space="preserve">Pretrained Protein Representations Unlock Multimodal Fusion Gains for Enzyme Kinetic Prediction</w:t>
      </w:r>
    </w:p>
    <w:p>
      <w:pPr>
        <w:pStyle w:val="BodyText"/>
      </w:pPr>
      <w:r>
        <w:t xml:space="preserve">[Authors anonymized for review]</w:t>
      </w:r>
    </w:p>
    <w:p>
      <w:r>
        <w:pict>
          <v:rect style="width:0;height:1.5pt" o:hralign="center" o:hrstd="t" o:hr="t"/>
        </w:pict>
      </w:r>
    </w:p>
    <w:bookmarkStart w:id="9" w:name="s1-frozen-split-identities"/>
    <w:p>
      <w:pPr>
        <w:pStyle w:val="Heading2"/>
      </w:pPr>
      <w:r>
        <w:t xml:space="preserve">S1: Frozen Split Identities</w:t>
      </w:r>
    </w:p>
    <w:p>
      <w:pPr>
        <w:pStyle w:val="Compact"/>
        <w:numPr>
          <w:ilvl w:val="0"/>
          <w:numId w:val="1001"/>
        </w:numPr>
      </w:pPr>
      <w:r>
        <w:t xml:space="preserve">Source SHA256:</w:t>
      </w:r>
      <w:r>
        <w:t xml:space="preserve"> </w:t>
      </w:r>
      <w:r>
        <w:rPr>
          <w:rStyle w:val="VerbatimChar"/>
        </w:rPr>
        <w:t xml:space="preserve">13643b0b36374f8d3f64d8b014882cf1b3b58946eeaae2b9dcd59e8b2c2d6719</w:t>
      </w:r>
    </w:p>
    <w:p>
      <w:pPr>
        <w:pStyle w:val="Compact"/>
        <w:numPr>
          <w:ilvl w:val="0"/>
          <w:numId w:val="1001"/>
        </w:numPr>
      </w:pPr>
      <w:r>
        <w:t xml:space="preserve">Split SHA256:</w:t>
      </w:r>
      <w:r>
        <w:t xml:space="preserve"> </w:t>
      </w:r>
      <w:r>
        <w:rPr>
          <w:rStyle w:val="VerbatimChar"/>
        </w:rPr>
        <w:t xml:space="preserve">ae1793afea078b4a2d8b834e9b9cd7c836d43508e26185ed87d26b8b82f96300</w:t>
      </w:r>
    </w:p>
    <w:p>
      <w:pPr>
        <w:pStyle w:val="Compact"/>
        <w:numPr>
          <w:ilvl w:val="0"/>
          <w:numId w:val="1001"/>
        </w:numPr>
      </w:pPr>
      <w:r>
        <w:t xml:space="preserve">MMseqs2 version:</w:t>
      </w:r>
      <w:r>
        <w:t xml:space="preserve"> </w:t>
      </w:r>
      <w:r>
        <w:rPr>
          <w:rStyle w:val="VerbatimChar"/>
        </w:rPr>
        <w:t xml:space="preserve">5d152c612b6ad2a56f657b7a02c127eceaea2a75</w:t>
      </w:r>
    </w:p>
    <w:p>
      <w:pPr>
        <w:pStyle w:val="Compact"/>
        <w:numPr>
          <w:ilvl w:val="0"/>
          <w:numId w:val="1001"/>
        </w:numPr>
      </w:pPr>
      <w:r>
        <w:t xml:space="preserve">Clustering: 30% identity, 80% coverage, coverage mode 0</w:t>
      </w:r>
    </w:p>
    <w:p>
      <w:pPr>
        <w:pStyle w:val="Compact"/>
        <w:numPr>
          <w:ilvl w:val="0"/>
          <w:numId w:val="1001"/>
        </w:numPr>
      </w:pPr>
      <w:r>
        <w:t xml:space="preserve">Clusters: 2,204 (13,157 train / 1,640 validation / 1,646 test after median aggregation)</w:t>
      </w:r>
    </w:p>
    <w:p>
      <w:r>
        <w:pict>
          <v:rect style="width:0;height:1.5pt" o:hralign="center" o:hrstd="t" o:hr="t"/>
        </w:pict>
      </w:r>
    </w:p>
    <w:bookmarkEnd w:id="9"/>
    <w:bookmarkStart w:id="10" w:name="s2-esm-2-model-configuration"/>
    <w:p>
      <w:pPr>
        <w:pStyle w:val="Heading2"/>
      </w:pPr>
      <w:r>
        <w:t xml:space="preserve">S2: ESM-2 Model Configuration</w:t>
      </w:r>
    </w:p>
    <w:p>
      <w:pPr>
        <w:pStyle w:val="Compact"/>
        <w:numPr>
          <w:ilvl w:val="0"/>
          <w:numId w:val="1002"/>
        </w:numPr>
      </w:pPr>
      <w:r>
        <w:t xml:space="preserve">Model: esm2_t6_8M_UR50D (6 layers, 320-dim, 8M parameters, frozen)</w:t>
      </w:r>
    </w:p>
    <w:p>
      <w:pPr>
        <w:pStyle w:val="Compact"/>
        <w:numPr>
          <w:ilvl w:val="0"/>
          <w:numId w:val="1002"/>
        </w:numPr>
      </w:pPr>
      <w:r>
        <w:t xml:space="preserve">Projection: Linear(320, 256) + SiLU + Dropout(0.1) + LayerNorm(256)</w:t>
      </w:r>
    </w:p>
    <w:p>
      <w:pPr>
        <w:pStyle w:val="Compact"/>
        <w:numPr>
          <w:ilvl w:val="0"/>
          <w:numId w:val="1002"/>
        </w:numPr>
      </w:pPr>
      <w:r>
        <w:t xml:space="preserve">Chunk pooling: 128-residue chunks, masked mean</w:t>
      </w:r>
    </w:p>
    <w:p>
      <w:pPr>
        <w:pStyle w:val="Compact"/>
        <w:numPr>
          <w:ilvl w:val="0"/>
          <w:numId w:val="1002"/>
        </w:numPr>
      </w:pPr>
      <w:r>
        <w:t xml:space="preserve">Sequence truncation: 512 residues maximum</w:t>
      </w:r>
    </w:p>
    <w:p>
      <w:pPr>
        <w:pStyle w:val="Compact"/>
        <w:numPr>
          <w:ilvl w:val="0"/>
          <w:numId w:val="1002"/>
        </w:numPr>
      </w:pPr>
      <w:r>
        <w:t xml:space="preserve">Training: AdamW, lr=3e-4, cosine schedule, 2-epoch warmup, patience 4</w:t>
      </w:r>
    </w:p>
    <w:p>
      <w:pPr>
        <w:pStyle w:val="Compact"/>
        <w:numPr>
          <w:ilvl w:val="0"/>
          <w:numId w:val="1002"/>
        </w:numPr>
      </w:pPr>
      <w:r>
        <w:t xml:space="preserve">Effective batch size: 32 (micro-batch 4, accumulation 8)</w:t>
      </w:r>
    </w:p>
    <w:p>
      <w:pPr>
        <w:pStyle w:val="Compact"/>
        <w:numPr>
          <w:ilvl w:val="0"/>
          <w:numId w:val="1002"/>
        </w:numPr>
      </w:pPr>
      <w:r>
        <w:t xml:space="preserve">Model parameters (trainable): 12,946,716</w:t>
      </w:r>
    </w:p>
    <w:p>
      <w:r>
        <w:pict>
          <v:rect style="width:0;height:1.5pt" o:hralign="center" o:hrstd="t" o:hr="t"/>
        </w:pict>
      </w:r>
    </w:p>
    <w:bookmarkEnd w:id="10"/>
    <w:bookmarkStart w:id="11" w:name="Xfba659779cdf1cf088cee417f8607a55f1b3fe6"/>
    <w:p>
      <w:pPr>
        <w:pStyle w:val="Heading2"/>
      </w:pPr>
      <w:r>
        <w:t xml:space="preserve">S3: Architecture Ablation Results (Seed 42, From-Scratch Model)</w:t>
      </w:r>
    </w:p>
    <w:p>
      <w:pPr>
        <w:pStyle w:val="FirstParagraph"/>
      </w:pPr>
      <w:r>
        <w:rPr>
          <w:b/>
          <w:bCs/>
        </w:rPr>
        <w:t xml:space="preserve">Supplementary Table S1.</w:t>
      </w:r>
      <w:r>
        <w:t xml:space="preserve"> </w:t>
      </w:r>
      <w:r>
        <w:t xml:space="preserve">Single-seed ablation results.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Ablation</w:t>
            </w:r>
          </w:p>
        </w:tc>
        <w:tc>
          <w:tcPr/>
          <w:p>
            <w:pPr>
              <w:pStyle w:val="Compact"/>
            </w:pPr>
            <w:r>
              <w:t xml:space="preserve">Test RMSE</w:t>
            </w:r>
          </w:p>
        </w:tc>
        <w:tc>
          <w:tcPr/>
          <w:p>
            <w:pPr>
              <w:pStyle w:val="Compact"/>
            </w:pPr>
            <w:r>
              <w:t xml:space="preserve">Delta RMSE</w:t>
            </w:r>
          </w:p>
        </w:tc>
        <w:tc>
          <w:tcPr/>
          <w:p>
            <w:pPr>
              <w:pStyle w:val="Compact"/>
            </w:pPr>
            <w:r>
              <w:t xml:space="preserve">Test Pearson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Task-query baseline</w:t>
            </w:r>
          </w:p>
        </w:tc>
        <w:tc>
          <w:tcPr/>
          <w:p>
            <w:pPr>
              <w:pStyle w:val="Compact"/>
            </w:pPr>
            <w:r>
              <w:t xml:space="preserve">1.4638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0.2731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reaction context</w:t>
            </w:r>
          </w:p>
        </w:tc>
        <w:tc>
          <w:tcPr/>
          <w:p>
            <w:pPr>
              <w:pStyle w:val="Compact"/>
            </w:pPr>
            <w:r>
              <w:t xml:space="preserve">1.5046</w:t>
            </w:r>
          </w:p>
        </w:tc>
        <w:tc>
          <w:tcPr/>
          <w:p>
            <w:pPr>
              <w:pStyle w:val="Compact"/>
            </w:pPr>
            <w:r>
              <w:t xml:space="preserve">+0.0409</w:t>
            </w:r>
          </w:p>
        </w:tc>
        <w:tc>
          <w:tcPr/>
          <w:p>
            <w:pPr>
              <w:pStyle w:val="Compact"/>
            </w:pPr>
            <w:r>
              <w:t xml:space="preserve">0.1908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task query</w:t>
            </w:r>
          </w:p>
        </w:tc>
        <w:tc>
          <w:tcPr/>
          <w:p>
            <w:pPr>
              <w:pStyle w:val="Compact"/>
            </w:pPr>
            <w:r>
              <w:t xml:space="preserve">1.4911</w:t>
            </w:r>
          </w:p>
        </w:tc>
        <w:tc>
          <w:tcPr/>
          <w:p>
            <w:pPr>
              <w:pStyle w:val="Compact"/>
            </w:pPr>
            <w:r>
              <w:t xml:space="preserve">+0.0273</w:t>
            </w:r>
          </w:p>
        </w:tc>
        <w:tc>
          <w:tcPr/>
          <w:p>
            <w:pPr>
              <w:pStyle w:val="Compact"/>
            </w:pPr>
            <w:r>
              <w:t xml:space="preserve">0.2520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Global-mean protein encoder</w:t>
            </w:r>
          </w:p>
        </w:tc>
        <w:tc>
          <w:tcPr/>
          <w:p>
            <w:pPr>
              <w:pStyle w:val="Compact"/>
            </w:pPr>
            <w:r>
              <w:t xml:space="preserve">1.4910</w:t>
            </w:r>
          </w:p>
        </w:tc>
        <w:tc>
          <w:tcPr/>
          <w:p>
            <w:pPr>
              <w:pStyle w:val="Compact"/>
            </w:pPr>
            <w:r>
              <w:t xml:space="preserve">+0.0272</w:t>
            </w:r>
          </w:p>
        </w:tc>
        <w:tc>
          <w:tcPr/>
          <w:p>
            <w:pPr>
              <w:pStyle w:val="Compact"/>
            </w:pPr>
            <w:r>
              <w:t xml:space="preserve">0.2278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870575fdead6c26770f110a990e9c358d9dfd95"/>
    <w:p>
      <w:pPr>
        <w:pStyle w:val="Heading2"/>
      </w:pPr>
      <w:r>
        <w:t xml:space="preserve">S4: Per-Seed Test Results (ESM-2 Multimodal)</w:t>
      </w:r>
    </w:p>
    <w:p>
      <w:pPr>
        <w:pStyle w:val="FirstParagraph"/>
      </w:pPr>
      <w:r>
        <w:rPr>
          <w:b/>
          <w:bCs/>
        </w:rPr>
        <w:t xml:space="preserve">Supplementary Table S2.</w:t>
      </w:r>
      <w:r>
        <w:t xml:space="preserve"> </w:t>
      </w:r>
      <w:r>
        <w:t xml:space="preserve">Per-seed test metrics.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Test RMSE</w:t>
            </w:r>
          </w:p>
        </w:tc>
        <w:tc>
          <w:tcPr/>
          <w:p>
            <w:pPr>
              <w:pStyle w:val="Compact"/>
            </w:pPr>
            <w:r>
              <w:t xml:space="preserve">Test MAE</w:t>
            </w:r>
          </w:p>
        </w:tc>
        <w:tc>
          <w:tcPr/>
          <w:p>
            <w:pPr>
              <w:pStyle w:val="Compact"/>
            </w:pPr>
            <w:r>
              <w:t xml:space="preserve">Test Pearson</w:t>
            </w:r>
          </w:p>
        </w:tc>
        <w:tc>
          <w:tcPr/>
          <w:p>
            <w:pPr>
              <w:pStyle w:val="Compact"/>
            </w:pPr>
            <w:r>
              <w:t xml:space="preserve">Best Epoch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1.3880</w:t>
            </w:r>
          </w:p>
        </w:tc>
        <w:tc>
          <w:tcPr/>
          <w:p>
            <w:pPr>
              <w:pStyle w:val="Compact"/>
            </w:pPr>
            <w:r>
              <w:t xml:space="preserve">1.0683</w:t>
            </w:r>
          </w:p>
        </w:tc>
        <w:tc>
          <w:tcPr/>
          <w:p>
            <w:pPr>
              <w:pStyle w:val="Compact"/>
            </w:pPr>
            <w:r>
              <w:t xml:space="preserve">0.3906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1.3754</w:t>
            </w:r>
          </w:p>
        </w:tc>
        <w:tc>
          <w:tcPr/>
          <w:p>
            <w:pPr>
              <w:pStyle w:val="Compact"/>
            </w:pPr>
            <w:r>
              <w:t xml:space="preserve">1.0606</w:t>
            </w:r>
          </w:p>
        </w:tc>
        <w:tc>
          <w:tcPr/>
          <w:p>
            <w:pPr>
              <w:pStyle w:val="Compact"/>
            </w:pPr>
            <w:r>
              <w:t xml:space="preserve">0.3968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1.4114</w:t>
            </w:r>
          </w:p>
        </w:tc>
        <w:tc>
          <w:tcPr/>
          <w:p>
            <w:pPr>
              <w:pStyle w:val="Compact"/>
            </w:pPr>
            <w:r>
              <w:t xml:space="preserve">1.0835</w:t>
            </w:r>
          </w:p>
        </w:tc>
        <w:tc>
          <w:tcPr/>
          <w:p>
            <w:pPr>
              <w:pStyle w:val="Compact"/>
            </w:pPr>
            <w:r>
              <w:t xml:space="preserve">0.3556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1.3916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1.0708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0.3810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s5-enzengdb-selection-protocol"/>
    <w:p>
      <w:pPr>
        <w:pStyle w:val="Heading2"/>
      </w:pPr>
      <w:r>
        <w:t xml:space="preserve">S5: EnzEngDB Selection Protocol</w:t>
      </w:r>
    </w:p>
    <w:p>
      <w:pPr>
        <w:pStyle w:val="Compact"/>
        <w:numPr>
          <w:ilvl w:val="0"/>
          <w:numId w:val="1003"/>
        </w:numPr>
      </w:pPr>
      <w:r>
        <w:t xml:space="preserve">Archive: 30,050,527 bytes, SHA256</w:t>
      </w:r>
      <w:r>
        <w:t xml:space="preserve"> </w:t>
      </w:r>
      <w:r>
        <w:rPr>
          <w:rStyle w:val="VerbatimChar"/>
        </w:rPr>
        <w:t xml:space="preserve">8013ad81586db2187162aada0709c1cabc7e7d69f03dd5c199776aaf000dd6ea</w:t>
      </w:r>
    </w:p>
    <w:p>
      <w:pPr>
        <w:pStyle w:val="Compact"/>
        <w:numPr>
          <w:ilvl w:val="0"/>
          <w:numId w:val="1003"/>
        </w:numPr>
      </w:pPr>
      <w:r>
        <w:t xml:space="preserve">Accepted rows: 245,945 across 160 campaigns</w:t>
      </w:r>
    </w:p>
    <w:p>
      <w:pPr>
        <w:pStyle w:val="Compact"/>
        <w:numPr>
          <w:ilvl w:val="0"/>
          <w:numId w:val="1003"/>
        </w:numPr>
      </w:pPr>
      <w:r>
        <w:t xml:space="preserve">Label-independent cap: 2,000 rows per campaign by SHA256 of candidate ID</w:t>
      </w:r>
    </w:p>
    <w:p>
      <w:pPr>
        <w:pStyle w:val="Compact"/>
        <w:numPr>
          <w:ilvl w:val="0"/>
          <w:numId w:val="1003"/>
        </w:numPr>
      </w:pPr>
      <w:r>
        <w:t xml:space="preserve">Homology filtering: MMseqs2 30%/80% against all UniKP sequences</w:t>
      </w:r>
    </w:p>
    <w:p>
      <w:pPr>
        <w:pStyle w:val="Compact"/>
        <w:numPr>
          <w:ilvl w:val="0"/>
          <w:numId w:val="1003"/>
        </w:numPr>
      </w:pPr>
      <w:r>
        <w:t xml:space="preserve">Final selection: 6,423 rows, 51 campaigns, zero exact sequence overlap</w:t>
      </w:r>
    </w:p>
    <w:p>
      <w:pPr>
        <w:pStyle w:val="Compact"/>
        <w:numPr>
          <w:ilvl w:val="0"/>
          <w:numId w:val="1003"/>
        </w:numPr>
      </w:pPr>
      <w:r>
        <w:t xml:space="preserve">Selection SHA256:</w:t>
      </w:r>
      <w:r>
        <w:t xml:space="preserve"> </w:t>
      </w:r>
      <w:r>
        <w:rPr>
          <w:rStyle w:val="VerbatimChar"/>
        </w:rPr>
        <w:t xml:space="preserve">8e76932fc76b884ea8cf127934683b43b9e896b057b817488a9dc5533cf1fc4b</w:t>
      </w:r>
    </w:p>
    <w:p>
      <w:r>
        <w:pict>
          <v:rect style="width:0;height:1.5pt" o:hralign="center" o:hrstd="t" o:hr="t"/>
        </w:pict>
      </w:r>
    </w:p>
    <w:bookmarkEnd w:id="13"/>
    <w:bookmarkStart w:id="14" w:name="s6-claim-boundary"/>
    <w:p>
      <w:pPr>
        <w:pStyle w:val="Heading2"/>
      </w:pPr>
      <w:r>
        <w:t xml:space="preserve">S6: Claim Boundary</w:t>
      </w:r>
    </w:p>
    <w:p>
      <w:pPr>
        <w:pStyle w:val="FirstParagraph"/>
      </w:pPr>
      <w:r>
        <w:t xml:space="preserve">This work establishes an internal homology-cold predictive gain. It does not establish: calibrated uncertainty, external kcat validation, activity or flux prediction, candidate ranking utility, or publication-grade efficacy for enzyme engineering decisions. The prospective independent benchmark remains incomplete (192/300 records, 25/30 families). No model predictions have been generated for the prospective pool.</w:t>
      </w:r>
    </w:p>
    <w:bookmarkEnd w:id="14"/>
    <w:bookmarkEnd w:id="15"/>
    <w:sectPr w:rsidR="00FC693F" w:rsidRPr="0006063C" w:rsidSect="00034616">
      <w:pgSz w:h="16838" w:w="11906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276" w:lineRule="auto"/>
    </w:pPr>
    <w:rPr>
      <w:rFonts w:ascii="Times New Roman" w:eastAsia="SimSun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360"/>
      <w:outlineLvl w:val="0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bCs/>
      <w:color w:val="000000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60" w:before="120"/>
      <w:outlineLvl w:val="2"/>
    </w:pPr>
    <w:rPr>
      <w:rFonts w:ascii="Times New Roman" w:asciiTheme="majorHAnsi" w:cstheme="majorBidi" w:eastAsiaTheme="majorEastAsia" w:hAnsi="Times New Roman" w:hAnsiTheme="majorHAnsi"/>
      <w:b/>
      <w:bCs/>
      <w:i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240" w:before="48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color w:themeColor="text2" w:themeShade="BF" w:val="17365D"/>
      <w:spacing w:val="5"/>
      <w:kern w:val="28"/>
      <w:sz w:val="3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2026-07-29T15:59:16Z</dcterms:created>
  <dcterms:modified xsi:type="dcterms:W3CDTF">2026-07-29T15:59:16Z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