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6A149">
      <w:pPr>
        <w:pStyle w:val="31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10H2DA 代谢通路预测报告</w:t>
      </w:r>
    </w:p>
    <w:p w14:paraId="5663C2DF">
      <w:pPr>
        <w:jc w:val="center"/>
      </w:pPr>
      <w:r>
        <w:rPr>
          <w:rFonts w:ascii="微软雅黑" w:hAnsi="微软雅黑" w:eastAsia="微软雅黑"/>
          <w:b/>
          <w:color w:val="B54B2A"/>
          <w:sz w:val="32"/>
        </w:rPr>
        <w:t>Integrated Deployment</w:t>
      </w:r>
    </w:p>
    <w:p w14:paraId="18147232">
      <w:pPr>
        <w:jc w:val="center"/>
      </w:pPr>
      <w:r>
        <w:rPr>
          <w:rFonts w:ascii="微软雅黑" w:hAnsi="微软雅黑" w:eastAsia="微软雅黑"/>
          <w:color w:val="55717A"/>
          <w:sz w:val="21"/>
        </w:rPr>
        <w:t>可复现计算结果、候选酶分层与证据边界</w:t>
      </w:r>
    </w:p>
    <w:p w14:paraId="598B003E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7654"/>
      </w:tblGrid>
      <w:tr w14:paraId="7EA82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71" w:type="dxa"/>
            <w:shd w:val="clear" w:color="auto" w:fill="1F5A6A"/>
            <w:vAlign w:val="center"/>
          </w:tcPr>
          <w:p w14:paraId="0A7AEEE6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项目</w:t>
            </w:r>
          </w:p>
        </w:tc>
        <w:tc>
          <w:tcPr>
            <w:tcW w:w="7654" w:type="dxa"/>
            <w:shd w:val="clear" w:color="auto" w:fill="1F5A6A"/>
            <w:vAlign w:val="center"/>
          </w:tcPr>
          <w:p w14:paraId="6A2F9DC3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定义</w:t>
            </w:r>
          </w:p>
        </w:tc>
      </w:tr>
      <w:tr w14:paraId="26531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1D3ED90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目标</w:t>
            </w:r>
          </w:p>
        </w:tc>
        <w:tc>
          <w:tcPr>
            <w:tcW w:w="7654" w:type="dxa"/>
            <w:vAlign w:val="center"/>
          </w:tcPr>
          <w:p w14:paraId="5586EEF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10-Hydroxy-trans-2-decenoic acid (10H2DA)</w:t>
            </w:r>
          </w:p>
        </w:tc>
      </w:tr>
      <w:tr w14:paraId="1790C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2AF3A87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中性分子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2B4DFD7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C10H18O3</w:t>
            </w:r>
          </w:p>
        </w:tc>
      </w:tr>
      <w:tr w14:paraId="46B92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50C4CBB9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模型物种</w:t>
            </w:r>
          </w:p>
        </w:tc>
        <w:tc>
          <w:tcPr>
            <w:tcW w:w="7654" w:type="dxa"/>
            <w:vAlign w:val="center"/>
          </w:tcPr>
          <w:p w14:paraId="43058F2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C10H17O3(-1)，单去质子化羧酸</w:t>
            </w:r>
          </w:p>
        </w:tc>
      </w:tr>
      <w:tr w14:paraId="0A4C2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1F08390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宿主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4B78E705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 (Saccharomyces cerevisiae)</w:t>
            </w:r>
          </w:p>
        </w:tc>
      </w:tr>
      <w:tr w14:paraId="48092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220FB94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现有比较 run</w:t>
            </w:r>
          </w:p>
        </w:tc>
        <w:tc>
          <w:tcPr>
            <w:tcW w:w="7654" w:type="dxa"/>
            <w:vAlign w:val="center"/>
          </w:tcPr>
          <w:p w14:paraId="72DCE2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</w:t>
            </w:r>
          </w:p>
        </w:tc>
      </w:tr>
      <w:tr w14:paraId="299C2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shd w:val="clear" w:color="auto" w:fill="EAF1F3"/>
            <w:vAlign w:val="center"/>
          </w:tcPr>
          <w:p w14:paraId="33BB9D0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底层模型</w:t>
            </w:r>
          </w:p>
        </w:tc>
        <w:tc>
          <w:tcPr>
            <w:tcW w:w="7654" w:type="dxa"/>
            <w:shd w:val="clear" w:color="auto" w:fill="EAF1F3"/>
            <w:vAlign w:val="center"/>
          </w:tcPr>
          <w:p w14:paraId="65C62371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Yeast-MetaTwin.yml | SHA256 7b2576232bd093001c2f173e07fb9d29c0ae565b5fc3d4be0d88a4b7d444deec</w:t>
            </w:r>
          </w:p>
        </w:tc>
      </w:tr>
      <w:tr w14:paraId="5F6D2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1" w:type="dxa"/>
            <w:vAlign w:val="center"/>
          </w:tcPr>
          <w:p w14:paraId="43887504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报告生成时间</w:t>
            </w:r>
          </w:p>
        </w:tc>
        <w:tc>
          <w:tcPr>
            <w:tcW w:w="7654" w:type="dxa"/>
            <w:vAlign w:val="center"/>
          </w:tcPr>
          <w:p w14:paraId="585FD360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2026-07-17T22:14:06+08:00</w:t>
            </w:r>
          </w:p>
        </w:tc>
      </w:tr>
    </w:tbl>
    <w:p w14:paraId="6CA63C2E">
      <w:pPr>
        <w:spacing w:after="0"/>
      </w:pPr>
    </w:p>
    <w:p w14:paraId="2D292D61">
      <w:pPr>
        <w:jc w:val="center"/>
      </w:pPr>
      <w:r>
        <w:rPr>
          <w:rFonts w:ascii="微软雅黑" w:hAnsi="微软雅黑" w:eastAsia="微软雅黑"/>
          <w:b/>
          <w:color w:val="B54B2A"/>
          <w:sz w:val="18"/>
        </w:rPr>
        <w:t>判读边界：所有终端酶均为候选；exact evidence count=0。FBA 可行性不构成序列、酶活、产量或湿实验验证。</w:t>
      </w:r>
    </w:p>
    <w:p w14:paraId="3E865EF5">
      <w:pPr>
        <w:sectPr>
          <w:headerReference r:id="rId5" w:type="default"/>
          <w:footerReference r:id="rId6" w:type="default"/>
          <w:pgSz w:w="12240" w:h="15840"/>
          <w:pgMar w:top="1020" w:right="1020" w:bottom="964" w:left="1020" w:header="454" w:footer="454" w:gutter="0"/>
          <w:cols w:space="720" w:num="1"/>
          <w:docGrid w:linePitch="360" w:charSpace="0"/>
        </w:sectPr>
      </w:pPr>
    </w:p>
    <w:p w14:paraId="33C4EF2D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1. 目标与模型范围</w:t>
      </w:r>
    </w:p>
    <w:p w14:paraId="749E7D2F">
      <w:r>
        <w:t>目标定义为中性 10H2DA C10H18O3；按当前模型质子约定使用 C10H17O3(-1)。宿主为 S. cerevisiae。两条终端路线是在内存中加入的元素/电荷平衡候选反应，原模型并不原生包含 10H2DA。</w:t>
      </w:r>
    </w:p>
    <w:p w14:paraId="7FC8021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2. 当前实际运行结果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0"/>
        <w:gridCol w:w="2040"/>
        <w:gridCol w:w="2040"/>
        <w:gridCol w:w="2040"/>
        <w:gridCol w:w="2040"/>
      </w:tblGrid>
      <w:tr w14:paraId="53E3F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040" w:type="dxa"/>
            <w:shd w:val="clear" w:color="auto" w:fill="1F5A6A"/>
            <w:vAlign w:val="center"/>
          </w:tcPr>
          <w:p w14:paraId="4BDC5710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底层模型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590FD15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native growth 状态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06777FF2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native growth max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0EDC36FB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biomass reaction</w:t>
            </w:r>
          </w:p>
        </w:tc>
        <w:tc>
          <w:tcPr>
            <w:tcW w:w="2040" w:type="dxa"/>
            <w:shd w:val="clear" w:color="auto" w:fill="1F5A6A"/>
            <w:vAlign w:val="center"/>
          </w:tcPr>
          <w:p w14:paraId="37B4D78C">
            <w:pPr>
              <w:spacing w:after="0"/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10% growth floor</w:t>
            </w:r>
          </w:p>
        </w:tc>
      </w:tr>
      <w:tr w14:paraId="5F247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0" w:type="dxa"/>
            <w:vAlign w:val="center"/>
          </w:tcPr>
          <w:p w14:paraId="38401EA2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Yeast-MetaTwin.yml</w:t>
            </w:r>
          </w:p>
        </w:tc>
        <w:tc>
          <w:tcPr>
            <w:tcW w:w="2040" w:type="dxa"/>
            <w:vAlign w:val="center"/>
          </w:tcPr>
          <w:p w14:paraId="21971BEA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</w:t>
            </w:r>
          </w:p>
        </w:tc>
        <w:tc>
          <w:tcPr>
            <w:tcW w:w="2040" w:type="dxa"/>
            <w:vAlign w:val="center"/>
          </w:tcPr>
          <w:p w14:paraId="1FB1A398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0.089535</w:t>
            </w:r>
          </w:p>
        </w:tc>
        <w:tc>
          <w:tcPr>
            <w:tcW w:w="2040" w:type="dxa"/>
            <w:vAlign w:val="center"/>
          </w:tcPr>
          <w:p w14:paraId="4768CCBB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r_2111</w:t>
            </w:r>
          </w:p>
        </w:tc>
        <w:tc>
          <w:tcPr>
            <w:tcW w:w="2040" w:type="dxa"/>
            <w:vAlign w:val="center"/>
          </w:tcPr>
          <w:p w14:paraId="4370E8AF">
            <w:pPr>
              <w:spacing w:after="0"/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0.008953</w:t>
            </w:r>
          </w:p>
        </w:tc>
      </w:tr>
    </w:tbl>
    <w:p w14:paraId="398D4BED">
      <w:pPr>
        <w:spacing w:after="0"/>
      </w:pPr>
    </w:p>
    <w:tbl>
      <w:tblPr>
        <w:tblStyle w:val="33"/>
        <w:tblW w:w="1022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6"/>
        <w:gridCol w:w="1411"/>
        <w:gridCol w:w="1338"/>
        <w:gridCol w:w="1340"/>
        <w:gridCol w:w="912"/>
        <w:gridCol w:w="1244"/>
        <w:gridCol w:w="1420"/>
        <w:gridCol w:w="1308"/>
      </w:tblGrid>
      <w:tr w14:paraId="2417A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56" w:type="dxa"/>
            <w:shd w:val="clear" w:color="auto" w:fill="1F5A6A"/>
            <w:vAlign w:val="center"/>
          </w:tcPr>
          <w:p w14:paraId="11483FC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路线</w:t>
            </w:r>
          </w:p>
        </w:tc>
        <w:tc>
          <w:tcPr>
            <w:tcW w:w="1411" w:type="dxa"/>
            <w:shd w:val="clear" w:color="auto" w:fill="1F5A6A"/>
            <w:vAlign w:val="center"/>
          </w:tcPr>
          <w:p w14:paraId="518CFFD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FBA状态/目标</w:t>
            </w:r>
          </w:p>
        </w:tc>
        <w:tc>
          <w:tcPr>
            <w:tcW w:w="1338" w:type="dxa"/>
            <w:shd w:val="clear" w:color="auto" w:fill="1F5A6A"/>
            <w:vAlign w:val="center"/>
          </w:tcPr>
          <w:p w14:paraId="0CDF548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pFBA</w:t>
            </w:r>
          </w:p>
        </w:tc>
        <w:tc>
          <w:tcPr>
            <w:tcW w:w="1340" w:type="dxa"/>
            <w:shd w:val="clear" w:color="auto" w:fill="1F5A6A"/>
            <w:vAlign w:val="center"/>
          </w:tcPr>
          <w:p w14:paraId="2A65476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FVA目标范围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4827511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碳收率</w:t>
            </w:r>
          </w:p>
        </w:tc>
        <w:tc>
          <w:tcPr>
            <w:tcW w:w="1244" w:type="dxa"/>
            <w:shd w:val="clear" w:color="auto" w:fill="1F5A6A"/>
            <w:vAlign w:val="center"/>
          </w:tcPr>
          <w:p w14:paraId="7F5B8C0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无碳源</w:t>
            </w:r>
          </w:p>
        </w:tc>
        <w:tc>
          <w:tcPr>
            <w:tcW w:w="1420" w:type="dxa"/>
            <w:shd w:val="clear" w:color="auto" w:fill="1F5A6A"/>
            <w:vAlign w:val="center"/>
          </w:tcPr>
          <w:p w14:paraId="3DDDB6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禁氧</w:t>
            </w:r>
          </w:p>
        </w:tc>
        <w:tc>
          <w:tcPr>
            <w:tcW w:w="1308" w:type="dxa"/>
            <w:shd w:val="clear" w:color="auto" w:fill="1F5A6A"/>
            <w:vAlign w:val="center"/>
          </w:tcPr>
          <w:p w14:paraId="1A4630D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闭边界循环</w:t>
            </w:r>
          </w:p>
        </w:tc>
      </w:tr>
      <w:tr w14:paraId="4794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vAlign w:val="center"/>
          </w:tcPr>
          <w:p w14:paraId="0F0A974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游离酸优先路线</w:t>
            </w:r>
          </w:p>
        </w:tc>
        <w:tc>
          <w:tcPr>
            <w:tcW w:w="1411" w:type="dxa"/>
            <w:vAlign w:val="center"/>
          </w:tcPr>
          <w:p w14:paraId="3CB8488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</w:p>
        </w:tc>
        <w:tc>
          <w:tcPr>
            <w:tcW w:w="1338" w:type="dxa"/>
            <w:vAlign w:val="center"/>
          </w:tcPr>
          <w:p w14:paraId="536E833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目标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总绝对通量 92.723193</w:t>
            </w:r>
          </w:p>
        </w:tc>
        <w:tc>
          <w:tcPr>
            <w:tcW w:w="1340" w:type="dxa"/>
            <w:vAlign w:val="center"/>
          </w:tcPr>
          <w:p w14:paraId="466D2AB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90% optimum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[0.246610, 0.274011]</w:t>
            </w:r>
          </w:p>
        </w:tc>
        <w:tc>
          <w:tcPr>
            <w:tcW w:w="0" w:type="auto"/>
            <w:vAlign w:val="center"/>
          </w:tcPr>
          <w:p w14:paraId="1A6F69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0.456685</w:t>
            </w:r>
          </w:p>
        </w:tc>
        <w:tc>
          <w:tcPr>
            <w:tcW w:w="1244" w:type="dxa"/>
            <w:vAlign w:val="center"/>
          </w:tcPr>
          <w:p w14:paraId="7A7A353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</w:p>
        </w:tc>
        <w:tc>
          <w:tcPr>
            <w:tcW w:w="1420" w:type="dxa"/>
            <w:vAlign w:val="center"/>
          </w:tcPr>
          <w:p w14:paraId="540DEA8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bypass=是</w:t>
            </w:r>
          </w:p>
        </w:tc>
        <w:tc>
          <w:tcPr>
            <w:tcW w:w="1308" w:type="dxa"/>
            <w:vAlign w:val="center"/>
          </w:tcPr>
          <w:p w14:paraId="301522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flux=0.000000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suspected=否</w:t>
            </w:r>
          </w:p>
        </w:tc>
      </w:tr>
      <w:tr w14:paraId="7371A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56" w:type="dxa"/>
            <w:shd w:val="clear" w:color="auto" w:fill="EAF1F3"/>
            <w:vAlign w:val="center"/>
          </w:tcPr>
          <w:p w14:paraId="64754E7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高风险路线</w:t>
            </w:r>
          </w:p>
        </w:tc>
        <w:tc>
          <w:tcPr>
            <w:tcW w:w="1411" w:type="dxa"/>
            <w:shd w:val="clear" w:color="auto" w:fill="EAF1F3"/>
            <w:vAlign w:val="center"/>
          </w:tcPr>
          <w:p w14:paraId="17FF98A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</w:p>
        </w:tc>
        <w:tc>
          <w:tcPr>
            <w:tcW w:w="1338" w:type="dxa"/>
            <w:shd w:val="clear" w:color="auto" w:fill="EAF1F3"/>
            <w:vAlign w:val="center"/>
          </w:tcPr>
          <w:p w14:paraId="216C4D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目标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总绝对通量 92.723193</w:t>
            </w:r>
          </w:p>
        </w:tc>
        <w:tc>
          <w:tcPr>
            <w:tcW w:w="1340" w:type="dxa"/>
            <w:shd w:val="clear" w:color="auto" w:fill="EAF1F3"/>
            <w:vAlign w:val="center"/>
          </w:tcPr>
          <w:p w14:paraId="0EAD156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90% optimum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[0.246610, 0.274011]</w:t>
            </w:r>
          </w:p>
        </w:tc>
        <w:tc>
          <w:tcPr>
            <w:tcW w:w="912" w:type="dxa"/>
            <w:shd w:val="clear" w:color="auto" w:fill="EAF1F3"/>
            <w:vAlign w:val="center"/>
          </w:tcPr>
          <w:p w14:paraId="7A52B3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0.456685</w:t>
            </w:r>
          </w:p>
        </w:tc>
        <w:tc>
          <w:tcPr>
            <w:tcW w:w="1244" w:type="dxa"/>
            <w:shd w:val="clear" w:color="auto" w:fill="EAF1F3"/>
            <w:vAlign w:val="center"/>
          </w:tcPr>
          <w:p w14:paraId="7D3A40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infeasible / 0.000000</w:t>
            </w:r>
          </w:p>
        </w:tc>
        <w:tc>
          <w:tcPr>
            <w:tcW w:w="1420" w:type="dxa"/>
            <w:shd w:val="clear" w:color="auto" w:fill="EAF1F3"/>
            <w:vAlign w:val="center"/>
          </w:tcPr>
          <w:p w14:paraId="57C5D2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optimal / 0.274011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bypass=是</w:t>
            </w:r>
          </w:p>
        </w:tc>
        <w:tc>
          <w:tcPr>
            <w:tcW w:w="1308" w:type="dxa"/>
            <w:shd w:val="clear" w:color="auto" w:fill="EAF1F3"/>
            <w:vAlign w:val="center"/>
          </w:tcPr>
          <w:p w14:paraId="1954F50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flux=0.000000</w:t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br w:type="textWrapping"/>
            </w: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suspected=否</w:t>
            </w:r>
          </w:p>
        </w:tc>
      </w:tr>
    </w:tbl>
    <w:p w14:paraId="047110C3">
      <w:pPr>
        <w:spacing w:after="0"/>
      </w:pPr>
    </w:p>
    <w:p w14:paraId="38C7C403">
      <w:r>
        <w:t>碳收率单位为 target carbon mol / substrate carbon mol。无碳源测试均为 0。循环检查为关闭除目标需求外全部边界后的目标通量测试。oxygen bypass 表示关闭配置的氧交换仍有目标通量，提示模型内部产氧或替代氧连接，不是厌氧生物学证据。</w:t>
      </w:r>
    </w:p>
    <w:p w14:paraId="05B0600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3. 模型直接前体反应、GPR 与基因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1488"/>
        <w:gridCol w:w="2670"/>
        <w:gridCol w:w="2367"/>
        <w:gridCol w:w="1005"/>
        <w:gridCol w:w="1837"/>
      </w:tblGrid>
      <w:tr w14:paraId="195C9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1D8C14D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反应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5CC9C3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模型方程</w:t>
            </w:r>
          </w:p>
        </w:tc>
        <w:tc>
          <w:tcPr>
            <w:tcW w:w="2670" w:type="dxa"/>
            <w:shd w:val="clear" w:color="auto" w:fill="1F5A6A"/>
            <w:vAlign w:val="center"/>
          </w:tcPr>
          <w:p w14:paraId="678FD4A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实际GPR（动态读取）</w:t>
            </w:r>
          </w:p>
        </w:tc>
        <w:tc>
          <w:tcPr>
            <w:tcW w:w="2367" w:type="dxa"/>
            <w:shd w:val="clear" w:color="auto" w:fill="1F5A6A"/>
            <w:vAlign w:val="center"/>
          </w:tcPr>
          <w:p w14:paraId="5C95208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模型基因</w:t>
            </w:r>
          </w:p>
        </w:tc>
        <w:tc>
          <w:tcPr>
            <w:tcW w:w="1005" w:type="dxa"/>
            <w:shd w:val="clear" w:color="auto" w:fill="1F5A6A"/>
            <w:vAlign w:val="center"/>
          </w:tcPr>
          <w:p w14:paraId="416FE35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分类</w:t>
            </w:r>
          </w:p>
        </w:tc>
        <w:tc>
          <w:tcPr>
            <w:tcW w:w="1837" w:type="dxa"/>
            <w:shd w:val="clear" w:color="auto" w:fill="1F5A6A"/>
            <w:vAlign w:val="center"/>
          </w:tcPr>
          <w:p w14:paraId="4010883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解释</w:t>
            </w:r>
          </w:p>
        </w:tc>
      </w:tr>
      <w:tr w14:paraId="72602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40F4A4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r_0399</w:t>
            </w:r>
          </w:p>
        </w:tc>
        <w:tc>
          <w:tcPr>
            <w:tcW w:w="0" w:type="auto"/>
            <w:vAlign w:val="center"/>
          </w:tcPr>
          <w:p w14:paraId="02D8D29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s_0439 + s_0534 + s_0600 &lt;=&gt; s_0426 + s_0605 + s_0638</w:t>
            </w:r>
          </w:p>
        </w:tc>
        <w:tc>
          <w:tcPr>
            <w:tcW w:w="2670" w:type="dxa"/>
            <w:vAlign w:val="center"/>
          </w:tcPr>
          <w:p w14:paraId="73AB251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YER015W</w:t>
            </w:r>
          </w:p>
        </w:tc>
        <w:tc>
          <w:tcPr>
            <w:tcW w:w="2367" w:type="dxa"/>
            <w:vAlign w:val="center"/>
          </w:tcPr>
          <w:p w14:paraId="78C021E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YER015W</w:t>
            </w:r>
          </w:p>
        </w:tc>
        <w:tc>
          <w:tcPr>
            <w:tcW w:w="1005" w:type="dxa"/>
            <w:vAlign w:val="center"/>
          </w:tcPr>
          <w:p w14:paraId="08B0258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参与</w:t>
            </w:r>
          </w:p>
        </w:tc>
        <w:tc>
          <w:tcPr>
            <w:tcW w:w="1837" w:type="dxa"/>
            <w:vAlign w:val="center"/>
          </w:tcPr>
          <w:p w14:paraId="6E734D0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癸酸 CoA 活化，支持 C10 前体进入 CoA 池；不等于必须改造。</w:t>
            </w:r>
          </w:p>
        </w:tc>
      </w:tr>
      <w:tr w14:paraId="3539EC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73EC66E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r_0120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1D08153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s_0605 + s_1279 --&gt; s_0840 + s_1507</w:t>
            </w:r>
          </w:p>
        </w:tc>
        <w:tc>
          <w:tcPr>
            <w:tcW w:w="2670" w:type="dxa"/>
            <w:shd w:val="clear" w:color="auto" w:fill="EAF1F3"/>
            <w:vAlign w:val="center"/>
          </w:tcPr>
          <w:p w14:paraId="0D6FF84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YGL205W</w:t>
            </w:r>
          </w:p>
        </w:tc>
        <w:tc>
          <w:tcPr>
            <w:tcW w:w="2367" w:type="dxa"/>
            <w:shd w:val="clear" w:color="auto" w:fill="EAF1F3"/>
            <w:vAlign w:val="center"/>
          </w:tcPr>
          <w:p w14:paraId="0676C3D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YGL205W</w:t>
            </w:r>
          </w:p>
        </w:tc>
        <w:tc>
          <w:tcPr>
            <w:tcW w:w="1005" w:type="dxa"/>
            <w:shd w:val="clear" w:color="auto" w:fill="EAF1F3"/>
            <w:vAlign w:val="center"/>
          </w:tcPr>
          <w:p w14:paraId="503FAF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参与</w:t>
            </w:r>
          </w:p>
        </w:tc>
        <w:tc>
          <w:tcPr>
            <w:tcW w:w="1837" w:type="dxa"/>
            <w:shd w:val="clear" w:color="auto" w:fill="EAF1F3"/>
            <w:vAlign w:val="center"/>
          </w:tcPr>
          <w:p w14:paraId="1E4E1BC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形成 trans-dec-2-enoyl-CoA，是模型内直接前体步骤。</w:t>
            </w:r>
          </w:p>
        </w:tc>
      </w:tr>
      <w:tr w14:paraId="40DB6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0469B5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r_2248</w:t>
            </w:r>
          </w:p>
        </w:tc>
        <w:tc>
          <w:tcPr>
            <w:tcW w:w="0" w:type="auto"/>
            <w:vAlign w:val="center"/>
          </w:tcPr>
          <w:p w14:paraId="488B72E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s_0809 + s_1507 --&gt; s_0042</w:t>
            </w:r>
          </w:p>
        </w:tc>
        <w:tc>
          <w:tcPr>
            <w:tcW w:w="2670" w:type="dxa"/>
            <w:vAlign w:val="center"/>
          </w:tcPr>
          <w:p w14:paraId="59E6F2D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YKR009C</w:t>
            </w:r>
          </w:p>
        </w:tc>
        <w:tc>
          <w:tcPr>
            <w:tcW w:w="2367" w:type="dxa"/>
            <w:vAlign w:val="center"/>
          </w:tcPr>
          <w:p w14:paraId="7E105B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YKR009C</w:t>
            </w:r>
          </w:p>
        </w:tc>
        <w:tc>
          <w:tcPr>
            <w:tcW w:w="1005" w:type="dxa"/>
            <w:vAlign w:val="center"/>
          </w:tcPr>
          <w:p w14:paraId="3C3722F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竞争消耗</w:t>
            </w:r>
          </w:p>
        </w:tc>
        <w:tc>
          <w:tcPr>
            <w:tcW w:w="1837" w:type="dxa"/>
            <w:vAlign w:val="center"/>
          </w:tcPr>
          <w:p w14:paraId="2F6733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水合 trans-dec-2-enoyl-CoA，可能与终端释放竞争；仅为节点，不自动推出敲除。</w:t>
            </w:r>
          </w:p>
        </w:tc>
      </w:tr>
      <w:tr w14:paraId="5EC9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11CF1913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r_2295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307B16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s_2926 --&gt; 4 s_0801 + s_1507</w:t>
            </w:r>
          </w:p>
        </w:tc>
        <w:tc>
          <w:tcPr>
            <w:tcW w:w="2670" w:type="dxa"/>
            <w:shd w:val="clear" w:color="auto" w:fill="EAF1F3"/>
            <w:vAlign w:val="center"/>
          </w:tcPr>
          <w:p w14:paraId="49F261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YLR284C</w:t>
            </w:r>
          </w:p>
        </w:tc>
        <w:tc>
          <w:tcPr>
            <w:tcW w:w="2367" w:type="dxa"/>
            <w:shd w:val="clear" w:color="auto" w:fill="EAF1F3"/>
            <w:vAlign w:val="center"/>
          </w:tcPr>
          <w:p w14:paraId="1C6C4FA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YLR284C</w:t>
            </w:r>
          </w:p>
        </w:tc>
        <w:tc>
          <w:tcPr>
            <w:tcW w:w="1005" w:type="dxa"/>
            <w:shd w:val="clear" w:color="auto" w:fill="EAF1F3"/>
            <w:vAlign w:val="center"/>
          </w:tcPr>
          <w:p w14:paraId="1CEA2F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替代连接</w:t>
            </w:r>
          </w:p>
        </w:tc>
        <w:tc>
          <w:tcPr>
            <w:tcW w:w="1837" w:type="dxa"/>
            <w:shd w:val="clear" w:color="auto" w:fill="EAF1F3"/>
            <w:vAlign w:val="center"/>
          </w:tcPr>
          <w:p w14:paraId="3807AD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从另一不饱和 C10-CoA 节点连接到 trans-dec-2-enoyl-CoA；不是终端反应。</w:t>
            </w:r>
          </w:p>
        </w:tc>
      </w:tr>
      <w:tr w14:paraId="31ABC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33" w:type="dxa"/>
            <w:vAlign w:val="center"/>
          </w:tcPr>
          <w:p w14:paraId="567B0F3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rxn1937</w:t>
            </w:r>
          </w:p>
        </w:tc>
        <w:tc>
          <w:tcPr>
            <w:tcW w:w="1488" w:type="dxa"/>
            <w:vAlign w:val="center"/>
          </w:tcPr>
          <w:p w14:paraId="3697ACC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s_0434 + s_0529 + sn_51 --&gt; s_0423 + s_0633 + s_0794 + s_1507</w:t>
            </w:r>
          </w:p>
        </w:tc>
        <w:tc>
          <w:tcPr>
            <w:tcW w:w="2670" w:type="dxa"/>
            <w:vAlign w:val="center"/>
          </w:tcPr>
          <w:p w14:paraId="54D5206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YPR066W or YOR317W or YIL009W or YBR041W or YGR244C or YER015W or YOR142W or YLR153C or YMR246W or YKL210W or YAL054C or YBR222C or YHR171W or YDR390C</w:t>
            </w:r>
          </w:p>
        </w:tc>
        <w:tc>
          <w:tcPr>
            <w:tcW w:w="2367" w:type="dxa"/>
            <w:vAlign w:val="center"/>
          </w:tcPr>
          <w:p w14:paraId="592075C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YAL054C, YBR041W, YBR222C, YDR390C, YER015W, YGR244C, YHR171W, YIL009W, YKL210W, YLR153C, YMR246W, YOR142W, YOR317W, YPR066W</w:t>
            </w:r>
          </w:p>
        </w:tc>
        <w:tc>
          <w:tcPr>
            <w:tcW w:w="1005" w:type="dxa"/>
            <w:vAlign w:val="center"/>
          </w:tcPr>
          <w:p w14:paraId="121981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替代连接</w:t>
            </w:r>
          </w:p>
        </w:tc>
        <w:tc>
          <w:tcPr>
            <w:tcW w:w="1837" w:type="dxa"/>
            <w:vAlign w:val="center"/>
          </w:tcPr>
          <w:p w14:paraId="5F60D3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地下反应提供另一条到 s_1507 的连接；预测来源，不能视作 14 个基因都必需。</w:t>
            </w:r>
          </w:p>
        </w:tc>
      </w:tr>
    </w:tbl>
    <w:p w14:paraId="45DF39E4">
      <w:pPr>
        <w:spacing w:after="0"/>
      </w:pPr>
    </w:p>
    <w:p w14:paraId="5B345EDB">
      <w:r>
        <w:t>这里的“参与”表示模型网络可用步骤，“竞争消耗”表示前体分流节点，“替代连接”表示另一条网络连接。这些标签不把所有 GPR 基因提升为必须改造基因；候选终端反应本次无 GPR，单基因删除分析因此为 not_applicable。</w:t>
      </w:r>
    </w:p>
    <w:p w14:paraId="57196AC6">
      <w:pPr>
        <w:pStyle w:val="3"/>
      </w:pPr>
      <w:r>
        <w:t xml:space="preserve">4. </w:t>
      </w:r>
      <w:r>
        <w:rPr>
          <w:rFonts w:hint="eastAsia" w:ascii="微软雅黑" w:hAnsi="微软雅黑" w:eastAsia="微软雅黑" w:cs="微软雅黑"/>
        </w:rPr>
        <w:t>两条候选终端路径</w:t>
      </w:r>
    </w:p>
    <w:p w14:paraId="59D74167">
      <w:r>
        <w:t>优先实现概念：TES1/PTE1/YJR019C/P41903 负责候选硫酯水解，cyp52M1/B8QHP1 (Starmerella bombicola) 负责候选 omega 羟化，并配 NCP1/YHR042W/P16603 或经兼容性确认的 CPR。替代实现候选为 Fusarium oxysporum CYP505/Q9Y8G7 self-sufficient 融合酶。上述全部是候选，exact evidence count=0。</w:t>
      </w:r>
    </w:p>
    <w:tbl>
      <w:tblPr>
        <w:tblStyle w:val="33"/>
        <w:tblW w:w="1116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6"/>
        <w:gridCol w:w="2821"/>
        <w:gridCol w:w="1146"/>
        <w:gridCol w:w="909"/>
        <w:gridCol w:w="707"/>
        <w:gridCol w:w="774"/>
        <w:gridCol w:w="1616"/>
        <w:gridCol w:w="941"/>
        <w:gridCol w:w="737"/>
        <w:gridCol w:w="920"/>
      </w:tblGrid>
      <w:tr w14:paraId="6A223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48ECAF9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步骤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3A76282A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反应ID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4C244F4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计量方程</w:t>
            </w:r>
          </w:p>
        </w:tc>
        <w:tc>
          <w:tcPr>
            <w:tcW w:w="860" w:type="dxa"/>
            <w:shd w:val="clear" w:color="auto" w:fill="1F5A6A"/>
            <w:vAlign w:val="center"/>
          </w:tcPr>
          <w:p w14:paraId="55A2F44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所需酶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2A260ED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EC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43A32A1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辅因子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268C37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候选基因/UniProt</w:t>
            </w:r>
          </w:p>
        </w:tc>
        <w:tc>
          <w:tcPr>
            <w:tcW w:w="853" w:type="dxa"/>
            <w:shd w:val="clear" w:color="auto" w:fill="1F5A6A"/>
            <w:vAlign w:val="center"/>
          </w:tcPr>
          <w:p w14:paraId="110B06C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来源</w:t>
            </w:r>
          </w:p>
        </w:tc>
        <w:tc>
          <w:tcPr>
            <w:tcW w:w="0" w:type="auto"/>
            <w:shd w:val="clear" w:color="auto" w:fill="1F5A6A"/>
            <w:vAlign w:val="center"/>
          </w:tcPr>
          <w:p w14:paraId="7C4160F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证据等级</w:t>
            </w:r>
          </w:p>
        </w:tc>
        <w:tc>
          <w:tcPr>
            <w:tcW w:w="926" w:type="dxa"/>
            <w:shd w:val="clear" w:color="auto" w:fill="1F5A6A"/>
            <w:vAlign w:val="center"/>
          </w:tcPr>
          <w:p w14:paraId="62C4ACE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主要风险</w:t>
            </w:r>
          </w:p>
        </w:tc>
      </w:tr>
      <w:tr w14:paraId="76657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E23CB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游离酸路线 1</w:t>
            </w:r>
          </w:p>
        </w:tc>
        <w:tc>
          <w:tcPr>
            <w:tcW w:w="0" w:type="auto"/>
            <w:vAlign w:val="center"/>
          </w:tcPr>
          <w:p w14:paraId="0C3123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CAND_T2DEC_THIOESTERASE_P</w:t>
            </w:r>
          </w:p>
        </w:tc>
        <w:tc>
          <w:tcPr>
            <w:tcW w:w="0" w:type="auto"/>
            <w:vAlign w:val="center"/>
          </w:tcPr>
          <w:p w14:paraId="1031E9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trans-dec-2-enoyl-CoA + H2O -&gt; trans-2-decenoate + CoA + H+</w:t>
            </w:r>
          </w:p>
        </w:tc>
        <w:tc>
          <w:tcPr>
            <w:tcW w:w="860" w:type="dxa"/>
            <w:vAlign w:val="center"/>
          </w:tcPr>
          <w:p w14:paraId="0C43D98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acyl-CoA thioesterase</w:t>
            </w:r>
          </w:p>
        </w:tc>
        <w:tc>
          <w:tcPr>
            <w:tcW w:w="0" w:type="auto"/>
            <w:vAlign w:val="center"/>
          </w:tcPr>
          <w:p w14:paraId="0E5021C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3.1.2.-, 3.1.2.2</w:t>
            </w:r>
          </w:p>
        </w:tc>
        <w:tc>
          <w:tcPr>
            <w:tcW w:w="0" w:type="auto"/>
            <w:vAlign w:val="center"/>
          </w:tcPr>
          <w:p w14:paraId="3D5D699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H2O</w:t>
            </w:r>
          </w:p>
        </w:tc>
        <w:tc>
          <w:tcPr>
            <w:tcW w:w="0" w:type="auto"/>
            <w:vAlign w:val="center"/>
          </w:tcPr>
          <w:p w14:paraId="0B6860B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 / YJR019C / P41903</w:t>
            </w:r>
          </w:p>
        </w:tc>
        <w:tc>
          <w:tcPr>
            <w:tcW w:w="853" w:type="dxa"/>
            <w:vAlign w:val="center"/>
          </w:tcPr>
          <w:p w14:paraId="3AE2A4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</w:t>
            </w:r>
          </w:p>
        </w:tc>
        <w:tc>
          <w:tcPr>
            <w:tcW w:w="0" w:type="auto"/>
            <w:vAlign w:val="center"/>
          </w:tcPr>
          <w:p w14:paraId="38D60A2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C:近底物/酶家族</w:t>
            </w:r>
          </w:p>
        </w:tc>
        <w:tc>
          <w:tcPr>
            <w:tcW w:w="926" w:type="dxa"/>
            <w:vAlign w:val="center"/>
          </w:tcPr>
          <w:p w14:paraId="54D541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未验证 trans-2-enoyl-CoA 特异性；区室与前体可达性。</w:t>
            </w:r>
          </w:p>
        </w:tc>
      </w:tr>
      <w:tr w14:paraId="28BC7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36BACF7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游离酸路线 2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71B7C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CAND_T2DEC_OMEGA_HYDROXYLASE_P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80CC06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trans-2-decenoate + NADPH + O2 + H+ -&gt; 10H2DA + NADP+ + H2O</w:t>
            </w:r>
          </w:p>
        </w:tc>
        <w:tc>
          <w:tcPr>
            <w:tcW w:w="860" w:type="dxa"/>
            <w:shd w:val="clear" w:color="auto" w:fill="EAF1F3"/>
            <w:vAlign w:val="center"/>
          </w:tcPr>
          <w:p w14:paraId="173439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fatty-acid omega-hydroxylase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5E300C6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1.14.-.-, 1.14.14.-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19A7164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NADPH、O2、heme；CYP52 需 CPR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4C1CA8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 / B8QHP1 + NCP1/YHR042W/P16603 或兼容 CPR；替代 CYP505/Q9Y8G7 self-sufficient</w:t>
            </w:r>
          </w:p>
        </w:tc>
        <w:tc>
          <w:tcPr>
            <w:tcW w:w="853" w:type="dxa"/>
            <w:shd w:val="clear" w:color="auto" w:fill="EAF1F3"/>
            <w:vAlign w:val="center"/>
          </w:tcPr>
          <w:p w14:paraId="633452D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Starmerella bombicola；CPR 为 S. cerevisiae；CYP505 为 Fusarium oxysporum</w:t>
            </w:r>
          </w:p>
        </w:tc>
        <w:tc>
          <w:tcPr>
            <w:tcW w:w="0" w:type="auto"/>
            <w:shd w:val="clear" w:color="auto" w:fill="EAF1F3"/>
            <w:vAlign w:val="center"/>
          </w:tcPr>
          <w:p w14:paraId="0590185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shd w:val="clear" w:color="auto" w:fill="EAF1F3"/>
            <w:vAlign w:val="center"/>
          </w:tcPr>
          <w:p w14:paraId="7D7839B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无 10H2DA exact evidence；P450 底物特异性、电子传递、膜定位。</w:t>
            </w:r>
          </w:p>
        </w:tc>
      </w:tr>
      <w:tr w14:paraId="5191C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0CB27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路线 1</w:t>
            </w:r>
          </w:p>
        </w:tc>
        <w:tc>
          <w:tcPr>
            <w:tcW w:w="0" w:type="auto"/>
            <w:vAlign w:val="center"/>
          </w:tcPr>
          <w:p w14:paraId="5D0D3AA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CAND_T2DEC_COA_OMEGA_HYDROXYLASE_P</w:t>
            </w:r>
          </w:p>
        </w:tc>
        <w:tc>
          <w:tcPr>
            <w:tcW w:w="0" w:type="auto"/>
            <w:vAlign w:val="center"/>
          </w:tcPr>
          <w:p w14:paraId="0AD6BF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trans-dec-2-enoyl-CoA + NADPH + O2 + H+ -&gt; 10H2DA-CoA + NADP+ + H2O</w:t>
            </w:r>
          </w:p>
        </w:tc>
        <w:tc>
          <w:tcPr>
            <w:tcW w:w="860" w:type="dxa"/>
            <w:vAlign w:val="center"/>
          </w:tcPr>
          <w:p w14:paraId="4EB4C9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omega-hydroxylase</w:t>
            </w:r>
          </w:p>
        </w:tc>
        <w:tc>
          <w:tcPr>
            <w:tcW w:w="0" w:type="auto"/>
            <w:vAlign w:val="center"/>
          </w:tcPr>
          <w:p w14:paraId="3FEC7CB0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1.14.-.-, 1.14.14.-</w:t>
            </w:r>
          </w:p>
        </w:tc>
        <w:tc>
          <w:tcPr>
            <w:tcW w:w="0" w:type="auto"/>
            <w:vAlign w:val="center"/>
          </w:tcPr>
          <w:p w14:paraId="5D10CD2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NADPH、O2、heme；CYP52 需 CPR</w:t>
            </w:r>
          </w:p>
        </w:tc>
        <w:tc>
          <w:tcPr>
            <w:tcW w:w="0" w:type="auto"/>
            <w:vAlign w:val="center"/>
          </w:tcPr>
          <w:p w14:paraId="48C855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 / B8QHP1 + NCP1/YHR042W/P16603 或兼容 CPR；替代 CYP505/Q9Y8G7 self-sufficient</w:t>
            </w:r>
          </w:p>
        </w:tc>
        <w:tc>
          <w:tcPr>
            <w:tcW w:w="853" w:type="dxa"/>
            <w:vAlign w:val="center"/>
          </w:tcPr>
          <w:p w14:paraId="6FA87BB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同上</w:t>
            </w:r>
          </w:p>
        </w:tc>
        <w:tc>
          <w:tcPr>
            <w:tcW w:w="0" w:type="auto"/>
            <w:vAlign w:val="center"/>
          </w:tcPr>
          <w:p w14:paraId="4FBC34E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vAlign w:val="center"/>
          </w:tcPr>
          <w:p w14:paraId="77BCA30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最高风险：现有 omega-hydroxylase 证据偏游离脂肪酸，CoA-bound 底物支持更弱。</w:t>
            </w:r>
          </w:p>
        </w:tc>
      </w:tr>
      <w:tr w14:paraId="26065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99" w:type="dxa"/>
            <w:shd w:val="clear" w:color="auto" w:fill="EAF1F3"/>
            <w:vAlign w:val="center"/>
          </w:tcPr>
          <w:p w14:paraId="228B76C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CoA-bound 路线 2</w:t>
            </w:r>
          </w:p>
        </w:tc>
        <w:tc>
          <w:tcPr>
            <w:tcW w:w="2842" w:type="dxa"/>
            <w:shd w:val="clear" w:color="auto" w:fill="EAF1F3"/>
            <w:vAlign w:val="center"/>
          </w:tcPr>
          <w:p w14:paraId="3325DFA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CAND_10H2DA_COA_THIOESTERASE_P</w:t>
            </w:r>
          </w:p>
        </w:tc>
        <w:tc>
          <w:tcPr>
            <w:tcW w:w="1153" w:type="dxa"/>
            <w:shd w:val="clear" w:color="auto" w:fill="EAF1F3"/>
            <w:vAlign w:val="center"/>
          </w:tcPr>
          <w:p w14:paraId="5A193A0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10H2DA-CoA + H2O -&gt; 10H2DA + CoA + H+</w:t>
            </w:r>
          </w:p>
        </w:tc>
        <w:tc>
          <w:tcPr>
            <w:tcW w:w="860" w:type="dxa"/>
            <w:shd w:val="clear" w:color="auto" w:fill="EAF1F3"/>
            <w:vAlign w:val="center"/>
          </w:tcPr>
          <w:p w14:paraId="27A3F47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acyl-CoA thioesterase</w:t>
            </w:r>
          </w:p>
        </w:tc>
        <w:tc>
          <w:tcPr>
            <w:tcW w:w="711" w:type="dxa"/>
            <w:shd w:val="clear" w:color="auto" w:fill="EAF1F3"/>
            <w:vAlign w:val="center"/>
          </w:tcPr>
          <w:p w14:paraId="3D51E3E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3.1.2.-, 3.1.2.2</w:t>
            </w:r>
          </w:p>
        </w:tc>
        <w:tc>
          <w:tcPr>
            <w:tcW w:w="778" w:type="dxa"/>
            <w:shd w:val="clear" w:color="auto" w:fill="EAF1F3"/>
            <w:vAlign w:val="center"/>
          </w:tcPr>
          <w:p w14:paraId="270DBF5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H2O</w:t>
            </w:r>
          </w:p>
        </w:tc>
        <w:tc>
          <w:tcPr>
            <w:tcW w:w="1627" w:type="dxa"/>
            <w:shd w:val="clear" w:color="auto" w:fill="EAF1F3"/>
            <w:vAlign w:val="center"/>
          </w:tcPr>
          <w:p w14:paraId="0E0BC26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 / YJR019C / P41903</w:t>
            </w:r>
          </w:p>
        </w:tc>
        <w:tc>
          <w:tcPr>
            <w:tcW w:w="853" w:type="dxa"/>
            <w:shd w:val="clear" w:color="auto" w:fill="EAF1F3"/>
            <w:vAlign w:val="center"/>
          </w:tcPr>
          <w:p w14:paraId="45ED460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</w:t>
            </w:r>
          </w:p>
        </w:tc>
        <w:tc>
          <w:tcPr>
            <w:tcW w:w="741" w:type="dxa"/>
            <w:shd w:val="clear" w:color="auto" w:fill="EAF1F3"/>
            <w:vAlign w:val="center"/>
          </w:tcPr>
          <w:p w14:paraId="58FDC45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D:酶家族候选</w:t>
            </w:r>
          </w:p>
        </w:tc>
        <w:tc>
          <w:tcPr>
            <w:tcW w:w="926" w:type="dxa"/>
            <w:shd w:val="clear" w:color="auto" w:fill="EAF1F3"/>
            <w:vAlign w:val="center"/>
          </w:tcPr>
          <w:p w14:paraId="2A17367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未验证羟基化 enoyl-CoA 特异性；区室与产物释放。</w:t>
            </w:r>
          </w:p>
        </w:tc>
      </w:tr>
    </w:tbl>
    <w:p w14:paraId="33136911">
      <w:pPr>
        <w:spacing w:after="0"/>
      </w:pPr>
    </w:p>
    <w:p w14:paraId="10A2A60E">
      <w:r>
        <w:t>路线排序：优先游离酸路线，即先释放 trans-2-decenoate 再 omega 羟化；CoA-bound omega hydroxylation 风险更高，因为家族证据主要支持游离脂肪酸类底物，不能由相同 FBA 通量推断相同酶学可行性。</w:t>
      </w:r>
    </w:p>
    <w:p w14:paraId="0E9C1218">
      <w:pPr>
        <w:pStyle w:val="3"/>
        <w:rPr>
          <w:rFonts w:hint="eastAsia" w:ascii="微软雅黑" w:hAnsi="微软雅黑" w:eastAsia="微软雅黑" w:cs="微软雅黑"/>
        </w:rPr>
      </w:pPr>
      <w:r>
        <w:t xml:space="preserve">5. </w:t>
      </w:r>
      <w:r>
        <w:rPr>
          <w:rFonts w:hint="eastAsia" w:ascii="微软雅黑" w:hAnsi="微软雅黑" w:eastAsia="微软雅黑" w:cs="微软雅黑"/>
        </w:rPr>
        <w:t>酵母异源生产所需模块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4"/>
        <w:gridCol w:w="6295"/>
        <w:gridCol w:w="1911"/>
      </w:tblGrid>
      <w:tr w14:paraId="1E9C1D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0C25949E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模块</w:t>
            </w:r>
          </w:p>
        </w:tc>
        <w:tc>
          <w:tcPr>
            <w:tcW w:w="6295" w:type="dxa"/>
            <w:shd w:val="clear" w:color="auto" w:fill="1F5A6A"/>
            <w:vAlign w:val="center"/>
          </w:tcPr>
          <w:p w14:paraId="1AA942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候选功能/元件</w:t>
            </w:r>
          </w:p>
        </w:tc>
        <w:tc>
          <w:tcPr>
            <w:tcW w:w="1911" w:type="dxa"/>
            <w:shd w:val="clear" w:color="auto" w:fill="1F5A6A"/>
            <w:vAlign w:val="center"/>
          </w:tcPr>
          <w:p w14:paraId="734865D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判读重点</w:t>
            </w:r>
          </w:p>
        </w:tc>
      </w:tr>
      <w:tr w14:paraId="4C57D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71C9BDE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C10 前体供给</w:t>
            </w:r>
          </w:p>
        </w:tc>
        <w:tc>
          <w:tcPr>
            <w:tcW w:w="6295" w:type="dxa"/>
            <w:vAlign w:val="center"/>
          </w:tcPr>
          <w:p w14:paraId="26C337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提高癸酸/癸酰-CoA 可用性；ACC1、FAS1、FAS2 可作为前体供给工程候选，但不是本次终端 FBA 直接证明的必要基因。</w:t>
            </w:r>
          </w:p>
        </w:tc>
        <w:tc>
          <w:tcPr>
            <w:tcW w:w="1911" w:type="dxa"/>
            <w:vAlign w:val="center"/>
          </w:tcPr>
          <w:p w14:paraId="3808F95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碳流与链长分布</w:t>
            </w:r>
          </w:p>
        </w:tc>
      </w:tr>
      <w:tr w14:paraId="76896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78440B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CoA 活化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6735168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FAA2/r_0399 及其他适配 acyl-CoA ligase 候选。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6728825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底物谱、ATP/CoA 负担、区室</w:t>
            </w:r>
          </w:p>
        </w:tc>
      </w:tr>
      <w:tr w14:paraId="0BEE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08074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trans-2-enoyl-CoA 形成</w:t>
            </w:r>
          </w:p>
        </w:tc>
        <w:tc>
          <w:tcPr>
            <w:tcW w:w="6295" w:type="dxa"/>
            <w:vAlign w:val="center"/>
          </w:tcPr>
          <w:p w14:paraId="494070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POX1/r_0120；ECI1/r_2295 是替代连接候选。</w:t>
            </w:r>
          </w:p>
        </w:tc>
        <w:tc>
          <w:tcPr>
            <w:tcW w:w="1911" w:type="dxa"/>
            <w:vAlign w:val="center"/>
          </w:tcPr>
          <w:p w14:paraId="721B5E7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beta-oxidation 继续消耗</w:t>
            </w:r>
          </w:p>
        </w:tc>
      </w:tr>
      <w:tr w14:paraId="1599C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3F721A5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thioesterase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4213B9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TES1/PTE1/P41903 候选，按路线作用于 trans-2-enoyl-CoA 或羟基化 CoA。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2968AC3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exact 底物活性为 0 条</w:t>
            </w:r>
          </w:p>
        </w:tc>
      </w:tr>
      <w:tr w14:paraId="7131CE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3B131F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omega-hydroxylase</w:t>
            </w:r>
          </w:p>
        </w:tc>
        <w:tc>
          <w:tcPr>
            <w:tcW w:w="6295" w:type="dxa"/>
            <w:vAlign w:val="center"/>
          </w:tcPr>
          <w:p w14:paraId="252C072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cyp52M1/B8QHP1 优先候选；CYP505/Q9Y8G7 self-sufficient 替代候选。</w:t>
            </w:r>
          </w:p>
        </w:tc>
        <w:tc>
          <w:tcPr>
            <w:tcW w:w="1911" w:type="dxa"/>
            <w:vAlign w:val="center"/>
          </w:tcPr>
          <w:p w14:paraId="74FE11D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位置选择性与底物特异性</w:t>
            </w:r>
          </w:p>
        </w:tc>
      </w:tr>
      <w:tr w14:paraId="22369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21AEA9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NADPH/O2/heme/CPR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4DC74CC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保障 P450 还原力、氧、heme 与电子传递；NCP1/P16603 或兼容 CPR。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744155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氧旁路、电子耦联与氧化压力</w:t>
            </w:r>
          </w:p>
        </w:tc>
      </w:tr>
      <w:tr w14:paraId="7C9AC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48DD156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区室/转运</w:t>
            </w:r>
          </w:p>
        </w:tc>
        <w:tc>
          <w:tcPr>
            <w:tcW w:w="6295" w:type="dxa"/>
            <w:vAlign w:val="center"/>
          </w:tcPr>
          <w:p w14:paraId="5BE14EF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协调过氧化物酶体、ER、胞质之间的 CoA 酯、游离酸和 P450 可达性。</w:t>
            </w:r>
          </w:p>
        </w:tc>
        <w:tc>
          <w:tcPr>
            <w:tcW w:w="1911" w:type="dxa"/>
            <w:vAlign w:val="center"/>
          </w:tcPr>
          <w:p w14:paraId="613FE72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跨膜与 CoA 物种不可自由扩散</w:t>
            </w:r>
          </w:p>
        </w:tc>
      </w:tr>
      <w:tr w14:paraId="7DFF5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0A5700B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产物输出与耐受</w:t>
            </w:r>
          </w:p>
        </w:tc>
        <w:tc>
          <w:tcPr>
            <w:tcW w:w="6295" w:type="dxa"/>
            <w:shd w:val="clear" w:color="auto" w:fill="EAF1F3"/>
            <w:vAlign w:val="center"/>
          </w:tcPr>
          <w:p w14:paraId="0EE6068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评估 10H2DA 输出、胞内积累与宿主耐受的独立模块。</w:t>
            </w:r>
          </w:p>
        </w:tc>
        <w:tc>
          <w:tcPr>
            <w:tcW w:w="1911" w:type="dxa"/>
            <w:shd w:val="clear" w:color="auto" w:fill="EAF1F3"/>
            <w:vAlign w:val="center"/>
          </w:tcPr>
          <w:p w14:paraId="43B8D4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膜与酸胁迫；无本次实验证据</w:t>
            </w:r>
          </w:p>
        </w:tc>
      </w:tr>
      <w:tr w14:paraId="23B17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994" w:type="dxa"/>
            <w:vAlign w:val="center"/>
          </w:tcPr>
          <w:p w14:paraId="71BED7A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分析验证</w:t>
            </w:r>
          </w:p>
        </w:tc>
        <w:tc>
          <w:tcPr>
            <w:tcW w:w="6295" w:type="dxa"/>
            <w:vAlign w:val="center"/>
          </w:tcPr>
          <w:p w14:paraId="2720680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区分异构体、游离酸/CoA 形式并核对质量与碳平衡；建立空白和过程对照。</w:t>
            </w:r>
          </w:p>
        </w:tc>
        <w:tc>
          <w:tcPr>
            <w:tcW w:w="1911" w:type="dxa"/>
            <w:vAlign w:val="center"/>
          </w:tcPr>
          <w:p w14:paraId="7E6F531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不在本报告提供湿实验参数</w:t>
            </w:r>
          </w:p>
        </w:tc>
      </w:tr>
    </w:tbl>
    <w:p w14:paraId="192D5B5C">
      <w:pPr>
        <w:spacing w:after="0"/>
      </w:pPr>
    </w:p>
    <w:p w14:paraId="1E5E77DC">
      <w:r>
        <w:t>本清单是设计需求与验证边界，不包含培养、转化、表达、取样或分析的湿实验操作参数。</w:t>
      </w:r>
    </w:p>
    <w:p w14:paraId="6BDB8D9B">
      <w:pPr>
        <w:pStyle w:val="3"/>
      </w:pPr>
      <w:r>
        <w:t xml:space="preserve">6. </w:t>
      </w:r>
      <w:r>
        <w:rPr>
          <w:rFonts w:hint="eastAsia" w:ascii="微软雅黑" w:hAnsi="微软雅黑" w:eastAsia="微软雅黑" w:cs="微软雅黑"/>
        </w:rPr>
        <w:t>基因分层与优先级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"/>
        <w:gridCol w:w="4678"/>
        <w:gridCol w:w="4559"/>
      </w:tblGrid>
      <w:tr w14:paraId="071D78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4783439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层级</w:t>
            </w:r>
          </w:p>
        </w:tc>
        <w:tc>
          <w:tcPr>
            <w:tcW w:w="4678" w:type="dxa"/>
            <w:shd w:val="clear" w:color="auto" w:fill="1F5A6A"/>
            <w:vAlign w:val="center"/>
          </w:tcPr>
          <w:p w14:paraId="34A5653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候选</w:t>
            </w:r>
          </w:p>
        </w:tc>
        <w:tc>
          <w:tcPr>
            <w:tcW w:w="4559" w:type="dxa"/>
            <w:shd w:val="clear" w:color="auto" w:fill="1F5A6A"/>
            <w:vAlign w:val="center"/>
          </w:tcPr>
          <w:p w14:paraId="1CD66C9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定位与边界</w:t>
            </w:r>
          </w:p>
        </w:tc>
      </w:tr>
      <w:tr w14:paraId="28863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585C271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模型直接基因</w:t>
            </w:r>
          </w:p>
        </w:tc>
        <w:tc>
          <w:tcPr>
            <w:tcW w:w="4678" w:type="dxa"/>
            <w:vAlign w:val="center"/>
          </w:tcPr>
          <w:p w14:paraId="24E511A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FAA2/YER015W；POX1/YGL205W；FOX2/YKR009C；ECI1/YLR284C；MetaTwin 的 rxn1937 ORF 集合</w:t>
            </w:r>
          </w:p>
        </w:tc>
        <w:tc>
          <w:tcPr>
            <w:tcW w:w="4559" w:type="dxa"/>
            <w:vAlign w:val="center"/>
          </w:tcPr>
          <w:p w14:paraId="747C13F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模型 GPR 直接提取；包含参与、竞争消耗和替代连接，不等于全部必须改造。</w:t>
            </w:r>
          </w:p>
        </w:tc>
      </w:tr>
      <w:tr w14:paraId="7B10C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76D502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宿主终端候选</w:t>
            </w:r>
          </w:p>
        </w:tc>
        <w:tc>
          <w:tcPr>
            <w:tcW w:w="4678" w:type="dxa"/>
            <w:shd w:val="clear" w:color="auto" w:fill="EAF1F3"/>
            <w:vAlign w:val="center"/>
          </w:tcPr>
          <w:p w14:paraId="1F20DA0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TES1/PTE1/YJR019C/P41903</w:t>
            </w:r>
          </w:p>
        </w:tc>
        <w:tc>
          <w:tcPr>
            <w:tcW w:w="4559" w:type="dxa"/>
            <w:shd w:val="clear" w:color="auto" w:fill="EAF1F3"/>
            <w:vAlign w:val="center"/>
          </w:tcPr>
          <w:p w14:paraId="183A72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S. cerevisiae acyl-CoA thioesterase 家族候选；exact 终端底物证据为 0。</w:t>
            </w:r>
          </w:p>
        </w:tc>
      </w:tr>
      <w:tr w14:paraId="0B9F2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66C73F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异源核心候选</w:t>
            </w:r>
          </w:p>
        </w:tc>
        <w:tc>
          <w:tcPr>
            <w:tcW w:w="4678" w:type="dxa"/>
            <w:vAlign w:val="center"/>
          </w:tcPr>
          <w:p w14:paraId="45A0DC7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cyp52M1/B8QHP1；替代 CYP505/Q9Y8G7</w:t>
            </w:r>
          </w:p>
        </w:tc>
        <w:tc>
          <w:tcPr>
            <w:tcW w:w="4559" w:type="dxa"/>
            <w:vAlign w:val="center"/>
          </w:tcPr>
          <w:p w14:paraId="5126FD3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分别为 Starmerella bombicola CYP52 与 Fusarium oxysporum self-sufficient P450 候选；均未验证 10H2DA exact 反应。</w:t>
            </w:r>
          </w:p>
        </w:tc>
      </w:tr>
      <w:tr w14:paraId="75C61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6BD2D19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辅因子/电子传递候选</w:t>
            </w:r>
          </w:p>
        </w:tc>
        <w:tc>
          <w:tcPr>
            <w:tcW w:w="4678" w:type="dxa"/>
            <w:shd w:val="clear" w:color="auto" w:fill="EAF1F3"/>
            <w:vAlign w:val="center"/>
          </w:tcPr>
          <w:p w14:paraId="4ED9FE8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NCP1/YHR042W/P16603 或兼容 CPR；NADPH、O2、heme 供给</w:t>
            </w:r>
          </w:p>
        </w:tc>
        <w:tc>
          <w:tcPr>
            <w:tcW w:w="4559" w:type="dxa"/>
            <w:shd w:val="clear" w:color="auto" w:fill="EAF1F3"/>
            <w:vAlign w:val="center"/>
          </w:tcPr>
          <w:p w14:paraId="7B13E8C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支持 P450，不是终端羟化酶本身；CYP505 自带还原酶域但仍需宿主兼容性。</w:t>
            </w:r>
          </w:p>
        </w:tc>
      </w:tr>
      <w:tr w14:paraId="00C9D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1A69BB59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竞争节点</w:t>
            </w:r>
          </w:p>
        </w:tc>
        <w:tc>
          <w:tcPr>
            <w:tcW w:w="4678" w:type="dxa"/>
            <w:vAlign w:val="center"/>
          </w:tcPr>
          <w:p w14:paraId="656457C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FOX2/YKR009C 等 beta-oxidation 下游；前体/CoA/还原力竞争</w:t>
            </w:r>
          </w:p>
        </w:tc>
        <w:tc>
          <w:tcPr>
            <w:tcW w:w="4559" w:type="dxa"/>
            <w:vAlign w:val="center"/>
          </w:tcPr>
          <w:p w14:paraId="601FA55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仅为候选调控节点，需先验证代谢与生长影响。</w:t>
            </w:r>
          </w:p>
        </w:tc>
      </w:tr>
      <w:tr w14:paraId="6A43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2D56183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低特异性内源候选</w:t>
            </w:r>
          </w:p>
        </w:tc>
        <w:tc>
          <w:tcPr>
            <w:tcW w:w="4678" w:type="dxa"/>
            <w:shd w:val="clear" w:color="auto" w:fill="EAF1F3"/>
            <w:vAlign w:val="center"/>
          </w:tcPr>
          <w:p w14:paraId="189A0F6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ERG11、ERG5、DIT2 等</w:t>
            </w:r>
          </w:p>
        </w:tc>
        <w:tc>
          <w:tcPr>
            <w:tcW w:w="4559" w:type="dxa"/>
            <w:shd w:val="clear" w:color="auto" w:fill="EAF1F3"/>
            <w:vAlign w:val="center"/>
          </w:tcPr>
          <w:p w14:paraId="4A859A40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仅因 P450/氧化酶类别或关键词相关；底物类别距离远，不建议当作已验证 10H2DA 羟化酶。</w:t>
            </w:r>
          </w:p>
        </w:tc>
      </w:tr>
      <w:tr w14:paraId="1DB4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63" w:type="dxa"/>
            <w:vAlign w:val="center"/>
          </w:tcPr>
          <w:p w14:paraId="17FE545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前体供给工程候选</w:t>
            </w:r>
          </w:p>
        </w:tc>
        <w:tc>
          <w:tcPr>
            <w:tcW w:w="4678" w:type="dxa"/>
            <w:vAlign w:val="center"/>
          </w:tcPr>
          <w:p w14:paraId="3FFF89F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ACC1、FAS1、FAS2</w:t>
            </w:r>
          </w:p>
        </w:tc>
        <w:tc>
          <w:tcPr>
            <w:tcW w:w="4559" w:type="dxa"/>
            <w:vAlign w:val="center"/>
          </w:tcPr>
          <w:p w14:paraId="143D99E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可用于 C10 前体供给假设；不是本次终端 FBA 直接证明的必要基因。</w:t>
            </w:r>
          </w:p>
        </w:tc>
      </w:tr>
    </w:tbl>
    <w:p w14:paraId="6562EB3B">
      <w:pPr>
        <w:spacing w:after="0"/>
      </w:pPr>
    </w:p>
    <w:p w14:paraId="10657580">
      <w:pPr>
        <w:pStyle w:val="3"/>
      </w:pPr>
      <w:r>
        <w:t xml:space="preserve">7. </w:t>
      </w:r>
      <w:r>
        <w:rPr>
          <w:rFonts w:hint="eastAsia" w:ascii="微软雅黑" w:hAnsi="微软雅黑" w:eastAsia="微软雅黑" w:cs="微软雅黑"/>
        </w:rPr>
        <w:t>证据、动力学与工程层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8"/>
        <w:gridCol w:w="5723"/>
        <w:gridCol w:w="3229"/>
      </w:tblGrid>
      <w:tr w14:paraId="092B1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248" w:type="dxa"/>
            <w:shd w:val="clear" w:color="auto" w:fill="1F5A6A"/>
            <w:vAlign w:val="center"/>
          </w:tcPr>
          <w:p w14:paraId="15000A32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层</w:t>
            </w:r>
          </w:p>
        </w:tc>
        <w:tc>
          <w:tcPr>
            <w:tcW w:w="5723" w:type="dxa"/>
            <w:shd w:val="clear" w:color="auto" w:fill="1F5A6A"/>
            <w:vAlign w:val="center"/>
          </w:tcPr>
          <w:p w14:paraId="7AF015A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本次实际结果</w:t>
            </w:r>
          </w:p>
        </w:tc>
        <w:tc>
          <w:tcPr>
            <w:tcW w:w="3229" w:type="dxa"/>
            <w:shd w:val="clear" w:color="auto" w:fill="1F5A6A"/>
            <w:vAlign w:val="center"/>
          </w:tcPr>
          <w:p w14:paraId="12ACF34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可声明范围</w:t>
            </w:r>
          </w:p>
        </w:tc>
      </w:tr>
      <w:tr w14:paraId="7CC5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0316590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external evidence</w:t>
            </w:r>
          </w:p>
        </w:tc>
        <w:tc>
          <w:tcPr>
            <w:tcW w:w="5723" w:type="dxa"/>
            <w:vAlign w:val="center"/>
          </w:tcPr>
          <w:p w14:paraId="581A246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126 records / 0 exact；状态 completed_with_no_exact_match</w:t>
            </w:r>
          </w:p>
        </w:tc>
        <w:tc>
          <w:tcPr>
            <w:tcW w:w="3229" w:type="dxa"/>
            <w:vAlign w:val="center"/>
          </w:tcPr>
          <w:p w14:paraId="74A58EC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记录是候选家族/化合物上下文，不证明 exact 终端反应。</w:t>
            </w:r>
          </w:p>
        </w:tc>
      </w:tr>
      <w:tr w14:paraId="31DB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EAF1F3"/>
            <w:vAlign w:val="center"/>
          </w:tcPr>
          <w:p w14:paraId="5B3F740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kinetic</w:t>
            </w:r>
          </w:p>
        </w:tc>
        <w:tc>
          <w:tcPr>
            <w:tcW w:w="5723" w:type="dxa"/>
            <w:shd w:val="clear" w:color="auto" w:fill="EAF1F3"/>
            <w:vAlign w:val="center"/>
          </w:tcPr>
          <w:p w14:paraId="79F04C9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 ready / 8 unsupported；原因：缺序列</w:t>
            </w:r>
          </w:p>
        </w:tc>
        <w:tc>
          <w:tcPr>
            <w:tcW w:w="3229" w:type="dxa"/>
            <w:shd w:val="clear" w:color="auto" w:fill="EAF1F3"/>
            <w:vAlign w:val="center"/>
          </w:tcPr>
          <w:p w14:paraId="7D9F954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没有可用动力学预测，不伪造序列。</w:t>
            </w:r>
          </w:p>
        </w:tc>
      </w:tr>
      <w:tr w14:paraId="66562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vAlign w:val="center"/>
          </w:tcPr>
          <w:p w14:paraId="7D60D1B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engineering rules</w:t>
            </w:r>
          </w:p>
        </w:tc>
        <w:tc>
          <w:tcPr>
            <w:tcW w:w="5723" w:type="dxa"/>
            <w:vAlign w:val="center"/>
          </w:tcPr>
          <w:p w14:paraId="0062AB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no_exact_terminal_evidence -&gt; requires_manual_evidence_review (matched=True); no_approved_evidence -&gt; experimental_validation_not_established (matched=True)</w:t>
            </w:r>
          </w:p>
        </w:tc>
        <w:tc>
          <w:tcPr>
            <w:tcW w:w="3229" w:type="dxa"/>
            <w:vAlign w:val="center"/>
          </w:tcPr>
          <w:p w14:paraId="340B364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仅用于可追溯优先级；experimentally_validated=false。</w:t>
            </w:r>
          </w:p>
        </w:tc>
      </w:tr>
      <w:tr w14:paraId="2117D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248" w:type="dxa"/>
            <w:shd w:val="clear" w:color="auto" w:fill="EAF1F3"/>
            <w:vAlign w:val="center"/>
          </w:tcPr>
          <w:p w14:paraId="7F24894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</w:t>
            </w:r>
          </w:p>
        </w:tc>
        <w:tc>
          <w:tcPr>
            <w:tcW w:w="5723" w:type="dxa"/>
            <w:shd w:val="clear" w:color="auto" w:fill="EAF1F3"/>
            <w:vAlign w:val="center"/>
          </w:tcPr>
          <w:p w14:paraId="71FA20EC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状态 completed；2 designs；claims.hypothetical=True</w:t>
            </w:r>
          </w:p>
        </w:tc>
        <w:tc>
          <w:tcPr>
            <w:tcW w:w="3229" w:type="dxa"/>
            <w:shd w:val="clear" w:color="auto" w:fill="EAF1F3"/>
            <w:vAlign w:val="center"/>
          </w:tcPr>
          <w:p w14:paraId="29848D6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 hypothetical、requires_review，非湿实验验证。</w:t>
            </w:r>
          </w:p>
        </w:tc>
      </w:tr>
    </w:tbl>
    <w:p w14:paraId="69D91373">
      <w:pPr>
        <w:spacing w:after="0"/>
      </w:pPr>
    </w:p>
    <w:p w14:paraId="352C923B">
      <w:r>
        <w:t>Integrated 明确结果：evidence 126 records/0 exact；kinetic 0 ready/8 unsupported（缺序列）；工程规则分别触发 requires_manual_evidence_review 与 experimental_validation_not_established；construct hypothetical。</w:t>
      </w:r>
    </w:p>
    <w:p w14:paraId="3F0EC660">
      <w:pPr>
        <w:pStyle w:val="3"/>
        <w:rPr>
          <w:rFonts w:hint="eastAsia" w:ascii="微软雅黑" w:hAnsi="微软雅黑" w:eastAsia="微软雅黑" w:cs="微软雅黑"/>
        </w:rPr>
      </w:pPr>
      <w:r>
        <w:t xml:space="preserve">8. </w:t>
      </w:r>
      <w:r>
        <w:rPr>
          <w:rFonts w:hint="eastAsia" w:ascii="微软雅黑" w:hAnsi="微软雅黑" w:eastAsia="微软雅黑" w:cs="微软雅黑"/>
        </w:rPr>
        <w:t>可复现代码</w:t>
      </w:r>
    </w:p>
    <w:p w14:paraId="3B345165">
      <w:r>
        <w:t>CLI 重跑命令（使用当前比较 run 已生成的 config；示例 run-id 为新 ID，避免覆盖现有 run）：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5799DE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3D054FAB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python "C:\biological\Metabolic model prediction\Integrated_Yeast_MetaTwin_Deployment\10_generic_target_workflow\runtime\workflow_cli.py" run --config "C:\biological\Metabolic model prediction\Integrated_Yeast_MetaTwin_Deployment\runs\10h2da-three-system-20260717\configs\integrated.json" --project-root "C:\biological\Metabolic model prediction\Integrated_Yeast_MetaTwin_Deployment" --run-id "10h2da-integrated-report-rerun-example" --runs-dir "C:\biological\Metabolic model prediction\Integrated_Yeast_MetaTwin_Deployment\runs\10h2da-three-system-20260717\report-reruns" --output-dir "C:\biological\Metabolic model prediction\Integrated_Yeast_MetaTwin_Deployment\runs\10h2da-three-system-20260717\report-rerun-workspaces\integrated"</w:t>
            </w:r>
          </w:p>
        </w:tc>
      </w:tr>
    </w:tbl>
    <w:p w14:paraId="3242351C">
      <w:pPr>
        <w:spacing w:after="0"/>
      </w:pPr>
    </w:p>
    <w:p w14:paraId="151C3435">
      <w:r>
        <w:t>模型查询 Python 代码（动态读取模型反应、方程、GPR 与基因）：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2E16B3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00" w:type="dxa"/>
            <w:shd w:val="clear" w:color="auto" w:fill="F2F4F5"/>
          </w:tcPr>
          <w:p w14:paraId="77E10375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from pathlib import Path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import cobra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root = Path(r"C:\biological\Metabolic model prediction\Integrated_Yeast_MetaTwin_Deployment")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config_path = Path(r"C:\biological\Metabolic model prediction\Integrated_Yeast_MetaTwin_Deployment\runs\10h2da-three-system-20260717\configs\integrated.json")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config = json.loads(config_path.read_text(encoding="utf-8"))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model_path = (root / config["fba_validation"]["model_path"]).resolve()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model = cobra.io.load_yaml_model(model_path)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reaction_ids = ['r_0399', 'r_0120', 'r_2248', 'r_2295', 'rxn1937']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for reaction_id in reaction_ids: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reaction = model.reactions.get_by_id(reaction_id)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print(reaction.id, reaction.reaction)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print("GPR:", reaction.gene_reaction_rule)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print("genes:", sorted(gene.id for gene in reaction.genes))</w:t>
            </w:r>
          </w:p>
        </w:tc>
      </w:tr>
    </w:tbl>
    <w:p w14:paraId="635B3750">
      <w:pPr>
        <w:spacing w:after="0"/>
      </w:pPr>
    </w:p>
    <w:p w14:paraId="0EF3B08E">
      <w:r>
        <w:t>结果读取 Python 代码（读取 native growth、两路线 FBA/pFBA/FVA、收率和敏感性）：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0"/>
      </w:tblGrid>
      <w:tr w14:paraId="08A90605">
        <w:trPr>
          <w:jc w:val="center"/>
        </w:trPr>
        <w:tc>
          <w:tcPr>
            <w:tcW w:w="10200" w:type="dxa"/>
            <w:shd w:val="clear" w:color="auto" w:fill="F2F4F5"/>
          </w:tcPr>
          <w:p w14:paraId="0C7FC41B">
            <w:pPr>
              <w:spacing w:after="0" w:line="240" w:lineRule="auto"/>
            </w:pPr>
            <w:r>
              <w:rPr>
                <w:rFonts w:ascii="Consolas" w:hAnsi="Consolas" w:eastAsia="Consolas"/>
                <w:color w:val="20282D"/>
                <w:sz w:val="15"/>
              </w:rPr>
              <w:t>import json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from pathlib import Path</w:t>
            </w:r>
            <w:r>
              <w:br w:type="textWrapping"/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path = Path(r"C:\biological\Metabolic model prediction\Integrated_Yeast_MetaTwin_Deployment\runs\10h2da-three-system-20260717\runs\10h2da-integrated\artifacts\model_feasibility\fba_results.json")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result = json.loads(path.read_text(encoding="utf-8"))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print("native growth:", result["native_growth_status"], result["native_growth_max"])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>for route in result["routes"]: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demand = route["objective_reaction_id"]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print(route["route_id"], "FBA", route["objective_value"])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print("pFBA", route["pfba"])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print("FVA", route["fva"]["reactions"][demand])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print("carbon yield", route["carbon_yield"])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print("sensitivity", route["sensitivity"])</w:t>
            </w:r>
            <w:r>
              <w:br w:type="textWrapping"/>
            </w:r>
            <w:r>
              <w:rPr>
                <w:rFonts w:ascii="Consolas" w:hAnsi="Consolas" w:eastAsia="Consolas"/>
                <w:color w:val="20282D"/>
                <w:sz w:val="15"/>
              </w:rPr>
              <w:t xml:space="preserve">    print("cycle", route["cycle_detection"])</w:t>
            </w:r>
          </w:p>
        </w:tc>
      </w:tr>
    </w:tbl>
    <w:p w14:paraId="76CE7DBA">
      <w:pPr>
        <w:spacing w:after="0"/>
      </w:pPr>
    </w:p>
    <w:p w14:paraId="20EC48F7">
      <w:r>
        <w:t>实际源代码路径：</w:t>
      </w:r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6"/>
        <w:gridCol w:w="5694"/>
      </w:tblGrid>
      <w:tr w14:paraId="5104F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4506" w:type="dxa"/>
            <w:shd w:val="clear" w:color="auto" w:fill="1F5A6A"/>
            <w:vAlign w:val="center"/>
          </w:tcPr>
          <w:p w14:paraId="6E66017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文件</w:t>
            </w:r>
          </w:p>
        </w:tc>
        <w:tc>
          <w:tcPr>
            <w:tcW w:w="5694" w:type="dxa"/>
            <w:shd w:val="clear" w:color="auto" w:fill="1F5A6A"/>
            <w:vAlign w:val="center"/>
          </w:tcPr>
          <w:p w14:paraId="0D5B9CFF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路径</w:t>
            </w:r>
          </w:p>
        </w:tc>
      </w:tr>
      <w:tr w14:paraId="176DF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06" w:type="dxa"/>
            <w:vAlign w:val="center"/>
          </w:tcPr>
          <w:p w14:paraId="65F25E6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run_10h2da_three_system_comparison.py</w:t>
            </w:r>
          </w:p>
        </w:tc>
        <w:tc>
          <w:tcPr>
            <w:tcW w:w="5694" w:type="dxa"/>
            <w:vAlign w:val="center"/>
          </w:tcPr>
          <w:p w14:paraId="407F9577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08_runtime/run_10h2da_three_system_comparison.py</w:t>
            </w:r>
          </w:p>
        </w:tc>
      </w:tr>
      <w:tr w14:paraId="39326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06" w:type="dxa"/>
            <w:shd w:val="clear" w:color="auto" w:fill="EAF1F3"/>
            <w:vAlign w:val="center"/>
          </w:tcPr>
          <w:p w14:paraId="3A417EFF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workflow_cli.py</w:t>
            </w:r>
          </w:p>
        </w:tc>
        <w:tc>
          <w:tcPr>
            <w:tcW w:w="5694" w:type="dxa"/>
            <w:shd w:val="clear" w:color="auto" w:fill="EAF1F3"/>
            <w:vAlign w:val="center"/>
          </w:tcPr>
          <w:p w14:paraId="7529D16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10_generic_target_workflow/runtime/workflow_cli.py</w:t>
            </w:r>
          </w:p>
        </w:tc>
      </w:tr>
      <w:tr w14:paraId="2069A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06" w:type="dxa"/>
            <w:vAlign w:val="center"/>
          </w:tcPr>
          <w:p w14:paraId="10A9A8B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executors.py</w:t>
            </w:r>
          </w:p>
        </w:tc>
        <w:tc>
          <w:tcPr>
            <w:tcW w:w="5694" w:type="dxa"/>
            <w:vAlign w:val="center"/>
          </w:tcPr>
          <w:p w14:paraId="752CCA2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10_generic_target_workflow/runtime/executors.py</w:t>
            </w:r>
          </w:p>
        </w:tc>
      </w:tr>
      <w:tr w14:paraId="4FA68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4506" w:type="dxa"/>
            <w:shd w:val="clear" w:color="auto" w:fill="EAF1F3"/>
            <w:vAlign w:val="center"/>
          </w:tcPr>
          <w:p w14:paraId="0F920E8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本报告生成脚本</w:t>
            </w:r>
          </w:p>
        </w:tc>
        <w:tc>
          <w:tcPr>
            <w:tcW w:w="5694" w:type="dxa"/>
            <w:shd w:val="clear" w:color="auto" w:fill="EAF1F3"/>
            <w:vAlign w:val="center"/>
          </w:tcPr>
          <w:p w14:paraId="29DA510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08_runtime/generate_10h2da_system_reports.py</w:t>
            </w:r>
          </w:p>
        </w:tc>
      </w:tr>
    </w:tbl>
    <w:p w14:paraId="2F9487D0">
      <w:pPr>
        <w:spacing w:after="0"/>
      </w:pPr>
    </w:p>
    <w:p w14:paraId="054CC692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9. 结论与限制</w:t>
      </w:r>
    </w:p>
    <w:p w14:paraId="4BBF9D1B">
      <w:r>
        <w:t>Integrated Deployment 使用 Yeast-MetaTwin 底模，因此 FBA 数值同为 0.274011；新增价值是可追溯证据、动力学门禁、工程规则和 hypothetical 构建层，而非第三套计量网络。</w:t>
      </w:r>
    </w:p>
    <w:p w14:paraId="69967266">
      <w:r>
        <w:t>两路线 FBA 通量相同只说明当前计量约束下可行，不支持按通量宣称 enzyme specificity。游离酸路线因 CYP52 家族底物语境更接近而优先；CoA-bound omega hydroxylation 风险更高。所有终端候选 exact evidence count=0；没有序列输入，没有动力学 ready 结果，也没有实验验证。</w:t>
      </w:r>
    </w:p>
    <w:p w14:paraId="6F20C581"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10. 输入与追溯</w:t>
      </w:r>
      <w:bookmarkStart w:id="0" w:name="_GoBack"/>
      <w:bookmarkEnd w:id="0"/>
    </w:p>
    <w:tbl>
      <w:tblPr>
        <w:tblStyle w:val="33"/>
        <w:tblW w:w="10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0"/>
        <w:gridCol w:w="4529"/>
        <w:gridCol w:w="4937"/>
      </w:tblGrid>
      <w:tr w14:paraId="2667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shd w:val="clear" w:color="auto" w:fill="1F5A6A"/>
            <w:vAlign w:val="center"/>
          </w:tcPr>
          <w:p w14:paraId="5BCE8AD9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输入</w:t>
            </w:r>
          </w:p>
        </w:tc>
        <w:tc>
          <w:tcPr>
            <w:tcW w:w="4466" w:type="dxa"/>
            <w:shd w:val="clear" w:color="auto" w:fill="1F5A6A"/>
            <w:vAlign w:val="center"/>
          </w:tcPr>
          <w:p w14:paraId="3D62026C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相对路径</w:t>
            </w:r>
          </w:p>
        </w:tc>
        <w:tc>
          <w:tcPr>
            <w:tcW w:w="4784" w:type="dxa"/>
            <w:shd w:val="clear" w:color="auto" w:fill="1F5A6A"/>
            <w:vAlign w:val="center"/>
          </w:tcPr>
          <w:p w14:paraId="5FD28A34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b/>
                <w:sz w:val="16"/>
              </w:rPr>
            </w:pPr>
            <w:r>
              <w:rPr>
                <w:rFonts w:ascii="微软雅黑" w:hAnsi="微软雅黑" w:eastAsia="微软雅黑"/>
                <w:b/>
                <w:color w:val="FFFFFF"/>
                <w:sz w:val="16"/>
              </w:rPr>
              <w:t>SHA256</w:t>
            </w:r>
          </w:p>
        </w:tc>
      </w:tr>
      <w:tr w14:paraId="3ED03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FE1B2C8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config</w:t>
            </w:r>
          </w:p>
        </w:tc>
        <w:tc>
          <w:tcPr>
            <w:tcW w:w="4466" w:type="dxa"/>
            <w:vAlign w:val="center"/>
          </w:tcPr>
          <w:p w14:paraId="2C1F7205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runs/10h2da-three-system-20260717/configs/integrated.json</w:t>
            </w:r>
          </w:p>
        </w:tc>
        <w:tc>
          <w:tcPr>
            <w:tcW w:w="4784" w:type="dxa"/>
            <w:vAlign w:val="center"/>
          </w:tcPr>
          <w:p w14:paraId="103DAC58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051eba7d2d91f0f986e8e35e7f7c30a3c49af7559cc5d97c190722e4117fe781</w:t>
            </w:r>
          </w:p>
        </w:tc>
      </w:tr>
      <w:tr w14:paraId="1B027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553CCBF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fba</w:t>
            </w:r>
          </w:p>
        </w:tc>
        <w:tc>
          <w:tcPr>
            <w:tcW w:w="4466" w:type="dxa"/>
            <w:shd w:val="clear" w:color="auto" w:fill="EAF1F3"/>
            <w:vAlign w:val="center"/>
          </w:tcPr>
          <w:p w14:paraId="38E7EF7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runs/10h2da-three-system-20260717/runs/10h2da-integrated/artifacts/model_feasibility/fba_results.json</w:t>
            </w:r>
          </w:p>
        </w:tc>
        <w:tc>
          <w:tcPr>
            <w:tcW w:w="4784" w:type="dxa"/>
            <w:shd w:val="clear" w:color="auto" w:fill="EAF1F3"/>
            <w:vAlign w:val="center"/>
          </w:tcPr>
          <w:p w14:paraId="0B880206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0662bdd37bef4bccba08e1f9c68598fa8f8a9de2e9225300ec5bae1a56385969</w:t>
            </w:r>
          </w:p>
        </w:tc>
      </w:tr>
      <w:tr w14:paraId="22B14E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3C30987B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evidence</w:t>
            </w:r>
          </w:p>
        </w:tc>
        <w:tc>
          <w:tcPr>
            <w:tcW w:w="4466" w:type="dxa"/>
            <w:vAlign w:val="center"/>
          </w:tcPr>
          <w:p w14:paraId="259812D7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runs/10h2da-three-system-20260717/runs/10h2da-integrated/artifacts/external_evidence/external_evidence.json</w:t>
            </w:r>
          </w:p>
        </w:tc>
        <w:tc>
          <w:tcPr>
            <w:tcW w:w="4784" w:type="dxa"/>
            <w:vAlign w:val="center"/>
          </w:tcPr>
          <w:p w14:paraId="32C1410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6b7e5afde4c833ffa73c2fb55790ecb45a2bbd127f8ef59a12b093d4b4a2c143</w:t>
            </w:r>
          </w:p>
        </w:tc>
      </w:tr>
      <w:tr w14:paraId="39AA0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32885EAA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kinetic</w:t>
            </w:r>
          </w:p>
        </w:tc>
        <w:tc>
          <w:tcPr>
            <w:tcW w:w="4466" w:type="dxa"/>
            <w:shd w:val="clear" w:color="auto" w:fill="EAF1F3"/>
            <w:vAlign w:val="center"/>
          </w:tcPr>
          <w:p w14:paraId="3F2BAA51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runs/10h2da-three-system-20260717/runs/10h2da-integrated/artifacts/kinetic_prediction/kinetic_predictions.json</w:t>
            </w:r>
          </w:p>
        </w:tc>
        <w:tc>
          <w:tcPr>
            <w:tcW w:w="4784" w:type="dxa"/>
            <w:shd w:val="clear" w:color="auto" w:fill="EAF1F3"/>
            <w:vAlign w:val="center"/>
          </w:tcPr>
          <w:p w14:paraId="3BBA7BE5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6b6dd57bcf31f5a1fa080cb354cf67d815c3d7dfe17e6af56d300dd820eb642b</w:t>
            </w:r>
          </w:p>
        </w:tc>
      </w:tr>
      <w:tr w14:paraId="22E60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vAlign w:val="center"/>
          </w:tcPr>
          <w:p w14:paraId="081544D4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engineering</w:t>
            </w:r>
          </w:p>
        </w:tc>
        <w:tc>
          <w:tcPr>
            <w:tcW w:w="4466" w:type="dxa"/>
            <w:vAlign w:val="center"/>
          </w:tcPr>
          <w:p w14:paraId="02C3B45D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runs/10h2da-three-system-20260717/runs/10h2da-integrated/artifacts/engineering_feasibility/engineering_feasibility.json</w:t>
            </w:r>
          </w:p>
        </w:tc>
        <w:tc>
          <w:tcPr>
            <w:tcW w:w="4784" w:type="dxa"/>
            <w:vAlign w:val="center"/>
          </w:tcPr>
          <w:p w14:paraId="32D5A01B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9c3d993f8ca82cc494fee11e3c52e7d718414881e112735e4f3b494d56df162c</w:t>
            </w:r>
          </w:p>
        </w:tc>
      </w:tr>
      <w:tr w14:paraId="3E752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 w:color="auto" w:fill="EAF1F3"/>
            <w:vAlign w:val="center"/>
          </w:tcPr>
          <w:p w14:paraId="60B42E46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construct</w:t>
            </w:r>
          </w:p>
        </w:tc>
        <w:tc>
          <w:tcPr>
            <w:tcW w:w="4466" w:type="dxa"/>
            <w:shd w:val="clear" w:color="auto" w:fill="EAF1F3"/>
            <w:vAlign w:val="center"/>
          </w:tcPr>
          <w:p w14:paraId="0C877942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runs/10h2da-three-system-20260717/runs/10h2da-integrated/artifacts/construct_design/construct_designs.json</w:t>
            </w:r>
          </w:p>
        </w:tc>
        <w:tc>
          <w:tcPr>
            <w:tcW w:w="4784" w:type="dxa"/>
            <w:shd w:val="clear" w:color="auto" w:fill="EAF1F3"/>
            <w:vAlign w:val="center"/>
          </w:tcPr>
          <w:p w14:paraId="03BF175D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bbb3a03e266ae7341a9cd2826344470cd64f2b418688e6fc51f231747819bab0</w:t>
            </w:r>
          </w:p>
        </w:tc>
      </w:tr>
      <w:tr w14:paraId="0CEBB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0" w:type="dxa"/>
            <w:vAlign w:val="center"/>
          </w:tcPr>
          <w:p w14:paraId="17C84BF3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model</w:t>
            </w:r>
          </w:p>
        </w:tc>
        <w:tc>
          <w:tcPr>
            <w:tcW w:w="4466" w:type="dxa"/>
            <w:vAlign w:val="center"/>
          </w:tcPr>
          <w:p w14:paraId="38EBE93E">
            <w:pPr>
              <w:snapToGrid w:val="0"/>
              <w:spacing w:after="0" w:line="240" w:lineRule="auto"/>
              <w:ind w:left="0" w:leftChars="0" w:right="0" w:rightChars="0" w:firstLine="0" w:firstLineChars="0"/>
              <w:jc w:val="left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C:\biological\Metabolic model prediction\Yeast-MetaTwin\Data\model\Yeast-MetaTwin.yml</w:t>
            </w:r>
          </w:p>
        </w:tc>
        <w:tc>
          <w:tcPr>
            <w:tcW w:w="4784" w:type="dxa"/>
            <w:vAlign w:val="center"/>
          </w:tcPr>
          <w:p w14:paraId="55CF04D1">
            <w:pPr>
              <w:snapToGrid w:val="0"/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b w:val="0"/>
                <w:color w:val="25313C"/>
                <w:sz w:val="16"/>
              </w:rPr>
              <w:t>7b2576232bd093001c2f173e07fb9d29c0ae565b5fc3d4be0d88a4b7d444deec</w:t>
            </w:r>
          </w:p>
        </w:tc>
      </w:tr>
    </w:tbl>
    <w:p w14:paraId="7F8D3D91">
      <w:pPr>
        <w:spacing w:after="0"/>
      </w:pPr>
    </w:p>
    <w:sectPr>
      <w:pgSz w:w="12240" w:h="15840"/>
      <w:pgMar w:top="1020" w:right="1020" w:bottom="964" w:left="1020" w:header="454" w:footer="45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6A760E">
    <w:pPr>
      <w:pStyle w:val="24"/>
      <w:jc w:val="center"/>
    </w:pPr>
    <w:r>
      <w:rPr>
        <w:rFonts w:ascii="微软雅黑" w:hAnsi="微软雅黑" w:eastAsia="微软雅黑"/>
        <w:color w:val="55717A"/>
        <w:sz w:val="16"/>
      </w:rPr>
      <w:t xml:space="preserve">来源 run: 10h2da-three-system-20260717   |   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微软雅黑" w:hAnsi="微软雅黑" w:eastAsia="微软雅黑"/>
        <w:color w:val="55717A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00D56E">
    <w:pPr>
      <w:pStyle w:val="25"/>
      <w:jc w:val="right"/>
    </w:pPr>
    <w:r>
      <w:rPr>
        <w:rFonts w:ascii="微软雅黑" w:hAnsi="微软雅黑" w:eastAsia="微软雅黑"/>
        <w:color w:val="55717A"/>
        <w:sz w:val="16"/>
      </w:rPr>
      <w:t>10H2DA | Integrated Deployment | 可追溯计算报告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ADC0687"/>
    <w:rsid w:val="4B766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微软雅黑" w:hAnsi="微软雅黑" w:eastAsia="微软雅黑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23B46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B54B2A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23B46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1985</Words>
  <Characters>4713</Characters>
  <Lines>0</Lines>
  <Paragraphs>0</Paragraphs>
  <TotalTime>6</TotalTime>
  <ScaleCrop>false</ScaleCrop>
  <LinksUpToDate>false</LinksUpToDate>
  <CharactersWithSpaces>5092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青元三平</cp:lastModifiedBy>
  <dcterms:modified xsi:type="dcterms:W3CDTF">2026-07-22T05:27:59Z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eyJoZGlkIjoiMjEzOThkZjUzZTVkYzM5NTYyZjBiMGM3ZDVjMjZkM2IiLCJ1c2VySWQiOiIxMzQ0ODE5MjY2In0=</vt:lpwstr>
  </property>
  <property fmtid="{D5CDD505-2E9C-101B-9397-08002B2CF9AE}" pid="3" name="KSOProductBuildVer">
    <vt:lpwstr>2052-12.1.0.26895</vt:lpwstr>
  </property>
  <property fmtid="{D5CDD505-2E9C-101B-9397-08002B2CF9AE}" pid="4" name="ICV">
    <vt:lpwstr>61B6DCF173314F23B76A1DFF99E5C2E3_12</vt:lpwstr>
  </property>
</Properties>
</file>