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52C9C">
      <w:pPr>
        <w:pStyle w:val="31"/>
        <w:jc w:val="center"/>
      </w:pPr>
      <w:r>
        <w:t>10H2DA 代谢通路预测报告</w:t>
      </w:r>
    </w:p>
    <w:p w14:paraId="7BEA4DBB">
      <w:pPr>
        <w:jc w:val="center"/>
      </w:pPr>
      <w:r>
        <w:rPr>
          <w:rFonts w:ascii="微软雅黑" w:hAnsi="微软雅黑" w:eastAsia="微软雅黑"/>
          <w:b/>
          <w:color w:val="B54B2A"/>
          <w:sz w:val="32"/>
        </w:rPr>
        <w:t>yeast-GEM</w:t>
      </w:r>
    </w:p>
    <w:p w14:paraId="4BED364C">
      <w:pPr>
        <w:jc w:val="center"/>
      </w:pPr>
      <w:r>
        <w:rPr>
          <w:rFonts w:ascii="微软雅黑" w:hAnsi="微软雅黑" w:eastAsia="微软雅黑"/>
          <w:color w:val="55717A"/>
          <w:sz w:val="21"/>
        </w:rPr>
        <w:t>可复现计算结果、候选酶分层与证据边界</w:t>
      </w:r>
    </w:p>
    <w:p w14:paraId="68B4E225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7654"/>
      </w:tblGrid>
      <w:tr w14:paraId="5619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1" w:type="dxa"/>
            <w:shd w:val="clear" w:color="auto" w:fill="1F5A6A"/>
            <w:vAlign w:val="center"/>
          </w:tcPr>
          <w:p w14:paraId="67348C37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w="7654" w:type="dxa"/>
            <w:shd w:val="clear" w:color="auto" w:fill="1F5A6A"/>
            <w:vAlign w:val="center"/>
          </w:tcPr>
          <w:p w14:paraId="6C3876A4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定义</w:t>
            </w:r>
          </w:p>
        </w:tc>
      </w:tr>
      <w:tr w14:paraId="7CAE3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7789AA8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目标</w:t>
            </w:r>
          </w:p>
        </w:tc>
        <w:tc>
          <w:tcPr>
            <w:tcW w:w="7654" w:type="dxa"/>
            <w:vAlign w:val="center"/>
          </w:tcPr>
          <w:p w14:paraId="3688ACF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10-Hydroxy-trans-2-decenoic acid (10H2DA)</w:t>
            </w:r>
          </w:p>
        </w:tc>
      </w:tr>
      <w:tr w14:paraId="5A101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3"/>
            <w:vAlign w:val="center"/>
          </w:tcPr>
          <w:p w14:paraId="0DE918B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中性分子</w:t>
            </w:r>
          </w:p>
        </w:tc>
        <w:tc>
          <w:tcPr>
            <w:tcW w:w="7654" w:type="dxa"/>
            <w:shd w:val="clear" w:color="auto" w:fill="EAF1F3"/>
            <w:vAlign w:val="center"/>
          </w:tcPr>
          <w:p w14:paraId="5F5BC08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C10H18O3</w:t>
            </w:r>
          </w:p>
        </w:tc>
      </w:tr>
      <w:tr w14:paraId="2D129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60B300C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模型物种</w:t>
            </w:r>
          </w:p>
        </w:tc>
        <w:tc>
          <w:tcPr>
            <w:tcW w:w="7654" w:type="dxa"/>
            <w:vAlign w:val="center"/>
          </w:tcPr>
          <w:p w14:paraId="0B6C22A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C10H17O3(-1)，单去质子化羧酸</w:t>
            </w:r>
          </w:p>
        </w:tc>
      </w:tr>
      <w:tr w14:paraId="588D3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3"/>
            <w:vAlign w:val="center"/>
          </w:tcPr>
          <w:p w14:paraId="02FDFEA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宿主</w:t>
            </w:r>
          </w:p>
        </w:tc>
        <w:tc>
          <w:tcPr>
            <w:tcW w:w="7654" w:type="dxa"/>
            <w:shd w:val="clear" w:color="auto" w:fill="EAF1F3"/>
            <w:vAlign w:val="center"/>
          </w:tcPr>
          <w:p w14:paraId="165043D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S. cerevisiae (Saccharomyces cerevisiae)</w:t>
            </w:r>
          </w:p>
        </w:tc>
      </w:tr>
      <w:tr w14:paraId="799E3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5DD7ADF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现有比较 run</w:t>
            </w:r>
          </w:p>
        </w:tc>
        <w:tc>
          <w:tcPr>
            <w:tcW w:w="7654" w:type="dxa"/>
            <w:vAlign w:val="center"/>
          </w:tcPr>
          <w:p w14:paraId="227AB2F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runs/10h2da-three-system-20260717</w:t>
            </w:r>
          </w:p>
        </w:tc>
      </w:tr>
      <w:tr w14:paraId="1211E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3"/>
            <w:vAlign w:val="center"/>
          </w:tcPr>
          <w:p w14:paraId="7470E55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底层模型</w:t>
            </w:r>
          </w:p>
        </w:tc>
        <w:tc>
          <w:tcPr>
            <w:tcW w:w="7654" w:type="dxa"/>
            <w:shd w:val="clear" w:color="auto" w:fill="EAF1F3"/>
            <w:vAlign w:val="center"/>
          </w:tcPr>
          <w:p w14:paraId="73D3925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yeast-GEM.yml | SHA256 f56e23ef0dbca10795ab4f3f9643396af970e0cc43b45a39f2fe66290eb601eb</w:t>
            </w:r>
          </w:p>
        </w:tc>
      </w:tr>
      <w:tr w14:paraId="04ABB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56A277D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报告生成时间</w:t>
            </w:r>
          </w:p>
        </w:tc>
        <w:tc>
          <w:tcPr>
            <w:tcW w:w="7654" w:type="dxa"/>
            <w:vAlign w:val="center"/>
          </w:tcPr>
          <w:p w14:paraId="7CD2E70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2026-07-17T22:14:05+08:00</w:t>
            </w:r>
          </w:p>
        </w:tc>
      </w:tr>
    </w:tbl>
    <w:p w14:paraId="7229DB74">
      <w:pPr>
        <w:spacing w:after="0"/>
      </w:pPr>
    </w:p>
    <w:p w14:paraId="4275360E">
      <w:pPr>
        <w:jc w:val="center"/>
      </w:pPr>
      <w:r>
        <w:rPr>
          <w:rFonts w:ascii="微软雅黑" w:hAnsi="微软雅黑" w:eastAsia="微软雅黑"/>
          <w:b/>
          <w:color w:val="B54B2A"/>
          <w:sz w:val="18"/>
        </w:rPr>
        <w:t>判读边界：所有终端酶均为候选；exact evidence count=0。FBA 可行性不构成序列、酶活、产量或湿实验验证。</w:t>
      </w:r>
    </w:p>
    <w:p w14:paraId="5DE6EC17">
      <w:pPr>
        <w:sectPr>
          <w:headerReference r:id="rId5" w:type="default"/>
          <w:footerReference r:id="rId6" w:type="default"/>
          <w:pgSz w:w="12240" w:h="15840"/>
          <w:pgMar w:top="1020" w:right="1020" w:bottom="964" w:left="1020" w:header="454" w:footer="454" w:gutter="0"/>
          <w:cols w:space="720" w:num="1"/>
          <w:docGrid w:linePitch="360" w:charSpace="0"/>
        </w:sectPr>
      </w:pPr>
    </w:p>
    <w:p w14:paraId="3E54EC7B">
      <w:pPr>
        <w:pStyle w:val="3"/>
      </w:pPr>
      <w:r>
        <w:t>1. 目标与模型范围</w:t>
      </w:r>
    </w:p>
    <w:p w14:paraId="47D38414">
      <w:r>
        <w:t>目标定义为中性 10H2DA C10H18O3；按当前模型质子约定使用 C10H17O3(-1)。宿主为 S. cerevisiae。两条终端路线是在内存中加入的元素/电荷平衡候选反应，原模型并不原生包含 10H2DA。</w:t>
      </w:r>
    </w:p>
    <w:p w14:paraId="53A40E71">
      <w:pPr>
        <w:pStyle w:val="3"/>
      </w:pPr>
      <w:r>
        <w:t>2. 当前实际运行结果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1B72F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0" w:type="dxa"/>
            <w:shd w:val="clear" w:color="auto" w:fill="1F5A6A"/>
            <w:vAlign w:val="center"/>
          </w:tcPr>
          <w:p w14:paraId="78A10705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底层模型</w:t>
            </w:r>
          </w:p>
        </w:tc>
        <w:tc>
          <w:tcPr>
            <w:tcW w:w="2040" w:type="dxa"/>
            <w:shd w:val="clear" w:color="auto" w:fill="1F5A6A"/>
            <w:vAlign w:val="center"/>
          </w:tcPr>
          <w:p w14:paraId="0127E9A2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native growth 状态</w:t>
            </w:r>
          </w:p>
        </w:tc>
        <w:tc>
          <w:tcPr>
            <w:tcW w:w="2040" w:type="dxa"/>
            <w:shd w:val="clear" w:color="auto" w:fill="1F5A6A"/>
            <w:vAlign w:val="center"/>
          </w:tcPr>
          <w:p w14:paraId="1A0A56BA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native growth max</w:t>
            </w:r>
          </w:p>
        </w:tc>
        <w:tc>
          <w:tcPr>
            <w:tcW w:w="2040" w:type="dxa"/>
            <w:shd w:val="clear" w:color="auto" w:fill="1F5A6A"/>
            <w:vAlign w:val="center"/>
          </w:tcPr>
          <w:p w14:paraId="0BCADB62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biomass reaction</w:t>
            </w:r>
          </w:p>
        </w:tc>
        <w:tc>
          <w:tcPr>
            <w:tcW w:w="2040" w:type="dxa"/>
            <w:shd w:val="clear" w:color="auto" w:fill="1F5A6A"/>
            <w:vAlign w:val="center"/>
          </w:tcPr>
          <w:p w14:paraId="5754AFF9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10% growth floor</w:t>
            </w:r>
          </w:p>
        </w:tc>
      </w:tr>
      <w:tr w14:paraId="05065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vAlign w:val="center"/>
          </w:tcPr>
          <w:p w14:paraId="590D2F7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yeast-GEM.yml</w:t>
            </w:r>
          </w:p>
        </w:tc>
        <w:tc>
          <w:tcPr>
            <w:tcW w:w="2040" w:type="dxa"/>
            <w:vAlign w:val="center"/>
          </w:tcPr>
          <w:p w14:paraId="5E4BB31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optimal</w:t>
            </w:r>
          </w:p>
        </w:tc>
        <w:tc>
          <w:tcPr>
            <w:tcW w:w="2040" w:type="dxa"/>
            <w:vAlign w:val="center"/>
          </w:tcPr>
          <w:p w14:paraId="605C8D2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0.081928</w:t>
            </w:r>
          </w:p>
        </w:tc>
        <w:tc>
          <w:tcPr>
            <w:tcW w:w="2040" w:type="dxa"/>
            <w:vAlign w:val="center"/>
          </w:tcPr>
          <w:p w14:paraId="37E0AFC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r_2111</w:t>
            </w:r>
          </w:p>
        </w:tc>
        <w:tc>
          <w:tcPr>
            <w:tcW w:w="2040" w:type="dxa"/>
            <w:vAlign w:val="center"/>
          </w:tcPr>
          <w:p w14:paraId="34B44D6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0.008193</w:t>
            </w:r>
          </w:p>
        </w:tc>
      </w:tr>
    </w:tbl>
    <w:p w14:paraId="785B8E73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308"/>
      </w:tblGrid>
      <w:tr w14:paraId="39984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75" w:type="dxa"/>
            <w:shd w:val="clear" w:color="auto" w:fill="1F5A6A"/>
            <w:vAlign w:val="center"/>
          </w:tcPr>
          <w:p w14:paraId="649CBE8E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路线</w:t>
            </w:r>
          </w:p>
        </w:tc>
        <w:tc>
          <w:tcPr>
            <w:tcW w:w="1275" w:type="dxa"/>
            <w:shd w:val="clear" w:color="auto" w:fill="1F5A6A"/>
            <w:vAlign w:val="center"/>
          </w:tcPr>
          <w:p w14:paraId="229F5A6D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FBA 状态/目标</w:t>
            </w:r>
          </w:p>
        </w:tc>
        <w:tc>
          <w:tcPr>
            <w:tcW w:w="1275" w:type="dxa"/>
            <w:shd w:val="clear" w:color="auto" w:fill="1F5A6A"/>
            <w:vAlign w:val="center"/>
          </w:tcPr>
          <w:p w14:paraId="0F5187E7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pFBA</w:t>
            </w:r>
          </w:p>
        </w:tc>
        <w:tc>
          <w:tcPr>
            <w:tcW w:w="1275" w:type="dxa"/>
            <w:shd w:val="clear" w:color="auto" w:fill="1F5A6A"/>
            <w:vAlign w:val="center"/>
          </w:tcPr>
          <w:p w14:paraId="08F99DC5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FVA 目标范围</w:t>
            </w:r>
          </w:p>
        </w:tc>
        <w:tc>
          <w:tcPr>
            <w:tcW w:w="1275" w:type="dxa"/>
            <w:shd w:val="clear" w:color="auto" w:fill="1F5A6A"/>
            <w:vAlign w:val="center"/>
          </w:tcPr>
          <w:p w14:paraId="2568EC84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碳收率</w:t>
            </w:r>
          </w:p>
        </w:tc>
        <w:tc>
          <w:tcPr>
            <w:tcW w:w="1275" w:type="dxa"/>
            <w:shd w:val="clear" w:color="auto" w:fill="1F5A6A"/>
            <w:vAlign w:val="center"/>
          </w:tcPr>
          <w:p w14:paraId="43B24908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无碳源</w:t>
            </w:r>
          </w:p>
        </w:tc>
        <w:tc>
          <w:tcPr>
            <w:tcW w:w="1275" w:type="dxa"/>
            <w:shd w:val="clear" w:color="auto" w:fill="1F5A6A"/>
            <w:vAlign w:val="center"/>
          </w:tcPr>
          <w:p w14:paraId="0C819495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禁氧</w:t>
            </w:r>
          </w:p>
        </w:tc>
        <w:tc>
          <w:tcPr>
            <w:tcW w:w="1275" w:type="dxa"/>
            <w:shd w:val="clear" w:color="auto" w:fill="1F5A6A"/>
            <w:vAlign w:val="center"/>
          </w:tcPr>
          <w:p w14:paraId="20EEF0F3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闭边界循环</w:t>
            </w:r>
          </w:p>
        </w:tc>
      </w:tr>
      <w:tr w14:paraId="14BC6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5" w:type="dxa"/>
            <w:vAlign w:val="center"/>
          </w:tcPr>
          <w:p w14:paraId="5735AEC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游离酸优先路线</w:t>
            </w:r>
          </w:p>
        </w:tc>
        <w:tc>
          <w:tcPr>
            <w:tcW w:w="1275" w:type="dxa"/>
            <w:vAlign w:val="center"/>
          </w:tcPr>
          <w:p w14:paraId="131EC2F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optimal / 0.243015</w:t>
            </w:r>
          </w:p>
        </w:tc>
        <w:tc>
          <w:tcPr>
            <w:tcW w:w="1275" w:type="dxa"/>
            <w:vAlign w:val="center"/>
          </w:tcPr>
          <w:p w14:paraId="15A3749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optimal / 目标 0.243015</w:t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总绝对通量 107.029952</w:t>
            </w:r>
          </w:p>
        </w:tc>
        <w:tc>
          <w:tcPr>
            <w:tcW w:w="1275" w:type="dxa"/>
            <w:vAlign w:val="center"/>
          </w:tcPr>
          <w:p w14:paraId="4BC2D4A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90% optimum</w:t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[0.218713, 0.243015]</w:t>
            </w:r>
          </w:p>
        </w:tc>
        <w:tc>
          <w:tcPr>
            <w:tcW w:w="1275" w:type="dxa"/>
            <w:vAlign w:val="center"/>
          </w:tcPr>
          <w:p w14:paraId="2DC8058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0.405025</w:t>
            </w:r>
          </w:p>
        </w:tc>
        <w:tc>
          <w:tcPr>
            <w:tcW w:w="1275" w:type="dxa"/>
            <w:vAlign w:val="center"/>
          </w:tcPr>
          <w:p w14:paraId="748DF55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infeasible / 0.000000</w:t>
            </w:r>
          </w:p>
        </w:tc>
        <w:tc>
          <w:tcPr>
            <w:tcW w:w="1275" w:type="dxa"/>
            <w:vAlign w:val="center"/>
          </w:tcPr>
          <w:p w14:paraId="7AB76AA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infeasible / 0.000000</w:t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bypass=否</w:t>
            </w:r>
          </w:p>
        </w:tc>
        <w:tc>
          <w:tcPr>
            <w:tcW w:w="1275" w:type="dxa"/>
            <w:vAlign w:val="center"/>
          </w:tcPr>
          <w:p w14:paraId="1B53A01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flux=0.000000</w:t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suspected=否</w:t>
            </w:r>
          </w:p>
        </w:tc>
      </w:tr>
      <w:tr w14:paraId="11402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5" w:type="dxa"/>
            <w:shd w:val="clear" w:color="auto" w:fill="EAF1F3"/>
            <w:vAlign w:val="center"/>
          </w:tcPr>
          <w:p w14:paraId="0D81576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CoA-bound 高风险路线</w:t>
            </w:r>
          </w:p>
        </w:tc>
        <w:tc>
          <w:tcPr>
            <w:tcW w:w="1275" w:type="dxa"/>
            <w:shd w:val="clear" w:color="auto" w:fill="EAF1F3"/>
            <w:vAlign w:val="center"/>
          </w:tcPr>
          <w:p w14:paraId="3056887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optimal / 0.243015</w:t>
            </w:r>
          </w:p>
        </w:tc>
        <w:tc>
          <w:tcPr>
            <w:tcW w:w="1275" w:type="dxa"/>
            <w:shd w:val="clear" w:color="auto" w:fill="EAF1F3"/>
            <w:vAlign w:val="center"/>
          </w:tcPr>
          <w:p w14:paraId="1E735B5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optimal / 目标 0.243015</w:t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总绝对通量 107.029952</w:t>
            </w:r>
          </w:p>
        </w:tc>
        <w:tc>
          <w:tcPr>
            <w:tcW w:w="1275" w:type="dxa"/>
            <w:shd w:val="clear" w:color="auto" w:fill="EAF1F3"/>
            <w:vAlign w:val="center"/>
          </w:tcPr>
          <w:p w14:paraId="2B23014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90% optimum</w:t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[0.218713, 0.243015]</w:t>
            </w:r>
          </w:p>
        </w:tc>
        <w:tc>
          <w:tcPr>
            <w:tcW w:w="1275" w:type="dxa"/>
            <w:shd w:val="clear" w:color="auto" w:fill="EAF1F3"/>
            <w:vAlign w:val="center"/>
          </w:tcPr>
          <w:p w14:paraId="575DAFF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0.405025</w:t>
            </w:r>
          </w:p>
        </w:tc>
        <w:tc>
          <w:tcPr>
            <w:tcW w:w="1275" w:type="dxa"/>
            <w:shd w:val="clear" w:color="auto" w:fill="EAF1F3"/>
            <w:vAlign w:val="center"/>
          </w:tcPr>
          <w:p w14:paraId="05CC31E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infeasible / 0.000000</w:t>
            </w:r>
          </w:p>
        </w:tc>
        <w:tc>
          <w:tcPr>
            <w:tcW w:w="1275" w:type="dxa"/>
            <w:shd w:val="clear" w:color="auto" w:fill="EAF1F3"/>
            <w:vAlign w:val="center"/>
          </w:tcPr>
          <w:p w14:paraId="4ED1F06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infeasible / 0.000000</w:t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bypass=否</w:t>
            </w:r>
          </w:p>
        </w:tc>
        <w:tc>
          <w:tcPr>
            <w:tcW w:w="1275" w:type="dxa"/>
            <w:shd w:val="clear" w:color="auto" w:fill="EAF1F3"/>
            <w:vAlign w:val="center"/>
          </w:tcPr>
          <w:p w14:paraId="65DFB00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flux=0.000000</w:t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suspected=否</w:t>
            </w:r>
          </w:p>
        </w:tc>
      </w:tr>
    </w:tbl>
    <w:p w14:paraId="491C6681">
      <w:pPr>
        <w:spacing w:after="0"/>
      </w:pPr>
    </w:p>
    <w:p w14:paraId="0009E379">
      <w:r>
        <w:t>碳收率单位为 target carbon mol / substrate carbon mol。无碳源测试均为 0。循环检查为关闭除目标需求外全部边界后的目标通量测试。oxygen bypass 表示关闭配置的氧交换仍有目标通量，提示模型内部产氧或替代氧连接，不是厌氧生物学证据。</w:t>
      </w:r>
    </w:p>
    <w:p w14:paraId="0716D3A4">
      <w:pPr>
        <w:pStyle w:val="3"/>
      </w:pPr>
      <w:r>
        <w:t>3. 模型直接前体反应、GPR 与基因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1700"/>
        <w:gridCol w:w="1700"/>
      </w:tblGrid>
      <w:tr w14:paraId="0FB30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0" w:type="dxa"/>
            <w:shd w:val="clear" w:color="auto" w:fill="1F5A6A"/>
            <w:vAlign w:val="center"/>
          </w:tcPr>
          <w:p w14:paraId="667A0577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反应</w:t>
            </w:r>
          </w:p>
        </w:tc>
        <w:tc>
          <w:tcPr>
            <w:tcW w:w="1700" w:type="dxa"/>
            <w:shd w:val="clear" w:color="auto" w:fill="1F5A6A"/>
            <w:vAlign w:val="center"/>
          </w:tcPr>
          <w:p w14:paraId="23DBCF6A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模型方程</w:t>
            </w:r>
          </w:p>
        </w:tc>
        <w:tc>
          <w:tcPr>
            <w:tcW w:w="1700" w:type="dxa"/>
            <w:shd w:val="clear" w:color="auto" w:fill="1F5A6A"/>
            <w:vAlign w:val="center"/>
          </w:tcPr>
          <w:p w14:paraId="609B05E7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实际 GPR（动态读取）</w:t>
            </w:r>
          </w:p>
        </w:tc>
        <w:tc>
          <w:tcPr>
            <w:tcW w:w="1700" w:type="dxa"/>
            <w:shd w:val="clear" w:color="auto" w:fill="1F5A6A"/>
            <w:vAlign w:val="center"/>
          </w:tcPr>
          <w:p w14:paraId="70824591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模型基因</w:t>
            </w:r>
          </w:p>
        </w:tc>
        <w:tc>
          <w:tcPr>
            <w:tcW w:w="1700" w:type="dxa"/>
            <w:shd w:val="clear" w:color="auto" w:fill="1F5A6A"/>
            <w:vAlign w:val="center"/>
          </w:tcPr>
          <w:p w14:paraId="3E5DBEA7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分类</w:t>
            </w:r>
          </w:p>
        </w:tc>
        <w:tc>
          <w:tcPr>
            <w:tcW w:w="1700" w:type="dxa"/>
            <w:shd w:val="clear" w:color="auto" w:fill="1F5A6A"/>
            <w:vAlign w:val="center"/>
          </w:tcPr>
          <w:p w14:paraId="4FCD6C7C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解释</w:t>
            </w:r>
          </w:p>
        </w:tc>
      </w:tr>
      <w:tr w14:paraId="2DACB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37752D8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r_0399</w:t>
            </w:r>
          </w:p>
        </w:tc>
        <w:tc>
          <w:tcPr>
            <w:tcW w:w="1700" w:type="dxa"/>
            <w:vAlign w:val="center"/>
          </w:tcPr>
          <w:p w14:paraId="519D714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s_0439 + s_0534 + s_0600 &lt;=&gt; s_0426 + s_0605 + s_0638</w:t>
            </w:r>
          </w:p>
        </w:tc>
        <w:tc>
          <w:tcPr>
            <w:tcW w:w="1700" w:type="dxa"/>
            <w:vAlign w:val="center"/>
          </w:tcPr>
          <w:p w14:paraId="3D862C5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YER015W</w:t>
            </w:r>
          </w:p>
        </w:tc>
        <w:tc>
          <w:tcPr>
            <w:tcW w:w="1700" w:type="dxa"/>
            <w:vAlign w:val="center"/>
          </w:tcPr>
          <w:p w14:paraId="748C9E1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YER015W</w:t>
            </w:r>
          </w:p>
        </w:tc>
        <w:tc>
          <w:tcPr>
            <w:tcW w:w="1700" w:type="dxa"/>
            <w:vAlign w:val="center"/>
          </w:tcPr>
          <w:p w14:paraId="52CB7F1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参与</w:t>
            </w:r>
          </w:p>
        </w:tc>
        <w:tc>
          <w:tcPr>
            <w:tcW w:w="1700" w:type="dxa"/>
            <w:vAlign w:val="center"/>
          </w:tcPr>
          <w:p w14:paraId="6BB2652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癸酸 CoA 活化，支持 C10 前体进入 CoA 池；不等于必须改造。</w:t>
            </w:r>
          </w:p>
        </w:tc>
      </w:tr>
      <w:tr w14:paraId="08234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EAF1F3"/>
            <w:vAlign w:val="center"/>
          </w:tcPr>
          <w:p w14:paraId="1EE6778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r_0120</w:t>
            </w:r>
          </w:p>
        </w:tc>
        <w:tc>
          <w:tcPr>
            <w:tcW w:w="1700" w:type="dxa"/>
            <w:shd w:val="clear" w:color="auto" w:fill="EAF1F3"/>
            <w:vAlign w:val="center"/>
          </w:tcPr>
          <w:p w14:paraId="0328182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s_0605 + s_1279 --&gt; s_0840 + s_1507</w:t>
            </w:r>
          </w:p>
        </w:tc>
        <w:tc>
          <w:tcPr>
            <w:tcW w:w="1700" w:type="dxa"/>
            <w:shd w:val="clear" w:color="auto" w:fill="EAF1F3"/>
            <w:vAlign w:val="center"/>
          </w:tcPr>
          <w:p w14:paraId="3B7DD40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YGL205W</w:t>
            </w:r>
          </w:p>
        </w:tc>
        <w:tc>
          <w:tcPr>
            <w:tcW w:w="1700" w:type="dxa"/>
            <w:shd w:val="clear" w:color="auto" w:fill="EAF1F3"/>
            <w:vAlign w:val="center"/>
          </w:tcPr>
          <w:p w14:paraId="381C4B6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YGL205W</w:t>
            </w:r>
          </w:p>
        </w:tc>
        <w:tc>
          <w:tcPr>
            <w:tcW w:w="1700" w:type="dxa"/>
            <w:shd w:val="clear" w:color="auto" w:fill="EAF1F3"/>
            <w:vAlign w:val="center"/>
          </w:tcPr>
          <w:p w14:paraId="4F35F78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参与</w:t>
            </w:r>
          </w:p>
        </w:tc>
        <w:tc>
          <w:tcPr>
            <w:tcW w:w="1700" w:type="dxa"/>
            <w:shd w:val="clear" w:color="auto" w:fill="EAF1F3"/>
            <w:vAlign w:val="center"/>
          </w:tcPr>
          <w:p w14:paraId="5904827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形成 trans-dec-2-enoyl-CoA，是模型内直接前体步骤。</w:t>
            </w:r>
          </w:p>
        </w:tc>
      </w:tr>
      <w:tr w14:paraId="02D67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20E87D8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r_2248</w:t>
            </w:r>
          </w:p>
        </w:tc>
        <w:tc>
          <w:tcPr>
            <w:tcW w:w="1700" w:type="dxa"/>
            <w:vAlign w:val="center"/>
          </w:tcPr>
          <w:p w14:paraId="075903B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s_0809 + s_1507 --&gt; s_0042</w:t>
            </w:r>
          </w:p>
        </w:tc>
        <w:tc>
          <w:tcPr>
            <w:tcW w:w="1700" w:type="dxa"/>
            <w:vAlign w:val="center"/>
          </w:tcPr>
          <w:p w14:paraId="027662A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YKR009C</w:t>
            </w:r>
          </w:p>
        </w:tc>
        <w:tc>
          <w:tcPr>
            <w:tcW w:w="1700" w:type="dxa"/>
            <w:vAlign w:val="center"/>
          </w:tcPr>
          <w:p w14:paraId="49A970E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YKR009C</w:t>
            </w:r>
          </w:p>
        </w:tc>
        <w:tc>
          <w:tcPr>
            <w:tcW w:w="1700" w:type="dxa"/>
            <w:vAlign w:val="center"/>
          </w:tcPr>
          <w:p w14:paraId="421968F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竞争消耗</w:t>
            </w:r>
          </w:p>
        </w:tc>
        <w:tc>
          <w:tcPr>
            <w:tcW w:w="1700" w:type="dxa"/>
            <w:vAlign w:val="center"/>
          </w:tcPr>
          <w:p w14:paraId="027DD35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水合 trans-dec-2-enoyl-CoA，可能与终端释放竞争；仅为节点，不自动推出敲除。</w:t>
            </w:r>
          </w:p>
        </w:tc>
      </w:tr>
      <w:tr w14:paraId="41B73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EAF1F3"/>
            <w:vAlign w:val="center"/>
          </w:tcPr>
          <w:p w14:paraId="44F1621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r_2295</w:t>
            </w:r>
          </w:p>
        </w:tc>
        <w:tc>
          <w:tcPr>
            <w:tcW w:w="1700" w:type="dxa"/>
            <w:shd w:val="clear" w:color="auto" w:fill="EAF1F3"/>
            <w:vAlign w:val="center"/>
          </w:tcPr>
          <w:p w14:paraId="258F5B8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s_2926 --&gt; 4 s_0801 + s_1507</w:t>
            </w:r>
          </w:p>
        </w:tc>
        <w:tc>
          <w:tcPr>
            <w:tcW w:w="1700" w:type="dxa"/>
            <w:shd w:val="clear" w:color="auto" w:fill="EAF1F3"/>
            <w:vAlign w:val="center"/>
          </w:tcPr>
          <w:p w14:paraId="233EE2E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YLR284C</w:t>
            </w:r>
          </w:p>
        </w:tc>
        <w:tc>
          <w:tcPr>
            <w:tcW w:w="1700" w:type="dxa"/>
            <w:shd w:val="clear" w:color="auto" w:fill="EAF1F3"/>
            <w:vAlign w:val="center"/>
          </w:tcPr>
          <w:p w14:paraId="1D42014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YLR284C</w:t>
            </w:r>
          </w:p>
        </w:tc>
        <w:tc>
          <w:tcPr>
            <w:tcW w:w="1700" w:type="dxa"/>
            <w:shd w:val="clear" w:color="auto" w:fill="EAF1F3"/>
            <w:vAlign w:val="center"/>
          </w:tcPr>
          <w:p w14:paraId="5302347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替代连接</w:t>
            </w:r>
          </w:p>
        </w:tc>
        <w:tc>
          <w:tcPr>
            <w:tcW w:w="1700" w:type="dxa"/>
            <w:shd w:val="clear" w:color="auto" w:fill="EAF1F3"/>
            <w:vAlign w:val="center"/>
          </w:tcPr>
          <w:p w14:paraId="6557D52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从另一不饱和 C10-CoA 节点连接到 trans-dec-2-enoyl-CoA；不是终端反应。</w:t>
            </w:r>
          </w:p>
        </w:tc>
      </w:tr>
    </w:tbl>
    <w:p w14:paraId="5AF23FFA">
      <w:pPr>
        <w:spacing w:after="0"/>
      </w:pPr>
    </w:p>
    <w:p w14:paraId="0B8650AD">
      <w:r>
        <w:t>这里的“参与”表示模型网络可用步骤，“竞争消耗”表示前体分流节点，“替代连接”表示另一条网络连接。这些标签不把所有 GPR 基因提升为必须改造基因；候选终端反应本次无 GPR，单基因删除分析因此为 not_applicable。</w:t>
      </w:r>
    </w:p>
    <w:p w14:paraId="1DAA4069">
      <w:pPr>
        <w:pStyle w:val="3"/>
      </w:pPr>
      <w:r>
        <w:t>4. 两条候选终端路径</w:t>
      </w:r>
    </w:p>
    <w:p w14:paraId="09504107">
      <w:r>
        <w:t>优先实现概念：TES1/PTE1/YJR019C/P41903 负责候选硫酯水解，cyp52M1/B8QHP1 (Starmerella bombicola) 负责候选 omega 羟化，并配 NCP1/YHR042W/P16603 或经兼容性确认的 CPR。替代实现候选为 Fusarium oxysporum CYP505/Q9Y8G7 self-sufficient 融合酶。上述全部是候选，exact evidence count=0。</w:t>
      </w:r>
    </w:p>
    <w:tbl>
      <w:tblPr>
        <w:tblStyle w:val="33"/>
        <w:tblW w:w="111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6"/>
        <w:gridCol w:w="2821"/>
        <w:gridCol w:w="1146"/>
        <w:gridCol w:w="909"/>
        <w:gridCol w:w="707"/>
        <w:gridCol w:w="774"/>
        <w:gridCol w:w="1616"/>
        <w:gridCol w:w="941"/>
        <w:gridCol w:w="737"/>
        <w:gridCol w:w="920"/>
      </w:tblGrid>
      <w:tr w14:paraId="3A71C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1F5A6A"/>
            <w:vAlign w:val="center"/>
          </w:tcPr>
          <w:p w14:paraId="37F0CB5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bookmarkStart w:id="0" w:name="_GoBack"/>
            <w:bookmarkEnd w:id="0"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步骤</w:t>
            </w:r>
          </w:p>
        </w:tc>
        <w:tc>
          <w:tcPr>
            <w:tcW w:w="0" w:type="auto"/>
            <w:shd w:val="clear" w:color="auto" w:fill="1F5A6A"/>
            <w:vAlign w:val="center"/>
          </w:tcPr>
          <w:p w14:paraId="522DEC8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反应ID</w:t>
            </w:r>
          </w:p>
        </w:tc>
        <w:tc>
          <w:tcPr>
            <w:tcW w:w="0" w:type="auto"/>
            <w:shd w:val="clear" w:color="auto" w:fill="1F5A6A"/>
            <w:vAlign w:val="center"/>
          </w:tcPr>
          <w:p w14:paraId="69567C5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计量方程</w:t>
            </w:r>
          </w:p>
        </w:tc>
        <w:tc>
          <w:tcPr>
            <w:tcW w:w="860" w:type="dxa"/>
            <w:shd w:val="clear" w:color="auto" w:fill="1F5A6A"/>
            <w:vAlign w:val="center"/>
          </w:tcPr>
          <w:p w14:paraId="36D95DA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所需酶</w:t>
            </w:r>
          </w:p>
        </w:tc>
        <w:tc>
          <w:tcPr>
            <w:tcW w:w="0" w:type="auto"/>
            <w:shd w:val="clear" w:color="auto" w:fill="1F5A6A"/>
            <w:vAlign w:val="center"/>
          </w:tcPr>
          <w:p w14:paraId="4471FB6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EC</w:t>
            </w:r>
          </w:p>
        </w:tc>
        <w:tc>
          <w:tcPr>
            <w:tcW w:w="0" w:type="auto"/>
            <w:shd w:val="clear" w:color="auto" w:fill="1F5A6A"/>
            <w:vAlign w:val="center"/>
          </w:tcPr>
          <w:p w14:paraId="1D16656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辅因子</w:t>
            </w:r>
          </w:p>
        </w:tc>
        <w:tc>
          <w:tcPr>
            <w:tcW w:w="0" w:type="auto"/>
            <w:shd w:val="clear" w:color="auto" w:fill="1F5A6A"/>
            <w:vAlign w:val="center"/>
          </w:tcPr>
          <w:p w14:paraId="1B964DA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候选基因/UniProt</w:t>
            </w:r>
          </w:p>
        </w:tc>
        <w:tc>
          <w:tcPr>
            <w:tcW w:w="853" w:type="dxa"/>
            <w:shd w:val="clear" w:color="auto" w:fill="1F5A6A"/>
            <w:vAlign w:val="center"/>
          </w:tcPr>
          <w:p w14:paraId="7D0B765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来源</w:t>
            </w:r>
          </w:p>
        </w:tc>
        <w:tc>
          <w:tcPr>
            <w:tcW w:w="0" w:type="auto"/>
            <w:shd w:val="clear" w:color="auto" w:fill="1F5A6A"/>
            <w:vAlign w:val="center"/>
          </w:tcPr>
          <w:p w14:paraId="67CC32C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证据等级</w:t>
            </w:r>
          </w:p>
        </w:tc>
        <w:tc>
          <w:tcPr>
            <w:tcW w:w="926" w:type="dxa"/>
            <w:shd w:val="clear" w:color="auto" w:fill="1F5A6A"/>
            <w:vAlign w:val="center"/>
          </w:tcPr>
          <w:p w14:paraId="0FA8CFE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主要风险</w:t>
            </w:r>
          </w:p>
        </w:tc>
      </w:tr>
      <w:tr w14:paraId="57F4B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3B6544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游离酸路线 1</w:t>
            </w:r>
          </w:p>
        </w:tc>
        <w:tc>
          <w:tcPr>
            <w:tcW w:w="0" w:type="auto"/>
            <w:vAlign w:val="center"/>
          </w:tcPr>
          <w:p w14:paraId="763F38D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CAND_T2DEC_THIOESTERASE_P</w:t>
            </w:r>
          </w:p>
        </w:tc>
        <w:tc>
          <w:tcPr>
            <w:tcW w:w="0" w:type="auto"/>
            <w:vAlign w:val="center"/>
          </w:tcPr>
          <w:p w14:paraId="5FB30B0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trans-dec-2-enoyl-CoA + H2O -&gt; trans-2-decenoate + CoA + H+</w:t>
            </w:r>
          </w:p>
        </w:tc>
        <w:tc>
          <w:tcPr>
            <w:tcW w:w="860" w:type="dxa"/>
            <w:vAlign w:val="center"/>
          </w:tcPr>
          <w:p w14:paraId="4A91FFD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acyl-CoA thioesterase</w:t>
            </w:r>
          </w:p>
        </w:tc>
        <w:tc>
          <w:tcPr>
            <w:tcW w:w="0" w:type="auto"/>
            <w:vAlign w:val="center"/>
          </w:tcPr>
          <w:p w14:paraId="5D4B804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3.1.2.-, 3.1.2.2</w:t>
            </w:r>
          </w:p>
        </w:tc>
        <w:tc>
          <w:tcPr>
            <w:tcW w:w="0" w:type="auto"/>
            <w:vAlign w:val="center"/>
          </w:tcPr>
          <w:p w14:paraId="3B27A11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H2O</w:t>
            </w:r>
          </w:p>
        </w:tc>
        <w:tc>
          <w:tcPr>
            <w:tcW w:w="0" w:type="auto"/>
            <w:vAlign w:val="center"/>
          </w:tcPr>
          <w:p w14:paraId="4CD4ACA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TES1/PTE1 / YJR019C / P41903</w:t>
            </w:r>
          </w:p>
        </w:tc>
        <w:tc>
          <w:tcPr>
            <w:tcW w:w="853" w:type="dxa"/>
            <w:vAlign w:val="center"/>
          </w:tcPr>
          <w:p w14:paraId="6A52444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S. cerevisiae</w:t>
            </w:r>
          </w:p>
        </w:tc>
        <w:tc>
          <w:tcPr>
            <w:tcW w:w="0" w:type="auto"/>
            <w:vAlign w:val="center"/>
          </w:tcPr>
          <w:p w14:paraId="03E15E6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C:近底物/酶家族</w:t>
            </w:r>
          </w:p>
        </w:tc>
        <w:tc>
          <w:tcPr>
            <w:tcW w:w="926" w:type="dxa"/>
            <w:vAlign w:val="center"/>
          </w:tcPr>
          <w:p w14:paraId="061E5AC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未验证 trans-2-enoyl-CoA 特异性；区室与前体可达性。</w:t>
            </w:r>
          </w:p>
        </w:tc>
      </w:tr>
      <w:tr w14:paraId="31B2B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AF1F3"/>
            <w:vAlign w:val="center"/>
          </w:tcPr>
          <w:p w14:paraId="571AB17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游离酸路线 2</w:t>
            </w:r>
          </w:p>
        </w:tc>
        <w:tc>
          <w:tcPr>
            <w:tcW w:w="0" w:type="auto"/>
            <w:shd w:val="clear" w:color="auto" w:fill="EAF1F3"/>
            <w:vAlign w:val="center"/>
          </w:tcPr>
          <w:p w14:paraId="1A8B23F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CAND_T2DEC_OMEGA_HYDROXYLASE_P</w:t>
            </w:r>
          </w:p>
        </w:tc>
        <w:tc>
          <w:tcPr>
            <w:tcW w:w="0" w:type="auto"/>
            <w:shd w:val="clear" w:color="auto" w:fill="EAF1F3"/>
            <w:vAlign w:val="center"/>
          </w:tcPr>
          <w:p w14:paraId="68FB44F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trans-2-decenoate + NADPH + O2 + H+ -&gt; 10H2DA + NADP+ + H2O</w:t>
            </w:r>
          </w:p>
        </w:tc>
        <w:tc>
          <w:tcPr>
            <w:tcW w:w="860" w:type="dxa"/>
            <w:shd w:val="clear" w:color="auto" w:fill="EAF1F3"/>
            <w:vAlign w:val="center"/>
          </w:tcPr>
          <w:p w14:paraId="53E7649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fatty-acid omega-hydroxylase</w:t>
            </w:r>
          </w:p>
        </w:tc>
        <w:tc>
          <w:tcPr>
            <w:tcW w:w="0" w:type="auto"/>
            <w:shd w:val="clear" w:color="auto" w:fill="EAF1F3"/>
            <w:vAlign w:val="center"/>
          </w:tcPr>
          <w:p w14:paraId="62D0267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1.14.-.-, 1.14.14.-</w:t>
            </w:r>
          </w:p>
        </w:tc>
        <w:tc>
          <w:tcPr>
            <w:tcW w:w="0" w:type="auto"/>
            <w:shd w:val="clear" w:color="auto" w:fill="EAF1F3"/>
            <w:vAlign w:val="center"/>
          </w:tcPr>
          <w:p w14:paraId="0D5D1B5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NADPH、O2、heme；CYP52 需 CPR</w:t>
            </w:r>
          </w:p>
        </w:tc>
        <w:tc>
          <w:tcPr>
            <w:tcW w:w="0" w:type="auto"/>
            <w:shd w:val="clear" w:color="auto" w:fill="EAF1F3"/>
            <w:vAlign w:val="center"/>
          </w:tcPr>
          <w:p w14:paraId="41E1158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cyp52M1 / B8QHP1 + NCP1/YHR042W/P16603 或兼容 CPR；替代 CYP505/Q9Y8G7 self-sufficient</w:t>
            </w:r>
          </w:p>
        </w:tc>
        <w:tc>
          <w:tcPr>
            <w:tcW w:w="853" w:type="dxa"/>
            <w:shd w:val="clear" w:color="auto" w:fill="EAF1F3"/>
            <w:vAlign w:val="center"/>
          </w:tcPr>
          <w:p w14:paraId="57DEFB2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Starmerella bombicola；CPR 为 S. cerevisiae；CYP505 为 Fusarium oxysporum</w:t>
            </w:r>
          </w:p>
        </w:tc>
        <w:tc>
          <w:tcPr>
            <w:tcW w:w="0" w:type="auto"/>
            <w:shd w:val="clear" w:color="auto" w:fill="EAF1F3"/>
            <w:vAlign w:val="center"/>
          </w:tcPr>
          <w:p w14:paraId="026A6E8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D:酶家族候选</w:t>
            </w:r>
          </w:p>
        </w:tc>
        <w:tc>
          <w:tcPr>
            <w:tcW w:w="926" w:type="dxa"/>
            <w:shd w:val="clear" w:color="auto" w:fill="EAF1F3"/>
            <w:vAlign w:val="center"/>
          </w:tcPr>
          <w:p w14:paraId="2792808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无 10H2DA exact evidence；P450 底物特异性、电子传递、膜定位。</w:t>
            </w:r>
          </w:p>
        </w:tc>
      </w:tr>
      <w:tr w14:paraId="6FD45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DF8052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CoA-bound 路线 1</w:t>
            </w:r>
          </w:p>
        </w:tc>
        <w:tc>
          <w:tcPr>
            <w:tcW w:w="0" w:type="auto"/>
            <w:vAlign w:val="center"/>
          </w:tcPr>
          <w:p w14:paraId="79C84E0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CAND_T2DEC_COA_OMEGA_HYDROXYLASE_P</w:t>
            </w:r>
          </w:p>
        </w:tc>
        <w:tc>
          <w:tcPr>
            <w:tcW w:w="0" w:type="auto"/>
            <w:vAlign w:val="center"/>
          </w:tcPr>
          <w:p w14:paraId="449521A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trans-dec-2-enoyl-CoA + NADPH + O2 + H+ -&gt; 10H2DA-CoA + NADP+ + H2O</w:t>
            </w:r>
          </w:p>
        </w:tc>
        <w:tc>
          <w:tcPr>
            <w:tcW w:w="860" w:type="dxa"/>
            <w:vAlign w:val="center"/>
          </w:tcPr>
          <w:p w14:paraId="7953238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CoA-bound omega-hydroxylase</w:t>
            </w:r>
          </w:p>
        </w:tc>
        <w:tc>
          <w:tcPr>
            <w:tcW w:w="0" w:type="auto"/>
            <w:vAlign w:val="center"/>
          </w:tcPr>
          <w:p w14:paraId="11E57F6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1.14.-.-, 1.14.14.-</w:t>
            </w:r>
          </w:p>
        </w:tc>
        <w:tc>
          <w:tcPr>
            <w:tcW w:w="0" w:type="auto"/>
            <w:vAlign w:val="center"/>
          </w:tcPr>
          <w:p w14:paraId="385D2C2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NADPH、O2、heme；CYP52 需 CPR</w:t>
            </w:r>
          </w:p>
        </w:tc>
        <w:tc>
          <w:tcPr>
            <w:tcW w:w="0" w:type="auto"/>
            <w:vAlign w:val="center"/>
          </w:tcPr>
          <w:p w14:paraId="701E43B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cyp52M1 / B8QHP1 + NCP1/YHR042W/P16603 或兼容 CPR；替代 CYP505/Q9Y8G7 self-sufficient</w:t>
            </w:r>
          </w:p>
        </w:tc>
        <w:tc>
          <w:tcPr>
            <w:tcW w:w="853" w:type="dxa"/>
            <w:vAlign w:val="center"/>
          </w:tcPr>
          <w:p w14:paraId="3AB4129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同上</w:t>
            </w:r>
          </w:p>
        </w:tc>
        <w:tc>
          <w:tcPr>
            <w:tcW w:w="0" w:type="auto"/>
            <w:vAlign w:val="center"/>
          </w:tcPr>
          <w:p w14:paraId="357033B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D:酶家族候选</w:t>
            </w:r>
          </w:p>
        </w:tc>
        <w:tc>
          <w:tcPr>
            <w:tcW w:w="926" w:type="dxa"/>
            <w:vAlign w:val="center"/>
          </w:tcPr>
          <w:p w14:paraId="0B9E7B0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最高风险：现有 omega-hydroxylase 证据偏游离脂肪酸，CoA-bound 底物支持更弱。</w:t>
            </w:r>
          </w:p>
        </w:tc>
      </w:tr>
      <w:tr w14:paraId="74DC0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9" w:type="dxa"/>
            <w:shd w:val="clear" w:color="auto" w:fill="EAF1F3"/>
            <w:vAlign w:val="center"/>
          </w:tcPr>
          <w:p w14:paraId="74A5268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CoA-bound 路线 2</w:t>
            </w:r>
          </w:p>
        </w:tc>
        <w:tc>
          <w:tcPr>
            <w:tcW w:w="2842" w:type="dxa"/>
            <w:shd w:val="clear" w:color="auto" w:fill="EAF1F3"/>
            <w:vAlign w:val="center"/>
          </w:tcPr>
          <w:p w14:paraId="138455F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CAND_10H2DA_COA_THIOESTERASE_P</w:t>
            </w:r>
          </w:p>
        </w:tc>
        <w:tc>
          <w:tcPr>
            <w:tcW w:w="1153" w:type="dxa"/>
            <w:shd w:val="clear" w:color="auto" w:fill="EAF1F3"/>
            <w:vAlign w:val="center"/>
          </w:tcPr>
          <w:p w14:paraId="38B370D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10H2DA-CoA + H2O -&gt; 10H2DA + CoA + H+</w:t>
            </w:r>
          </w:p>
        </w:tc>
        <w:tc>
          <w:tcPr>
            <w:tcW w:w="860" w:type="dxa"/>
            <w:shd w:val="clear" w:color="auto" w:fill="EAF1F3"/>
            <w:vAlign w:val="center"/>
          </w:tcPr>
          <w:p w14:paraId="778C74E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acyl-CoA thioesterase</w:t>
            </w:r>
          </w:p>
        </w:tc>
        <w:tc>
          <w:tcPr>
            <w:tcW w:w="711" w:type="dxa"/>
            <w:shd w:val="clear" w:color="auto" w:fill="EAF1F3"/>
            <w:vAlign w:val="center"/>
          </w:tcPr>
          <w:p w14:paraId="135A3ED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3.1.2.-, 3.1.2.2</w:t>
            </w:r>
          </w:p>
        </w:tc>
        <w:tc>
          <w:tcPr>
            <w:tcW w:w="778" w:type="dxa"/>
            <w:shd w:val="clear" w:color="auto" w:fill="EAF1F3"/>
            <w:vAlign w:val="center"/>
          </w:tcPr>
          <w:p w14:paraId="350FDFA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H2O</w:t>
            </w:r>
          </w:p>
        </w:tc>
        <w:tc>
          <w:tcPr>
            <w:tcW w:w="1627" w:type="dxa"/>
            <w:shd w:val="clear" w:color="auto" w:fill="EAF1F3"/>
            <w:vAlign w:val="center"/>
          </w:tcPr>
          <w:p w14:paraId="040F42A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TES1/PTE1 / YJR019C / P41903</w:t>
            </w:r>
          </w:p>
        </w:tc>
        <w:tc>
          <w:tcPr>
            <w:tcW w:w="853" w:type="dxa"/>
            <w:shd w:val="clear" w:color="auto" w:fill="EAF1F3"/>
            <w:vAlign w:val="center"/>
          </w:tcPr>
          <w:p w14:paraId="63CE0E4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S. cerevisiae</w:t>
            </w:r>
          </w:p>
        </w:tc>
        <w:tc>
          <w:tcPr>
            <w:tcW w:w="741" w:type="dxa"/>
            <w:shd w:val="clear" w:color="auto" w:fill="EAF1F3"/>
            <w:vAlign w:val="center"/>
          </w:tcPr>
          <w:p w14:paraId="5738D0C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D:酶家族候选</w:t>
            </w:r>
          </w:p>
        </w:tc>
        <w:tc>
          <w:tcPr>
            <w:tcW w:w="926" w:type="dxa"/>
            <w:shd w:val="clear" w:color="auto" w:fill="EAF1F3"/>
            <w:vAlign w:val="center"/>
          </w:tcPr>
          <w:p w14:paraId="7FF0711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未验证羟基化 enoyl-CoA 特异性；区室与产物释放。</w:t>
            </w:r>
          </w:p>
        </w:tc>
      </w:tr>
    </w:tbl>
    <w:p w14:paraId="43C488B5">
      <w:pPr>
        <w:spacing w:after="0"/>
      </w:pPr>
    </w:p>
    <w:p w14:paraId="11D91C15">
      <w:r>
        <w:t>路线排序：优先游离酸路线，即先释放 trans-2-decenoate 再 omega 羟化；CoA-bound omega hydroxylation 风险更高，因为家族证据主要支持游离脂肪酸类底物，不能由相同 FBA 通量推断相同酶学可行性。</w:t>
      </w:r>
    </w:p>
    <w:p w14:paraId="677BC27E">
      <w:pPr>
        <w:pStyle w:val="3"/>
      </w:pPr>
      <w:r>
        <w:t>5. 酵母异源生产所需模块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6F13F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00" w:type="dxa"/>
            <w:shd w:val="clear" w:color="auto" w:fill="1F5A6A"/>
            <w:vAlign w:val="center"/>
          </w:tcPr>
          <w:p w14:paraId="219CBA6C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模块</w:t>
            </w:r>
          </w:p>
        </w:tc>
        <w:tc>
          <w:tcPr>
            <w:tcW w:w="3400" w:type="dxa"/>
            <w:shd w:val="clear" w:color="auto" w:fill="1F5A6A"/>
            <w:vAlign w:val="center"/>
          </w:tcPr>
          <w:p w14:paraId="6425F3F8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候选功能/元件</w:t>
            </w:r>
          </w:p>
        </w:tc>
        <w:tc>
          <w:tcPr>
            <w:tcW w:w="3400" w:type="dxa"/>
            <w:shd w:val="clear" w:color="auto" w:fill="1F5A6A"/>
            <w:vAlign w:val="center"/>
          </w:tcPr>
          <w:p w14:paraId="00AB98FF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判读重点</w:t>
            </w:r>
          </w:p>
        </w:tc>
      </w:tr>
      <w:tr w14:paraId="758F3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0C21CC8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C10 前体供给</w:t>
            </w:r>
          </w:p>
        </w:tc>
        <w:tc>
          <w:tcPr>
            <w:tcW w:w="3400" w:type="dxa"/>
            <w:vAlign w:val="center"/>
          </w:tcPr>
          <w:p w14:paraId="53C3AED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提高癸酸/癸酰-CoA 可用性；ACC1、FAS1、FAS2 可作为前体供给工程候选，但不是本次终端 FBA 直接证明的必要基因。</w:t>
            </w:r>
          </w:p>
        </w:tc>
        <w:tc>
          <w:tcPr>
            <w:tcW w:w="3400" w:type="dxa"/>
            <w:vAlign w:val="center"/>
          </w:tcPr>
          <w:p w14:paraId="3CFDE5F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碳流与链长分布</w:t>
            </w:r>
          </w:p>
        </w:tc>
      </w:tr>
      <w:tr w14:paraId="336C6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EAF1F3"/>
            <w:vAlign w:val="center"/>
          </w:tcPr>
          <w:p w14:paraId="75DC90B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CoA 活化</w:t>
            </w:r>
          </w:p>
        </w:tc>
        <w:tc>
          <w:tcPr>
            <w:tcW w:w="3400" w:type="dxa"/>
            <w:shd w:val="clear" w:color="auto" w:fill="EAF1F3"/>
            <w:vAlign w:val="center"/>
          </w:tcPr>
          <w:p w14:paraId="7547598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FAA2/r_0399 及其他适配 acyl-CoA ligase 候选。</w:t>
            </w:r>
          </w:p>
        </w:tc>
        <w:tc>
          <w:tcPr>
            <w:tcW w:w="3400" w:type="dxa"/>
            <w:shd w:val="clear" w:color="auto" w:fill="EAF1F3"/>
            <w:vAlign w:val="center"/>
          </w:tcPr>
          <w:p w14:paraId="7D1CAAB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底物谱、ATP/CoA 负担、区室</w:t>
            </w:r>
          </w:p>
        </w:tc>
      </w:tr>
      <w:tr w14:paraId="10977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41EDE74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trans-2-enoyl-CoA 形成</w:t>
            </w:r>
          </w:p>
        </w:tc>
        <w:tc>
          <w:tcPr>
            <w:tcW w:w="3400" w:type="dxa"/>
            <w:vAlign w:val="center"/>
          </w:tcPr>
          <w:p w14:paraId="31C11E0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POX1/r_0120；ECI1/r_2295 是替代连接候选。</w:t>
            </w:r>
          </w:p>
        </w:tc>
        <w:tc>
          <w:tcPr>
            <w:tcW w:w="3400" w:type="dxa"/>
            <w:vAlign w:val="center"/>
          </w:tcPr>
          <w:p w14:paraId="28CA9A7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beta-oxidation 继续消耗</w:t>
            </w:r>
          </w:p>
        </w:tc>
      </w:tr>
      <w:tr w14:paraId="24E8C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EAF1F3"/>
            <w:vAlign w:val="center"/>
          </w:tcPr>
          <w:p w14:paraId="67E621D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thioesterase</w:t>
            </w:r>
          </w:p>
        </w:tc>
        <w:tc>
          <w:tcPr>
            <w:tcW w:w="3400" w:type="dxa"/>
            <w:shd w:val="clear" w:color="auto" w:fill="EAF1F3"/>
            <w:vAlign w:val="center"/>
          </w:tcPr>
          <w:p w14:paraId="380E969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TES1/PTE1/P41903 候选，按路线作用于 trans-2-enoyl-CoA 或羟基化 CoA。</w:t>
            </w:r>
          </w:p>
        </w:tc>
        <w:tc>
          <w:tcPr>
            <w:tcW w:w="3400" w:type="dxa"/>
            <w:shd w:val="clear" w:color="auto" w:fill="EAF1F3"/>
            <w:vAlign w:val="center"/>
          </w:tcPr>
          <w:p w14:paraId="2009968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exact 底物活性为 0 条</w:t>
            </w:r>
          </w:p>
        </w:tc>
      </w:tr>
      <w:tr w14:paraId="11696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742D730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omega-hydroxylase</w:t>
            </w:r>
          </w:p>
        </w:tc>
        <w:tc>
          <w:tcPr>
            <w:tcW w:w="3400" w:type="dxa"/>
            <w:vAlign w:val="center"/>
          </w:tcPr>
          <w:p w14:paraId="4E393EA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cyp52M1/B8QHP1 优先候选；CYP505/Q9Y8G7 self-sufficient 替代候选。</w:t>
            </w:r>
          </w:p>
        </w:tc>
        <w:tc>
          <w:tcPr>
            <w:tcW w:w="3400" w:type="dxa"/>
            <w:vAlign w:val="center"/>
          </w:tcPr>
          <w:p w14:paraId="18D5E60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位置选择性与底物特异性</w:t>
            </w:r>
          </w:p>
        </w:tc>
      </w:tr>
      <w:tr w14:paraId="1B265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EAF1F3"/>
            <w:vAlign w:val="center"/>
          </w:tcPr>
          <w:p w14:paraId="34D7151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NADPH/O2/heme/CPR</w:t>
            </w:r>
          </w:p>
        </w:tc>
        <w:tc>
          <w:tcPr>
            <w:tcW w:w="3400" w:type="dxa"/>
            <w:shd w:val="clear" w:color="auto" w:fill="EAF1F3"/>
            <w:vAlign w:val="center"/>
          </w:tcPr>
          <w:p w14:paraId="5E17C9C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保障 P450 还原力、氧、heme 与电子传递；NCP1/P16603 或兼容 CPR。</w:t>
            </w:r>
          </w:p>
        </w:tc>
        <w:tc>
          <w:tcPr>
            <w:tcW w:w="3400" w:type="dxa"/>
            <w:shd w:val="clear" w:color="auto" w:fill="EAF1F3"/>
            <w:vAlign w:val="center"/>
          </w:tcPr>
          <w:p w14:paraId="1901A95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氧旁路、电子耦联与氧化压力</w:t>
            </w:r>
          </w:p>
        </w:tc>
      </w:tr>
      <w:tr w14:paraId="7BA0F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777D91F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区室/转运</w:t>
            </w:r>
          </w:p>
        </w:tc>
        <w:tc>
          <w:tcPr>
            <w:tcW w:w="3400" w:type="dxa"/>
            <w:vAlign w:val="center"/>
          </w:tcPr>
          <w:p w14:paraId="25B9D0F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协调过氧化物酶体、ER、胞质之间的 CoA 酯、游离酸和 P450 可达性。</w:t>
            </w:r>
          </w:p>
        </w:tc>
        <w:tc>
          <w:tcPr>
            <w:tcW w:w="3400" w:type="dxa"/>
            <w:vAlign w:val="center"/>
          </w:tcPr>
          <w:p w14:paraId="59C3828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跨膜与 CoA 物种不可自由扩散</w:t>
            </w:r>
          </w:p>
        </w:tc>
      </w:tr>
      <w:tr w14:paraId="1FCFA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EAF1F3"/>
            <w:vAlign w:val="center"/>
          </w:tcPr>
          <w:p w14:paraId="690C4AE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产物输出与耐受</w:t>
            </w:r>
          </w:p>
        </w:tc>
        <w:tc>
          <w:tcPr>
            <w:tcW w:w="3400" w:type="dxa"/>
            <w:shd w:val="clear" w:color="auto" w:fill="EAF1F3"/>
            <w:vAlign w:val="center"/>
          </w:tcPr>
          <w:p w14:paraId="256A5B7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评估 10H2DA 输出、胞内积累与宿主耐受的独立模块。</w:t>
            </w:r>
          </w:p>
        </w:tc>
        <w:tc>
          <w:tcPr>
            <w:tcW w:w="3400" w:type="dxa"/>
            <w:shd w:val="clear" w:color="auto" w:fill="EAF1F3"/>
            <w:vAlign w:val="center"/>
          </w:tcPr>
          <w:p w14:paraId="787A71A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膜与酸胁迫；无本次实验证据</w:t>
            </w:r>
          </w:p>
        </w:tc>
      </w:tr>
      <w:tr w14:paraId="7205D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2A18D46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分析验证</w:t>
            </w:r>
          </w:p>
        </w:tc>
        <w:tc>
          <w:tcPr>
            <w:tcW w:w="3400" w:type="dxa"/>
            <w:vAlign w:val="center"/>
          </w:tcPr>
          <w:p w14:paraId="3F01D91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区分异构体、游离酸/CoA 形式并核对质量与碳平衡；建立空白和过程对照。</w:t>
            </w:r>
          </w:p>
        </w:tc>
        <w:tc>
          <w:tcPr>
            <w:tcW w:w="3400" w:type="dxa"/>
            <w:vAlign w:val="center"/>
          </w:tcPr>
          <w:p w14:paraId="11870F9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不在本报告提供湿实验参数</w:t>
            </w:r>
          </w:p>
        </w:tc>
      </w:tr>
    </w:tbl>
    <w:p w14:paraId="726264A5">
      <w:pPr>
        <w:spacing w:after="0"/>
      </w:pPr>
    </w:p>
    <w:p w14:paraId="5D006831">
      <w:r>
        <w:t>本清单是设计需求与验证边界，不包含培养、转化、表达、取样或分析的湿实验操作参数。</w:t>
      </w:r>
    </w:p>
    <w:p w14:paraId="758DF55F">
      <w:pPr>
        <w:pStyle w:val="3"/>
      </w:pPr>
      <w:r>
        <w:t>6. 基因分层与优先级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65A53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00" w:type="dxa"/>
            <w:shd w:val="clear" w:color="auto" w:fill="1F5A6A"/>
            <w:vAlign w:val="center"/>
          </w:tcPr>
          <w:p w14:paraId="78CBD137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层级</w:t>
            </w:r>
          </w:p>
        </w:tc>
        <w:tc>
          <w:tcPr>
            <w:tcW w:w="3400" w:type="dxa"/>
            <w:shd w:val="clear" w:color="auto" w:fill="1F5A6A"/>
            <w:vAlign w:val="center"/>
          </w:tcPr>
          <w:p w14:paraId="659F1F81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候选</w:t>
            </w:r>
          </w:p>
        </w:tc>
        <w:tc>
          <w:tcPr>
            <w:tcW w:w="3400" w:type="dxa"/>
            <w:shd w:val="clear" w:color="auto" w:fill="1F5A6A"/>
            <w:vAlign w:val="center"/>
          </w:tcPr>
          <w:p w14:paraId="0FA9D0F0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定位与边界</w:t>
            </w:r>
          </w:p>
        </w:tc>
      </w:tr>
      <w:tr w14:paraId="21422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5453E0E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模型直接基因</w:t>
            </w:r>
          </w:p>
        </w:tc>
        <w:tc>
          <w:tcPr>
            <w:tcW w:w="3400" w:type="dxa"/>
            <w:vAlign w:val="center"/>
          </w:tcPr>
          <w:p w14:paraId="70103C2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FAA2/YER015W；POX1/YGL205W；FOX2/YKR009C；ECI1/YLR284C；MetaTwin 的 rxn1937 ORF 集合</w:t>
            </w:r>
          </w:p>
        </w:tc>
        <w:tc>
          <w:tcPr>
            <w:tcW w:w="3400" w:type="dxa"/>
            <w:vAlign w:val="center"/>
          </w:tcPr>
          <w:p w14:paraId="027E88B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模型 GPR 直接提取；包含参与、竞争消耗和替代连接，不等于全部必须改造。</w:t>
            </w:r>
          </w:p>
        </w:tc>
      </w:tr>
      <w:tr w14:paraId="6D7BA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EAF1F3"/>
            <w:vAlign w:val="center"/>
          </w:tcPr>
          <w:p w14:paraId="3C04959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宿主终端候选</w:t>
            </w:r>
          </w:p>
        </w:tc>
        <w:tc>
          <w:tcPr>
            <w:tcW w:w="3400" w:type="dxa"/>
            <w:shd w:val="clear" w:color="auto" w:fill="EAF1F3"/>
            <w:vAlign w:val="center"/>
          </w:tcPr>
          <w:p w14:paraId="5BD6C71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TES1/PTE1/YJR019C/P41903</w:t>
            </w:r>
          </w:p>
        </w:tc>
        <w:tc>
          <w:tcPr>
            <w:tcW w:w="3400" w:type="dxa"/>
            <w:shd w:val="clear" w:color="auto" w:fill="EAF1F3"/>
            <w:vAlign w:val="center"/>
          </w:tcPr>
          <w:p w14:paraId="70FE3BC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S. cerevisiae acyl-CoA thioesterase 家族候选；exact 终端底物证据为 0。</w:t>
            </w:r>
          </w:p>
        </w:tc>
      </w:tr>
      <w:tr w14:paraId="79974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4D18660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异源核心候选</w:t>
            </w:r>
          </w:p>
        </w:tc>
        <w:tc>
          <w:tcPr>
            <w:tcW w:w="3400" w:type="dxa"/>
            <w:vAlign w:val="center"/>
          </w:tcPr>
          <w:p w14:paraId="60A4C6B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cyp52M1/B8QHP1；替代 CYP505/Q9Y8G7</w:t>
            </w:r>
          </w:p>
        </w:tc>
        <w:tc>
          <w:tcPr>
            <w:tcW w:w="3400" w:type="dxa"/>
            <w:vAlign w:val="center"/>
          </w:tcPr>
          <w:p w14:paraId="7E6E7AC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分别为 Starmerella bombicola CYP52 与 Fusarium oxysporum self-sufficient P450 候选；均未验证 10H2DA exact 反应。</w:t>
            </w:r>
          </w:p>
        </w:tc>
      </w:tr>
      <w:tr w14:paraId="53909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EAF1F3"/>
            <w:vAlign w:val="center"/>
          </w:tcPr>
          <w:p w14:paraId="7587796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辅因子/电子传递候选</w:t>
            </w:r>
          </w:p>
        </w:tc>
        <w:tc>
          <w:tcPr>
            <w:tcW w:w="3400" w:type="dxa"/>
            <w:shd w:val="clear" w:color="auto" w:fill="EAF1F3"/>
            <w:vAlign w:val="center"/>
          </w:tcPr>
          <w:p w14:paraId="104265F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NCP1/YHR042W/P16603 或兼容 CPR；NADPH、O2、heme 供给</w:t>
            </w:r>
          </w:p>
        </w:tc>
        <w:tc>
          <w:tcPr>
            <w:tcW w:w="3400" w:type="dxa"/>
            <w:shd w:val="clear" w:color="auto" w:fill="EAF1F3"/>
            <w:vAlign w:val="center"/>
          </w:tcPr>
          <w:p w14:paraId="6241F71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支持 P450，不是终端羟化酶本身；CYP505 自带还原酶域但仍需宿主兼容性。</w:t>
            </w:r>
          </w:p>
        </w:tc>
      </w:tr>
      <w:tr w14:paraId="7163F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6CBEB2B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竞争节点</w:t>
            </w:r>
          </w:p>
        </w:tc>
        <w:tc>
          <w:tcPr>
            <w:tcW w:w="3400" w:type="dxa"/>
            <w:vAlign w:val="center"/>
          </w:tcPr>
          <w:p w14:paraId="6827A62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FOX2/YKR009C 等 beta-oxidation 下游；前体/CoA/还原力竞争</w:t>
            </w:r>
          </w:p>
        </w:tc>
        <w:tc>
          <w:tcPr>
            <w:tcW w:w="3400" w:type="dxa"/>
            <w:vAlign w:val="center"/>
          </w:tcPr>
          <w:p w14:paraId="3201E00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仅为候选调控节点，需先验证代谢与生长影响。</w:t>
            </w:r>
          </w:p>
        </w:tc>
      </w:tr>
      <w:tr w14:paraId="10BE9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EAF1F3"/>
            <w:vAlign w:val="center"/>
          </w:tcPr>
          <w:p w14:paraId="529BE55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低特异性内源候选</w:t>
            </w:r>
          </w:p>
        </w:tc>
        <w:tc>
          <w:tcPr>
            <w:tcW w:w="3400" w:type="dxa"/>
            <w:shd w:val="clear" w:color="auto" w:fill="EAF1F3"/>
            <w:vAlign w:val="center"/>
          </w:tcPr>
          <w:p w14:paraId="7AFE9FF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ERG11、ERG5、DIT2 等</w:t>
            </w:r>
          </w:p>
        </w:tc>
        <w:tc>
          <w:tcPr>
            <w:tcW w:w="3400" w:type="dxa"/>
            <w:shd w:val="clear" w:color="auto" w:fill="EAF1F3"/>
            <w:vAlign w:val="center"/>
          </w:tcPr>
          <w:p w14:paraId="409BE07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仅因 P450/氧化酶类别或关键词相关；底物类别距离远，不建议当作已验证 10H2DA 羟化酶。</w:t>
            </w:r>
          </w:p>
        </w:tc>
      </w:tr>
      <w:tr w14:paraId="7C651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468BD4F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前体供给工程候选</w:t>
            </w:r>
          </w:p>
        </w:tc>
        <w:tc>
          <w:tcPr>
            <w:tcW w:w="3400" w:type="dxa"/>
            <w:vAlign w:val="center"/>
          </w:tcPr>
          <w:p w14:paraId="22B2F94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ACC1、FAS1、FAS2</w:t>
            </w:r>
          </w:p>
        </w:tc>
        <w:tc>
          <w:tcPr>
            <w:tcW w:w="3400" w:type="dxa"/>
            <w:vAlign w:val="center"/>
          </w:tcPr>
          <w:p w14:paraId="3F8DF0C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可用于 C10 前体供给假设；不是本次终端 FBA 直接证明的必要基因。</w:t>
            </w:r>
          </w:p>
        </w:tc>
      </w:tr>
    </w:tbl>
    <w:p w14:paraId="15FCCE18">
      <w:pPr>
        <w:spacing w:after="0"/>
      </w:pPr>
    </w:p>
    <w:p w14:paraId="67FD586B">
      <w:pPr>
        <w:pStyle w:val="3"/>
      </w:pPr>
      <w:r>
        <w:t>7. 证据、动力学与工程层</w:t>
      </w:r>
    </w:p>
    <w:tbl>
      <w:tblPr>
        <w:tblStyle w:val="33"/>
        <w:tblW w:w="10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5723"/>
        <w:gridCol w:w="3229"/>
      </w:tblGrid>
      <w:tr w14:paraId="10444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48" w:type="dxa"/>
            <w:shd w:val="clear" w:color="auto" w:fill="1F5A6A"/>
            <w:vAlign w:val="center"/>
          </w:tcPr>
          <w:p w14:paraId="7EAE37C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层</w:t>
            </w:r>
          </w:p>
        </w:tc>
        <w:tc>
          <w:tcPr>
            <w:tcW w:w="5723" w:type="dxa"/>
            <w:shd w:val="clear" w:color="auto" w:fill="1F5A6A"/>
            <w:vAlign w:val="center"/>
          </w:tcPr>
          <w:p w14:paraId="7579153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本次实际结果</w:t>
            </w:r>
          </w:p>
        </w:tc>
        <w:tc>
          <w:tcPr>
            <w:tcW w:w="3229" w:type="dxa"/>
            <w:shd w:val="clear" w:color="auto" w:fill="1F5A6A"/>
            <w:vAlign w:val="center"/>
          </w:tcPr>
          <w:p w14:paraId="744F612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可声明范围</w:t>
            </w:r>
          </w:p>
        </w:tc>
      </w:tr>
      <w:tr w14:paraId="4CEC2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8" w:type="dxa"/>
            <w:vAlign w:val="center"/>
          </w:tcPr>
          <w:p w14:paraId="15CE616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external evidence</w:t>
            </w:r>
          </w:p>
        </w:tc>
        <w:tc>
          <w:tcPr>
            <w:tcW w:w="5723" w:type="dxa"/>
            <w:vAlign w:val="center"/>
          </w:tcPr>
          <w:p w14:paraId="3BC0A96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126 records / 0 exact；状态 completed_with_no_exact_match</w:t>
            </w:r>
          </w:p>
        </w:tc>
        <w:tc>
          <w:tcPr>
            <w:tcW w:w="3229" w:type="dxa"/>
            <w:vAlign w:val="center"/>
          </w:tcPr>
          <w:p w14:paraId="42C9C74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记录是候选家族/化合物上下文，不证明 exact 终端反应。</w:t>
            </w:r>
          </w:p>
        </w:tc>
      </w:tr>
      <w:tr w14:paraId="5A730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8" w:type="dxa"/>
            <w:shd w:val="clear" w:color="auto" w:fill="EAF1F3"/>
            <w:vAlign w:val="center"/>
          </w:tcPr>
          <w:p w14:paraId="4D097A2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kinetic</w:t>
            </w:r>
          </w:p>
        </w:tc>
        <w:tc>
          <w:tcPr>
            <w:tcW w:w="5723" w:type="dxa"/>
            <w:shd w:val="clear" w:color="auto" w:fill="EAF1F3"/>
            <w:vAlign w:val="center"/>
          </w:tcPr>
          <w:p w14:paraId="293CB27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0 ready / 8 unsupported；原因：缺序列</w:t>
            </w:r>
          </w:p>
        </w:tc>
        <w:tc>
          <w:tcPr>
            <w:tcW w:w="3229" w:type="dxa"/>
            <w:shd w:val="clear" w:color="auto" w:fill="EAF1F3"/>
            <w:vAlign w:val="center"/>
          </w:tcPr>
          <w:p w14:paraId="351AE5B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没有可用动力学预测，不伪造序列。</w:t>
            </w:r>
          </w:p>
        </w:tc>
      </w:tr>
      <w:tr w14:paraId="0639B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8" w:type="dxa"/>
            <w:vAlign w:val="center"/>
          </w:tcPr>
          <w:p w14:paraId="3B006B3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engineering rules</w:t>
            </w:r>
          </w:p>
        </w:tc>
        <w:tc>
          <w:tcPr>
            <w:tcW w:w="5723" w:type="dxa"/>
            <w:vAlign w:val="center"/>
          </w:tcPr>
          <w:p w14:paraId="62E5329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no_exact_terminal_evidence -&gt; requires_manual_evidence_review (matched=True); no_approved_evidence -&gt; experimental_validation_not_established (matched=True)</w:t>
            </w:r>
          </w:p>
        </w:tc>
        <w:tc>
          <w:tcPr>
            <w:tcW w:w="3229" w:type="dxa"/>
            <w:vAlign w:val="center"/>
          </w:tcPr>
          <w:p w14:paraId="5A9EBB7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仅用于可追溯优先级；experimentally_validated=false。</w:t>
            </w:r>
          </w:p>
        </w:tc>
      </w:tr>
      <w:tr w14:paraId="52490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8" w:type="dxa"/>
            <w:shd w:val="clear" w:color="auto" w:fill="EAF1F3"/>
            <w:vAlign w:val="center"/>
          </w:tcPr>
          <w:p w14:paraId="7AB2108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construct</w:t>
            </w:r>
          </w:p>
        </w:tc>
        <w:tc>
          <w:tcPr>
            <w:tcW w:w="5723" w:type="dxa"/>
            <w:shd w:val="clear" w:color="auto" w:fill="EAF1F3"/>
            <w:vAlign w:val="center"/>
          </w:tcPr>
          <w:p w14:paraId="0FCFCB7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状态 completed；2 designs；claims.hypothetical=True</w:t>
            </w:r>
          </w:p>
        </w:tc>
        <w:tc>
          <w:tcPr>
            <w:tcW w:w="3229" w:type="dxa"/>
            <w:shd w:val="clear" w:color="auto" w:fill="EAF1F3"/>
            <w:vAlign w:val="center"/>
          </w:tcPr>
          <w:p w14:paraId="0AF2BEA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construct hypothetical、requires_review，非湿实验验证。</w:t>
            </w:r>
          </w:p>
        </w:tc>
      </w:tr>
    </w:tbl>
    <w:p w14:paraId="7A46F307">
      <w:pPr>
        <w:spacing w:after="0"/>
      </w:pPr>
    </w:p>
    <w:p w14:paraId="5B7ED637">
      <w:r>
        <w:t>以上 evidence、kinetic、engineering 和 construct 结果来自本次三系统统一调用的共享分析层，不是该底层 GEM 本身携带的能力或原生证据。本报告仅把共享层作为候选解释上下文，不能据此提高底层模型的酶学证明等级。</w:t>
      </w:r>
    </w:p>
    <w:p w14:paraId="19E391AF">
      <w:pPr>
        <w:pStyle w:val="3"/>
      </w:pPr>
      <w:r>
        <w:t>8. 可复现代码</w:t>
      </w:r>
    </w:p>
    <w:p w14:paraId="43CC997C">
      <w:r>
        <w:t>CLI 重跑命令（使用当前比较 run 已生成的 config；示例 run-id 为新 ID，避免覆盖现有 run）：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72C12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2F4F5"/>
          </w:tcPr>
          <w:p w14:paraId="700013B5">
            <w:pPr>
              <w:spacing w:after="0" w:line="240" w:lineRule="auto"/>
            </w:pPr>
            <w:r>
              <w:rPr>
                <w:rFonts w:ascii="Consolas" w:hAnsi="Consolas" w:eastAsia="Consolas"/>
                <w:color w:val="20282D"/>
                <w:sz w:val="15"/>
              </w:rPr>
              <w:t>python "C:\biological\Metabolic model prediction\Integrated_Yeast_MetaTwin_Deployment\10_generic_target_workflow\runtime\workflow_cli.py" run --config "C:\biological\Metabolic model prediction\Integrated_Yeast_MetaTwin_Deployment\runs\10h2da-three-system-20260717\configs\yeast_gem.json" --project-root "C:\biological\Metabolic model prediction\Integrated_Yeast_MetaTwin_Deployment" --run-id "10h2da-yeast_gem-report-rerun-example" --runs-dir "C:\biological\Metabolic model prediction\Integrated_Yeast_MetaTwin_Deployment\runs\10h2da-three-system-20260717\report-reruns" --output-dir "C:\biological\Metabolic model prediction\Integrated_Yeast_MetaTwin_Deployment\runs\10h2da-three-system-20260717\report-rerun-workspaces\yeast_gem"</w:t>
            </w:r>
          </w:p>
        </w:tc>
      </w:tr>
    </w:tbl>
    <w:p w14:paraId="692FDF13">
      <w:pPr>
        <w:spacing w:after="0"/>
      </w:pPr>
    </w:p>
    <w:p w14:paraId="6F1664B8">
      <w:r>
        <w:t>模型查询 Python 代码（动态读取模型反应、方程、GPR 与基因）：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A0BB3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2F4F5"/>
          </w:tcPr>
          <w:p w14:paraId="0BB346D9">
            <w:pPr>
              <w:spacing w:after="0" w:line="240" w:lineRule="auto"/>
            </w:pPr>
            <w:r>
              <w:rPr>
                <w:rFonts w:ascii="Consolas" w:hAnsi="Consolas" w:eastAsia="Consolas"/>
                <w:color w:val="20282D"/>
                <w:sz w:val="15"/>
              </w:rPr>
              <w:t>import json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from pathlib import Path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import cobra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root = Path(r"C:\biological\Metabolic model prediction\Integrated_Yeast_MetaTwin_Deployment")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config_path = Path(r"C:\biological\Metabolic model prediction\Integrated_Yeast_MetaTwin_Deployment\runs\10h2da-three-system-20260717\configs\yeast_gem.json")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config = json.loads(config_path.read_text(encoding="utf-8"))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model_path = (root / config["fba_validation"]["model_path"]).resolve()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model = cobra.io.load_yaml_model(model_path)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reaction_ids = ['r_0399', 'r_0120', 'r_2248', 'r_2295']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for reaction_id in reaction_ids: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 xml:space="preserve">    reaction = model.reactions.get_by_id(reaction_id)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 xml:space="preserve">    print(reaction.id, reaction.reaction)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 xml:space="preserve">    print("GPR:", reaction.gene_reaction_rule)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 xml:space="preserve">    print("genes:", sorted(gene.id for gene in reaction.genes))</w:t>
            </w:r>
          </w:p>
        </w:tc>
      </w:tr>
    </w:tbl>
    <w:p w14:paraId="60409BB2">
      <w:pPr>
        <w:spacing w:after="0"/>
      </w:pPr>
    </w:p>
    <w:p w14:paraId="78E08B72">
      <w:r>
        <w:t>结果读取 Python 代码（读取 native growth、两路线 FBA/pFBA/FVA、收率和敏感性）：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3652FD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2F4F5"/>
          </w:tcPr>
          <w:p w14:paraId="76CEA254">
            <w:pPr>
              <w:spacing w:after="0" w:line="240" w:lineRule="auto"/>
            </w:pPr>
            <w:r>
              <w:rPr>
                <w:rFonts w:ascii="Consolas" w:hAnsi="Consolas" w:eastAsia="Consolas"/>
                <w:color w:val="20282D"/>
                <w:sz w:val="15"/>
              </w:rPr>
              <w:t>import json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from pathlib import Path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path = Path(r"C:\biological\Metabolic model prediction\Integrated_Yeast_MetaTwin_Deployment\runs\10h2da-three-system-20260717\runs\10h2da-yeast_gem\artifacts\model_feasibility\fba_results.json")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result = json.loads(path.read_text(encoding="utf-8"))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print("native growth:", result["native_growth_status"], result["native_growth_max"])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for route in result["routes"]: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 xml:space="preserve">    demand = route["objective_reaction_id"]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 xml:space="preserve">    print(route["route_id"], "FBA", route["objective_value"])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 xml:space="preserve">    print("pFBA", route["pfba"])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 xml:space="preserve">    print("FVA", route["fva"]["reactions"][demand])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 xml:space="preserve">    print("carbon yield", route["carbon_yield"])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 xml:space="preserve">    print("sensitivity", route["sensitivity"])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 xml:space="preserve">    print("cycle", route["cycle_detection"])</w:t>
            </w:r>
          </w:p>
        </w:tc>
      </w:tr>
    </w:tbl>
    <w:p w14:paraId="55E58068">
      <w:pPr>
        <w:spacing w:after="0"/>
      </w:pPr>
    </w:p>
    <w:p w14:paraId="3E9A1BB7">
      <w:r>
        <w:t>实际源代码路径：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34FBF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00" w:type="dxa"/>
            <w:shd w:val="clear" w:color="auto" w:fill="1F5A6A"/>
            <w:vAlign w:val="center"/>
          </w:tcPr>
          <w:p w14:paraId="7252F66D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文件</w:t>
            </w:r>
          </w:p>
        </w:tc>
        <w:tc>
          <w:tcPr>
            <w:tcW w:w="5100" w:type="dxa"/>
            <w:shd w:val="clear" w:color="auto" w:fill="1F5A6A"/>
            <w:vAlign w:val="center"/>
          </w:tcPr>
          <w:p w14:paraId="39D7948C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路径</w:t>
            </w:r>
          </w:p>
        </w:tc>
      </w:tr>
      <w:tr w14:paraId="1DC3B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vAlign w:val="center"/>
          </w:tcPr>
          <w:p w14:paraId="76671A5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run_10h2da_three_system_comparison.py</w:t>
            </w:r>
          </w:p>
        </w:tc>
        <w:tc>
          <w:tcPr>
            <w:tcW w:w="5100" w:type="dxa"/>
            <w:vAlign w:val="center"/>
          </w:tcPr>
          <w:p w14:paraId="1173BB2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08_runtime/run_10h2da_three_system_comparison.py</w:t>
            </w:r>
          </w:p>
        </w:tc>
      </w:tr>
      <w:tr w14:paraId="1D12D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EAF1F3"/>
            <w:vAlign w:val="center"/>
          </w:tcPr>
          <w:p w14:paraId="5FAB536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workflow_cli.py</w:t>
            </w:r>
          </w:p>
        </w:tc>
        <w:tc>
          <w:tcPr>
            <w:tcW w:w="5100" w:type="dxa"/>
            <w:shd w:val="clear" w:color="auto" w:fill="EAF1F3"/>
            <w:vAlign w:val="center"/>
          </w:tcPr>
          <w:p w14:paraId="5C96059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10_generic_target_workflow/runtime/workflow_cli.py</w:t>
            </w:r>
          </w:p>
        </w:tc>
      </w:tr>
      <w:tr w14:paraId="609EB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vAlign w:val="center"/>
          </w:tcPr>
          <w:p w14:paraId="50BFB60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executors.py</w:t>
            </w:r>
          </w:p>
        </w:tc>
        <w:tc>
          <w:tcPr>
            <w:tcW w:w="5100" w:type="dxa"/>
            <w:vAlign w:val="center"/>
          </w:tcPr>
          <w:p w14:paraId="5285631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10_generic_target_workflow/runtime/executors.py</w:t>
            </w:r>
          </w:p>
        </w:tc>
      </w:tr>
      <w:tr w14:paraId="04D6A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EAF1F3"/>
            <w:vAlign w:val="center"/>
          </w:tcPr>
          <w:p w14:paraId="7CA1967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本报告生成脚本</w:t>
            </w:r>
          </w:p>
        </w:tc>
        <w:tc>
          <w:tcPr>
            <w:tcW w:w="5100" w:type="dxa"/>
            <w:shd w:val="clear" w:color="auto" w:fill="EAF1F3"/>
            <w:vAlign w:val="center"/>
          </w:tcPr>
          <w:p w14:paraId="24C3735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08_runtime/generate_10h2da_system_reports.py</w:t>
            </w:r>
          </w:p>
        </w:tc>
      </w:tr>
    </w:tbl>
    <w:p w14:paraId="0C2D0583">
      <w:pPr>
        <w:spacing w:after="0"/>
      </w:pPr>
    </w:p>
    <w:p w14:paraId="61F68064">
      <w:pPr>
        <w:pStyle w:val="3"/>
      </w:pPr>
      <w:r>
        <w:t>9. 结论与限制</w:t>
      </w:r>
    </w:p>
    <w:p w14:paraId="31678700">
      <w:r>
        <w:t>yeast-GEM 的两条路线目标通量均为 0.243015，禁氧结果为 0；它提供保守基线，但终端两步仍是候选扩展。</w:t>
      </w:r>
    </w:p>
    <w:p w14:paraId="175E2869">
      <w:r>
        <w:t>两路线 FBA 通量相同只说明当前计量约束下可行，不支持按通量宣称 enzyme specificity。游离酸路线因 CYP52 家族底物语境更接近而优先；CoA-bound omega hydroxylation 风险更高。所有终端候选 exact evidence count=0；没有序列输入，没有动力学 ready 结果，也没有实验验证。</w:t>
      </w:r>
    </w:p>
    <w:p w14:paraId="2984CBB7">
      <w:pPr>
        <w:pStyle w:val="3"/>
      </w:pPr>
      <w:r>
        <w:t>10. 输入与追溯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"/>
        <w:gridCol w:w="4545"/>
        <w:gridCol w:w="4920"/>
      </w:tblGrid>
      <w:tr w14:paraId="15B3B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00" w:type="dxa"/>
            <w:shd w:val="clear" w:color="auto" w:fill="1F5A6A"/>
            <w:vAlign w:val="center"/>
          </w:tcPr>
          <w:p w14:paraId="0F5A4A6B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输入</w:t>
            </w:r>
          </w:p>
        </w:tc>
        <w:tc>
          <w:tcPr>
            <w:tcW w:w="3400" w:type="dxa"/>
            <w:shd w:val="clear" w:color="auto" w:fill="1F5A6A"/>
            <w:vAlign w:val="center"/>
          </w:tcPr>
          <w:p w14:paraId="55A2F3B4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相对路径</w:t>
            </w:r>
          </w:p>
        </w:tc>
        <w:tc>
          <w:tcPr>
            <w:tcW w:w="3400" w:type="dxa"/>
            <w:shd w:val="clear" w:color="auto" w:fill="1F5A6A"/>
            <w:vAlign w:val="center"/>
          </w:tcPr>
          <w:p w14:paraId="0011B5EA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SHA256</w:t>
            </w:r>
          </w:p>
        </w:tc>
      </w:tr>
      <w:tr w14:paraId="59B51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789AB7E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config</w:t>
            </w:r>
          </w:p>
        </w:tc>
        <w:tc>
          <w:tcPr>
            <w:tcW w:w="3400" w:type="dxa"/>
            <w:vAlign w:val="center"/>
          </w:tcPr>
          <w:p w14:paraId="68337B7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runs/10h2da-three-system-20260717/configs/yeast_gem.json</w:t>
            </w:r>
          </w:p>
        </w:tc>
        <w:tc>
          <w:tcPr>
            <w:tcW w:w="3400" w:type="dxa"/>
            <w:vAlign w:val="center"/>
          </w:tcPr>
          <w:p w14:paraId="5500F2E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35a937ce462026a80ac86bfd00b72681ed62b0e5e42ffca875880278d5040de9</w:t>
            </w:r>
          </w:p>
        </w:tc>
      </w:tr>
      <w:tr w14:paraId="24906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EAF1F3"/>
            <w:vAlign w:val="center"/>
          </w:tcPr>
          <w:p w14:paraId="5E216B7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fba</w:t>
            </w:r>
          </w:p>
        </w:tc>
        <w:tc>
          <w:tcPr>
            <w:tcW w:w="3400" w:type="dxa"/>
            <w:shd w:val="clear" w:color="auto" w:fill="EAF1F3"/>
            <w:vAlign w:val="center"/>
          </w:tcPr>
          <w:p w14:paraId="0ED2F01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runs/10h2da-three-system-20260717/runs/10h2da-yeast_gem/artifacts/model_feasibility/fba_results.json</w:t>
            </w:r>
          </w:p>
        </w:tc>
        <w:tc>
          <w:tcPr>
            <w:tcW w:w="3400" w:type="dxa"/>
            <w:shd w:val="clear" w:color="auto" w:fill="EAF1F3"/>
            <w:vAlign w:val="center"/>
          </w:tcPr>
          <w:p w14:paraId="1E79844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219fa04fd981020f227ad8a502f2d9a486360dffcbd338dd2c056d1f63979d5c</w:t>
            </w:r>
          </w:p>
        </w:tc>
      </w:tr>
      <w:tr w14:paraId="65456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21DCB2C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evidence</w:t>
            </w:r>
          </w:p>
        </w:tc>
        <w:tc>
          <w:tcPr>
            <w:tcW w:w="3400" w:type="dxa"/>
            <w:vAlign w:val="center"/>
          </w:tcPr>
          <w:p w14:paraId="57D1903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runs/10h2da-three-system-20260717/runs/10h2da-yeast_gem/artifacts/external_evidence/external_evidence.json</w:t>
            </w:r>
          </w:p>
        </w:tc>
        <w:tc>
          <w:tcPr>
            <w:tcW w:w="3400" w:type="dxa"/>
            <w:vAlign w:val="center"/>
          </w:tcPr>
          <w:p w14:paraId="5618562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6b7e5afde4c833ffa73c2fb55790ecb45a2bbd127f8ef59a12b093d4b4a2c143</w:t>
            </w:r>
          </w:p>
        </w:tc>
      </w:tr>
      <w:tr w14:paraId="19EA7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EAF1F3"/>
            <w:vAlign w:val="center"/>
          </w:tcPr>
          <w:p w14:paraId="39F7500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kinetic</w:t>
            </w:r>
          </w:p>
        </w:tc>
        <w:tc>
          <w:tcPr>
            <w:tcW w:w="3400" w:type="dxa"/>
            <w:shd w:val="clear" w:color="auto" w:fill="EAF1F3"/>
            <w:vAlign w:val="center"/>
          </w:tcPr>
          <w:p w14:paraId="1E25A94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runs/10h2da-three-system-20260717/runs/10h2da-yeast_gem/artifacts/kinetic_prediction/kinetic_predictions.json</w:t>
            </w:r>
          </w:p>
        </w:tc>
        <w:tc>
          <w:tcPr>
            <w:tcW w:w="3400" w:type="dxa"/>
            <w:shd w:val="clear" w:color="auto" w:fill="EAF1F3"/>
            <w:vAlign w:val="center"/>
          </w:tcPr>
          <w:p w14:paraId="10E7699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6b6dd57bcf31f5a1fa080cb354cf67d815c3d7dfe17e6af56d300dd820eb642b</w:t>
            </w:r>
          </w:p>
        </w:tc>
      </w:tr>
      <w:tr w14:paraId="06AC9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54AD122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engineering</w:t>
            </w:r>
          </w:p>
        </w:tc>
        <w:tc>
          <w:tcPr>
            <w:tcW w:w="3400" w:type="dxa"/>
            <w:vAlign w:val="center"/>
          </w:tcPr>
          <w:p w14:paraId="1E6F3F2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runs/10h2da-three-system-20260717/runs/10h2da-yeast_gem/artifacts/engineering_feasibility/engineering_feasibility.json</w:t>
            </w:r>
          </w:p>
        </w:tc>
        <w:tc>
          <w:tcPr>
            <w:tcW w:w="3400" w:type="dxa"/>
            <w:vAlign w:val="center"/>
          </w:tcPr>
          <w:p w14:paraId="4F7E79F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9c3d993f8ca82cc494fee11e3c52e7d718414881e112735e4f3b494d56df162c</w:t>
            </w:r>
          </w:p>
        </w:tc>
      </w:tr>
      <w:tr w14:paraId="50B1F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EAF1F3"/>
            <w:vAlign w:val="center"/>
          </w:tcPr>
          <w:p w14:paraId="2AABABE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construct</w:t>
            </w:r>
          </w:p>
        </w:tc>
        <w:tc>
          <w:tcPr>
            <w:tcW w:w="3400" w:type="dxa"/>
            <w:shd w:val="clear" w:color="auto" w:fill="EAF1F3"/>
            <w:vAlign w:val="center"/>
          </w:tcPr>
          <w:p w14:paraId="1611CB3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runs/10h2da-three-system-20260717/runs/10h2da-yeast_gem/artifacts/construct_design/construct_designs.json</w:t>
            </w:r>
          </w:p>
        </w:tc>
        <w:tc>
          <w:tcPr>
            <w:tcW w:w="3400" w:type="dxa"/>
            <w:shd w:val="clear" w:color="auto" w:fill="EAF1F3"/>
            <w:vAlign w:val="center"/>
          </w:tcPr>
          <w:p w14:paraId="4580605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bbb3a03e266ae7341a9cd2826344470cd64f2b418688e6fc51f231747819bab0</w:t>
            </w:r>
          </w:p>
        </w:tc>
      </w:tr>
      <w:tr w14:paraId="05EBD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029C105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model</w:t>
            </w:r>
          </w:p>
        </w:tc>
        <w:tc>
          <w:tcPr>
            <w:tcW w:w="3400" w:type="dxa"/>
            <w:vAlign w:val="center"/>
          </w:tcPr>
          <w:p w14:paraId="62816E1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C:\biological\Metabolic model prediction\Yeast-MetaTwin\Data\model\yeast-GEM.yml</w:t>
            </w:r>
          </w:p>
        </w:tc>
        <w:tc>
          <w:tcPr>
            <w:tcW w:w="3400" w:type="dxa"/>
            <w:vAlign w:val="center"/>
          </w:tcPr>
          <w:p w14:paraId="5259304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f56e23ef0dbca10795ab4f3f9643396af970e0cc43b45a39f2fe66290eb601eb</w:t>
            </w:r>
          </w:p>
        </w:tc>
      </w:tr>
    </w:tbl>
    <w:p w14:paraId="38A65B50">
      <w:pPr>
        <w:spacing w:after="0"/>
      </w:pPr>
    </w:p>
    <w:sectPr>
      <w:pgSz w:w="12240" w:h="15840"/>
      <w:pgMar w:top="1020" w:right="1020" w:bottom="964" w:left="1020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5BB46">
    <w:pPr>
      <w:pStyle w:val="24"/>
      <w:jc w:val="center"/>
    </w:pPr>
    <w:r>
      <w:rPr>
        <w:rFonts w:ascii="微软雅黑" w:hAnsi="微软雅黑" w:eastAsia="微软雅黑"/>
        <w:color w:val="55717A"/>
        <w:sz w:val="16"/>
      </w:rPr>
      <w:t xml:space="preserve">来源 run: 10h2da-three-system-20260717   |  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微软雅黑" w:hAnsi="微软雅黑" w:eastAsia="微软雅黑"/>
        <w:color w:val="55717A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F4F219">
    <w:pPr>
      <w:pStyle w:val="25"/>
      <w:jc w:val="right"/>
    </w:pPr>
    <w:r>
      <w:rPr>
        <w:rFonts w:ascii="微软雅黑" w:hAnsi="微软雅黑" w:eastAsia="微软雅黑"/>
        <w:color w:val="55717A"/>
        <w:sz w:val="16"/>
      </w:rPr>
      <w:t>10H2DA | yeast-GEM | 可追溯计算报告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67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微软雅黑" w:hAnsi="微软雅黑" w:eastAsia="微软雅黑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23B46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B54B2A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23B46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497</Words>
  <Characters>1241</Characters>
  <Lines>0</Lines>
  <Paragraphs>0</Paragraphs>
  <TotalTime>1</TotalTime>
  <ScaleCrop>false</ScaleCrop>
  <LinksUpToDate>false</LinksUpToDate>
  <CharactersWithSpaces>1325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青元三平</cp:lastModifiedBy>
  <dcterms:modified xsi:type="dcterms:W3CDTF">2026-07-17T14:45:56Z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eyJoZGlkIjoiMjEzOThkZjUzZTVkYzM5NTYyZjBiMGM3ZDVjMjZkM2IiLCJ1c2VySWQiOiIxMzQ0ODE5MjY2In0=</vt:lpwstr>
  </property>
  <property fmtid="{D5CDD505-2E9C-101B-9397-08002B2CF9AE}" pid="3" name="KSOProductBuildVer">
    <vt:lpwstr>2052-12.1.0.26895</vt:lpwstr>
  </property>
  <property fmtid="{D5CDD505-2E9C-101B-9397-08002B2CF9AE}" pid="4" name="ICV">
    <vt:lpwstr>974260EDAF22401694E3F656964DD4A2_12</vt:lpwstr>
  </property>
</Properties>
</file>