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pPr>
    </w:p>
    <w:p>
      <w:pPr>
        <w:spacing w:line="240" w:lineRule="auto" w:before="0" w:after="0"/>
      </w:pPr>
    </w:p>
    <w:p>
      <w:pPr>
        <w:spacing w:line="240" w:lineRule="auto" w:before="0" w:after="0"/>
      </w:pPr>
    </w:p>
    <w:p>
      <w:pPr>
        <w:spacing w:line="360" w:lineRule="auto" w:before="0" w:after="0"/>
        <w:jc w:val="center"/>
      </w:pPr>
      <w:r>
        <w:rPr>
          <w:rFonts w:ascii="Times New Roman" w:hAnsi="Times New Roman" w:eastAsia="黑体"/>
          <w:b/>
          <w:i w:val="0"/>
          <w:sz w:val="44"/>
        </w:rPr>
        <w:t>本 科 毕 业 设 计（论 文）</w:t>
      </w:r>
    </w:p>
    <w:p>
      <w:pPr>
        <w:spacing w:line="240" w:lineRule="auto" w:before="0" w:after="0"/>
      </w:pPr>
    </w:p>
    <w:p>
      <w:pPr>
        <w:spacing w:line="360" w:lineRule="auto" w:before="0" w:after="0"/>
        <w:jc w:val="center"/>
      </w:pPr>
      <w:r>
        <w:rPr>
          <w:rFonts w:ascii="Times New Roman" w:hAnsi="Times New Roman" w:eastAsia="宋体"/>
          <w:b w:val="0"/>
          <w:i w:val="0"/>
          <w:sz w:val="28"/>
        </w:rPr>
        <w:t>题  目</w:t>
      </w:r>
    </w:p>
    <w:p>
      <w:pPr>
        <w:spacing w:line="360" w:lineRule="auto" w:before="0" w:after="0"/>
        <w:jc w:val="center"/>
      </w:pPr>
      <w:r>
        <w:rPr>
          <w:rFonts w:ascii="Times New Roman" w:hAnsi="Times New Roman" w:eastAsia="黑体"/>
          <w:b/>
          <w:i w:val="0"/>
          <w:sz w:val="36"/>
        </w:rPr>
        <w:t>基于图神经网络的靶向分子生成与优化设计平台的设计与实现</w:t>
      </w:r>
    </w:p>
    <w:p>
      <w:pPr>
        <w:spacing w:line="240" w:lineRule="auto" w:before="0" w:after="0"/>
      </w:pPr>
    </w:p>
    <w:p>
      <w:pPr>
        <w:spacing w:line="240" w:lineRule="auto" w:before="0" w:after="0"/>
      </w:pPr>
    </w:p>
    <w:p>
      <w:pPr>
        <w:spacing w:line="240" w:lineRule="auto" w:before="0" w:after="0"/>
      </w:pPr>
    </w:p>
    <w:p>
      <w:pPr>
        <w:spacing w:line="240" w:lineRule="auto" w:before="0" w:after="0"/>
      </w:pPr>
    </w:p>
    <w:p>
      <w:pPr>
        <w:spacing w:line="480" w:lineRule="auto" w:before="0" w:after="0"/>
        <w:jc w:val="center"/>
      </w:pPr>
      <w:r>
        <w:rPr>
          <w:rFonts w:ascii="Times New Roman" w:hAnsi="Times New Roman" w:eastAsia="宋体"/>
          <w:b w:val="0"/>
          <w:i w:val="0"/>
          <w:sz w:val="28"/>
        </w:rPr>
        <w:t>学生姓名  【请填写姓名】</w:t>
      </w:r>
      <w:r>
        <w:rPr>
          <w:rFonts w:ascii="Times New Roman" w:hAnsi="Times New Roman" w:eastAsia="宋体"/>
          <w:b w:val="0"/>
          <w:i w:val="0"/>
          <w:sz w:val="28"/>
        </w:rPr>
        <w:t xml:space="preserve">    学    号  【请填写学号】</w:t>
      </w:r>
    </w:p>
    <w:p>
      <w:pPr>
        <w:spacing w:line="480" w:lineRule="auto" w:before="0" w:after="0"/>
        <w:jc w:val="center"/>
      </w:pPr>
      <w:r>
        <w:rPr>
          <w:rFonts w:ascii="Times New Roman" w:hAnsi="Times New Roman" w:eastAsia="宋体"/>
          <w:b w:val="0"/>
          <w:i w:val="0"/>
          <w:sz w:val="28"/>
        </w:rPr>
        <w:t>教学院系  【请填写学院名称】</w:t>
      </w:r>
    </w:p>
    <w:p>
      <w:pPr>
        <w:spacing w:line="480" w:lineRule="auto" w:before="0" w:after="0"/>
        <w:jc w:val="center"/>
      </w:pPr>
      <w:r>
        <w:rPr>
          <w:rFonts w:ascii="Times New Roman" w:hAnsi="Times New Roman" w:eastAsia="宋体"/>
          <w:b w:val="0"/>
          <w:i w:val="0"/>
          <w:sz w:val="28"/>
        </w:rPr>
        <w:t>专业年级  【请填写专业年级】</w:t>
      </w:r>
    </w:p>
    <w:p>
      <w:pPr>
        <w:spacing w:line="480" w:lineRule="auto" w:before="0" w:after="0"/>
        <w:jc w:val="center"/>
      </w:pPr>
      <w:r>
        <w:rPr>
          <w:rFonts w:ascii="Times New Roman" w:hAnsi="Times New Roman" w:eastAsia="宋体"/>
          <w:b w:val="0"/>
          <w:i w:val="0"/>
          <w:sz w:val="28"/>
        </w:rPr>
        <w:t>指导教师  【请填写指导教师】</w:t>
      </w:r>
      <w:r>
        <w:rPr>
          <w:rFonts w:ascii="Times New Roman" w:hAnsi="Times New Roman" w:eastAsia="宋体"/>
          <w:b w:val="0"/>
          <w:i w:val="0"/>
          <w:sz w:val="28"/>
        </w:rPr>
        <w:t xml:space="preserve">    职    称  【请填写职称】</w:t>
      </w:r>
    </w:p>
    <w:p>
      <w:pPr>
        <w:spacing w:line="480" w:lineRule="auto" w:before="0" w:after="0"/>
        <w:jc w:val="center"/>
      </w:pPr>
      <w:r>
        <w:rPr>
          <w:rFonts w:ascii="Times New Roman" w:hAnsi="Times New Roman" w:eastAsia="宋体"/>
          <w:b w:val="0"/>
          <w:i w:val="0"/>
          <w:sz w:val="28"/>
        </w:rPr>
        <w:t>单    位  西南石油大学</w:t>
      </w:r>
    </w:p>
    <w:p>
      <w:pPr>
        <w:spacing w:line="240" w:lineRule="auto" w:before="0" w:after="0"/>
      </w:pPr>
    </w:p>
    <w:p>
      <w:pPr>
        <w:spacing w:line="240" w:lineRule="auto" w:before="0" w:after="0"/>
      </w:pPr>
    </w:p>
    <w:p>
      <w:pPr>
        <w:spacing w:line="360" w:lineRule="auto" w:before="0" w:after="0"/>
        <w:jc w:val="center"/>
      </w:pPr>
      <w:r>
        <w:rPr>
          <w:rFonts w:ascii="Times New Roman" w:hAnsi="Times New Roman" w:eastAsia="宋体"/>
          <w:b w:val="0"/>
          <w:i w:val="0"/>
          <w:sz w:val="28"/>
        </w:rPr>
        <w:t>完成日期  2025 年 06 月</w:t>
      </w:r>
    </w:p>
    <w:p>
      <w:pPr>
        <w:spacing w:line="240" w:lineRule="auto" w:before="0" w:after="0"/>
      </w:pPr>
    </w:p>
    <w:p>
      <w:pPr>
        <w:spacing w:line="360" w:lineRule="auto" w:before="0" w:after="0"/>
        <w:jc w:val="center"/>
      </w:pPr>
      <w:r>
        <w:rPr>
          <w:rFonts w:ascii="Times New Roman" w:hAnsi="Times New Roman" w:eastAsia="宋体"/>
          <w:b w:val="0"/>
          <w:i w:val="0"/>
          <w:sz w:val="28"/>
        </w:rPr>
        <w:t>二〇二五年六月</w:t>
      </w:r>
    </w:p>
    <w:p>
      <w:r>
        <w:br w:type="page"/>
      </w:r>
    </w:p>
    <w:p>
      <w:pPr>
        <w:spacing w:line="240" w:lineRule="auto" w:before="0" w:after="0"/>
      </w:pPr>
    </w:p>
    <w:p>
      <w:pPr>
        <w:spacing w:line="240" w:lineRule="auto" w:before="0" w:after="0"/>
      </w:pPr>
    </w:p>
    <w:p>
      <w:pPr>
        <w:spacing w:line="360" w:lineRule="auto" w:before="0" w:after="0"/>
        <w:jc w:val="center"/>
      </w:pPr>
      <w:r>
        <w:rPr>
          <w:rFonts w:ascii="Times New Roman" w:hAnsi="Times New Roman" w:eastAsia="宋体"/>
          <w:b/>
          <w:i w:val="0"/>
          <w:sz w:val="32"/>
        </w:rPr>
        <w:t>Southwest Petroleum University</w:t>
      </w:r>
    </w:p>
    <w:p>
      <w:pPr>
        <w:spacing w:line="360" w:lineRule="auto" w:before="0" w:after="0"/>
        <w:jc w:val="center"/>
      </w:pPr>
      <w:r>
        <w:rPr>
          <w:rFonts w:ascii="Times New Roman" w:hAnsi="Times New Roman" w:eastAsia="宋体"/>
          <w:b/>
          <w:i w:val="0"/>
          <w:sz w:val="36"/>
        </w:rPr>
        <w:t>Graduation Thesis</w:t>
      </w:r>
    </w:p>
    <w:p>
      <w:pPr>
        <w:spacing w:line="240" w:lineRule="auto" w:before="0" w:after="0"/>
      </w:pPr>
    </w:p>
    <w:p>
      <w:pPr>
        <w:spacing w:line="240" w:lineRule="auto" w:before="0" w:after="0"/>
      </w:pPr>
    </w:p>
    <w:p>
      <w:pPr>
        <w:spacing w:line="360" w:lineRule="auto" w:before="0" w:after="0"/>
        <w:jc w:val="center"/>
      </w:pPr>
      <w:r>
        <w:rPr>
          <w:rFonts w:ascii="Times New Roman" w:hAnsi="Times New Roman" w:eastAsia="宋体"/>
          <w:b/>
          <w:i w:val="0"/>
          <w:sz w:val="32"/>
        </w:rPr>
        <w:t>Design and Implementation of a Targeted Molecular Generation and Optimization Platform Based on Graph Neural Networks</w:t>
      </w:r>
    </w:p>
    <w:p>
      <w:pPr>
        <w:spacing w:line="240" w:lineRule="auto" w:before="0" w:after="0"/>
      </w:pPr>
    </w:p>
    <w:p>
      <w:pPr>
        <w:spacing w:line="240" w:lineRule="auto" w:before="0" w:after="0"/>
      </w:pPr>
    </w:p>
    <w:p>
      <w:pPr>
        <w:spacing w:line="240" w:lineRule="auto" w:before="0" w:after="0"/>
      </w:pPr>
    </w:p>
    <w:p>
      <w:pPr>
        <w:spacing w:line="240" w:lineRule="auto" w:before="0" w:after="0"/>
      </w:pPr>
    </w:p>
    <w:p>
      <w:pPr>
        <w:spacing w:line="480" w:lineRule="auto" w:before="0" w:after="0"/>
        <w:jc w:val="center"/>
      </w:pPr>
      <w:r>
        <w:rPr>
          <w:rFonts w:ascii="Times New Roman" w:hAnsi="Times New Roman" w:eastAsia="宋体"/>
          <w:b w:val="0"/>
          <w:i w:val="0"/>
          <w:sz w:val="28"/>
        </w:rPr>
        <w:t>Grade: 【Please fill in】</w:t>
      </w:r>
    </w:p>
    <w:p>
      <w:pPr>
        <w:spacing w:line="480" w:lineRule="auto" w:before="0" w:after="0"/>
        <w:jc w:val="center"/>
      </w:pPr>
      <w:r>
        <w:rPr>
          <w:rFonts w:ascii="Times New Roman" w:hAnsi="Times New Roman" w:eastAsia="宋体"/>
          <w:b w:val="0"/>
          <w:i w:val="0"/>
          <w:sz w:val="28"/>
        </w:rPr>
        <w:t>Name: 【Please fill in】</w:t>
      </w:r>
    </w:p>
    <w:p>
      <w:pPr>
        <w:spacing w:line="480" w:lineRule="auto" w:before="0" w:after="0"/>
        <w:jc w:val="center"/>
      </w:pPr>
      <w:r>
        <w:rPr>
          <w:rFonts w:ascii="Times New Roman" w:hAnsi="Times New Roman" w:eastAsia="宋体"/>
          <w:b w:val="0"/>
          <w:i w:val="0"/>
          <w:sz w:val="28"/>
        </w:rPr>
        <w:t>Speciality: Software Engineering</w:t>
      </w:r>
    </w:p>
    <w:p>
      <w:pPr>
        <w:spacing w:line="480" w:lineRule="auto" w:before="0" w:after="0"/>
        <w:jc w:val="center"/>
      </w:pPr>
      <w:r>
        <w:rPr>
          <w:rFonts w:ascii="Times New Roman" w:hAnsi="Times New Roman" w:eastAsia="宋体"/>
          <w:b w:val="0"/>
          <w:i w:val="0"/>
          <w:sz w:val="28"/>
        </w:rPr>
        <w:t>Instructor: 【Please fill in】</w:t>
      </w:r>
    </w:p>
    <w:p>
      <w:pPr>
        <w:spacing w:line="480" w:lineRule="auto" w:before="0" w:after="0"/>
        <w:jc w:val="center"/>
      </w:pPr>
      <w:r>
        <w:rPr>
          <w:rFonts w:ascii="Times New Roman" w:hAnsi="Times New Roman" w:eastAsia="宋体"/>
          <w:b w:val="0"/>
          <w:i w:val="0"/>
          <w:sz w:val="28"/>
        </w:rPr>
        <w:t>School of Computer Science and Software Engineering</w:t>
      </w:r>
    </w:p>
    <w:p>
      <w:pPr>
        <w:spacing w:line="240" w:lineRule="auto" w:before="0" w:after="0"/>
      </w:pPr>
    </w:p>
    <w:p>
      <w:pPr>
        <w:spacing w:line="240" w:lineRule="auto" w:before="0" w:after="0"/>
      </w:pPr>
    </w:p>
    <w:p>
      <w:pPr>
        <w:spacing w:line="360" w:lineRule="auto" w:before="0" w:after="0"/>
        <w:jc w:val="center"/>
      </w:pPr>
      <w:r>
        <w:rPr>
          <w:rFonts w:ascii="Times New Roman" w:hAnsi="Times New Roman" w:eastAsia="宋体"/>
          <w:b w:val="0"/>
          <w:i w:val="0"/>
          <w:sz w:val="28"/>
        </w:rPr>
        <w:t>2025-06</w:t>
      </w:r>
    </w:p>
    <w:p>
      <w:r>
        <w:br w:type="page"/>
      </w:r>
    </w:p>
    <w:p>
      <w:pPr>
        <w:spacing w:line="360" w:lineRule="auto" w:before="240" w:after="240"/>
        <w:jc w:val="center"/>
      </w:pPr>
      <w:r>
        <w:rPr>
          <w:rFonts w:ascii="Times New Roman" w:hAnsi="Times New Roman" w:eastAsia="黑体"/>
          <w:b/>
          <w:i w:val="0"/>
          <w:sz w:val="32"/>
        </w:rPr>
        <w:t>摘  要</w:t>
      </w:r>
    </w:p>
    <w:p>
      <w:pPr>
        <w:spacing w:line="360" w:lineRule="auto" w:before="0" w:after="0"/>
        <w:ind w:firstLine="420"/>
      </w:pPr>
      <w:r>
        <w:rPr>
          <w:rFonts w:ascii="Times New Roman" w:hAnsi="Times New Roman" w:eastAsia="宋体"/>
          <w:b w:val="0"/>
          <w:i w:val="0"/>
          <w:sz w:val="24"/>
        </w:rPr>
        <w:t>药物研发是一项耗时长、成本高、风险大的系统工程，传统的药物发现流程从靶点确认到候选药物筛选往往需要数年时间和数十亿美元的投入。近年来，随着人工智能技术的飞速发展，深度学习在分子生成与优化领域展现出了巨大的应用潜力，为加速药物先导化合物的发现与设计提供了全新的范式。然而，现有的分子生成方法大多基于序列化的分子表示（如 SMILES 字符串），未能充分利用分子的图结构信息，且在生成分子的化学有效性、类药性及可合成性方面仍存在不足。</w:t>
      </w:r>
    </w:p>
    <w:p>
      <w:pPr>
        <w:spacing w:line="360" w:lineRule="auto" w:before="0" w:after="0"/>
        <w:ind w:firstLine="420"/>
      </w:pPr>
      <w:r>
        <w:rPr>
          <w:rFonts w:ascii="Times New Roman" w:hAnsi="Times New Roman" w:eastAsia="宋体"/>
          <w:b w:val="0"/>
          <w:i w:val="0"/>
          <w:sz w:val="24"/>
        </w:rPr>
        <w:t>针对上述问题，本文设计并实现了一个基于图神经网络的靶向分子生成与优化设计平台。该平台以图变分自编码器（Graph VAE）为核心生成模型，采用图卷积网络（GCN）作为编码器，将分子图直接编码为低维连续潜在空间中的向量表示，并通过多层感知机（MLP）解码器从潜在向量重构分子的原子类型和化学键信息。模型在训练过程中引入属性预测器，使潜在空间编码了丰富的分子性质信息，从而支持性质导向的分子生成。</w:t>
      </w:r>
    </w:p>
    <w:p>
      <w:pPr>
        <w:spacing w:line="360" w:lineRule="auto" w:before="0" w:after="0"/>
        <w:ind w:firstLine="420"/>
      </w:pPr>
      <w:r>
        <w:rPr>
          <w:rFonts w:ascii="Times New Roman" w:hAnsi="Times New Roman" w:eastAsia="宋体"/>
          <w:b w:val="0"/>
          <w:i w:val="0"/>
          <w:sz w:val="24"/>
        </w:rPr>
        <w:t>本平台提供三大核心功能：第一，模型训练功能，支持用户上传 SMILES 格式的分子数据集，自定义训练超参数，通过异步训练与实时状态监控完成模型训练；第二，性质导向分子生成功能，在潜在空间中进行引导采样，结合属性预测器筛选高潜力的潜在向量，经解码、RDKit 化学校验、多维约束筛选及 Tanimoto 相似度去重后，输出满足类药性要求的候选分子；第三，骨架跃迁与优化功能，将苗头化合物（Hit）编码至潜在空间后进行多尺度微扰，结合规则侧链替换策略生成保留核心骨架的衍生物，并按目标性质排序展示。</w:t>
      </w:r>
    </w:p>
    <w:p>
      <w:pPr>
        <w:spacing w:line="360" w:lineRule="auto" w:before="0" w:after="0"/>
        <w:ind w:firstLine="420"/>
      </w:pPr>
      <w:r>
        <w:rPr>
          <w:rFonts w:ascii="Times New Roman" w:hAnsi="Times New Roman" w:eastAsia="宋体"/>
          <w:b w:val="0"/>
          <w:i w:val="0"/>
          <w:sz w:val="24"/>
        </w:rPr>
        <w:t>系统采用 B/S 架构，后端基于 Flask 框架构建 RESTful API，深度学习模块使用 PyTorch 与 PyTorch Geometric 实现，化学信息学处理依赖 RDKit 工具库，前端采用 Bootstrap 5 框架构建响应式交互界面。实验结果表明，本平台能够有效生成化学有效且满足多维类药性约束的分子结构，骨架优化功能可在保持核心骨架一致的前提下生成多样化的衍生物，为药物先导化合物的智能设计提供了一种可行的工具化解决方案。</w:t>
      </w:r>
    </w:p>
    <w:p>
      <w:pPr>
        <w:spacing w:line="240" w:lineRule="auto" w:before="0" w:after="0"/>
      </w:pPr>
    </w:p>
    <w:p>
      <w:pPr>
        <w:spacing w:line="360" w:lineRule="auto" w:before="0" w:after="0"/>
      </w:pPr>
      <w:r>
        <w:rPr>
          <w:rFonts w:ascii="Times New Roman" w:hAnsi="Times New Roman" w:eastAsia="黑体"/>
          <w:b/>
          <w:i w:val="0"/>
          <w:sz w:val="24"/>
        </w:rPr>
        <w:t>关键词：</w:t>
      </w:r>
      <w:r>
        <w:rPr>
          <w:rFonts w:ascii="Times New Roman" w:hAnsi="Times New Roman" w:eastAsia="宋体"/>
          <w:b w:val="0"/>
          <w:i w:val="0"/>
          <w:sz w:val="24"/>
        </w:rPr>
        <w:t>图神经网络；变分自编码器；分子生成；骨架优化；药物设计</w:t>
      </w:r>
    </w:p>
    <w:p>
      <w:r>
        <w:br w:type="page"/>
      </w:r>
    </w:p>
    <w:p>
      <w:pPr>
        <w:spacing w:line="360" w:lineRule="auto" w:before="240" w:after="240"/>
        <w:jc w:val="center"/>
      </w:pPr>
      <w:r>
        <w:rPr>
          <w:rFonts w:ascii="Times New Roman" w:hAnsi="Times New Roman" w:eastAsia="黑体"/>
          <w:b/>
          <w:i w:val="0"/>
          <w:sz w:val="32"/>
        </w:rPr>
        <w:t>Abstract</w:t>
      </w:r>
    </w:p>
    <w:p>
      <w:pPr>
        <w:spacing w:line="360" w:lineRule="auto" w:before="0" w:after="0"/>
        <w:ind w:firstLine="420"/>
      </w:pPr>
      <w:r>
        <w:rPr>
          <w:rFonts w:ascii="Times New Roman" w:hAnsi="Times New Roman" w:eastAsia="宋体"/>
          <w:b w:val="0"/>
          <w:i w:val="0"/>
          <w:sz w:val="24"/>
        </w:rPr>
        <w:t>Drug discovery is a time-consuming, costly, and high-risk systematic endeavor. The traditional drug discovery pipeline, from target identification to candidate screening, typically requires years of effort and billions of dollars in investment. In recent years, with the rapid advancement of artificial intelligence technologies, deep learning has demonstrated significant potential in molecular generation and optimization, offering a novel paradigm for accelerating the discovery and design of lead compounds. However, most existing molecular generation methods rely on serialized molecular representations such as SMILES strings and fail to fully exploit the graph-structured information inherent in molecules. Furthermore, they often fall short in terms of chemical validity, drug-likeness, and synthetic accessibility of the generated molecules.</w:t>
      </w:r>
    </w:p>
    <w:p>
      <w:pPr>
        <w:spacing w:line="360" w:lineRule="auto" w:before="0" w:after="0"/>
        <w:ind w:firstLine="420"/>
      </w:pPr>
      <w:r>
        <w:rPr>
          <w:rFonts w:ascii="Times New Roman" w:hAnsi="Times New Roman" w:eastAsia="宋体"/>
          <w:b w:val="0"/>
          <w:i w:val="0"/>
          <w:sz w:val="24"/>
        </w:rPr>
        <w:t>To address these challenges, this thesis presents the design and implementation of a targeted molecular generation and optimization platform based on graph neural networks. The platform employs a Graph Variational Autoencoder (Graph VAE) as its core generative model, utilizing Graph Convolutional Networks (GCN) as the encoder to directly encode molecular graphs into vector representations within a low-dimensional continuous latent space. A Multi-Layer Perceptron (MLP) decoder reconstructs atom types and chemical bond information from the latent vectors. A property predictor is integrated during training to encode rich molecular property information into the latent space, thereby enabling property-guided molecular generation.</w:t>
      </w:r>
    </w:p>
    <w:p>
      <w:pPr>
        <w:spacing w:line="360" w:lineRule="auto" w:before="0" w:after="0"/>
        <w:ind w:firstLine="420"/>
      </w:pPr>
      <w:r>
        <w:rPr>
          <w:rFonts w:ascii="Times New Roman" w:hAnsi="Times New Roman" w:eastAsia="宋体"/>
          <w:b w:val="0"/>
          <w:i w:val="0"/>
          <w:sz w:val="24"/>
        </w:rPr>
        <w:t>The platform provides three core functionalities: (1) Model training, which allows users to upload SMILES-format molecular datasets, customize training hyperparameters, and monitor the training process in real time through asynchronous training; (2) Property-guided molecular generation, which performs guided sampling in the latent space, selects high-potential latent vectors using the property predictor, and outputs candidate molecules that satisfy drug-likeness requirements after decoding, RDKit chemical validation, multi-dimensional constraint filtering, and Tanimoto similarity-based deduplication; (3) Scaffold hopping and optimization, which encodes hit compounds into the latent space, applies multi-scale perturbations, and combines rule-based side chain replacement strategies to generate derivatives that preserve the core scaffold while being ranked by target properties.</w:t>
      </w:r>
    </w:p>
    <w:p>
      <w:pPr>
        <w:spacing w:line="360" w:lineRule="auto" w:before="0" w:after="0"/>
        <w:ind w:firstLine="420"/>
      </w:pPr>
      <w:r>
        <w:rPr>
          <w:rFonts w:ascii="Times New Roman" w:hAnsi="Times New Roman" w:eastAsia="宋体"/>
          <w:b w:val="0"/>
          <w:i w:val="0"/>
          <w:sz w:val="24"/>
        </w:rPr>
        <w:t>The system adopts a B/S architecture, with the backend built on the Flask framework providing RESTful APIs. The deep learning modules are implemented using PyTorch and PyTorch Geometric, cheminformatics processing relies on the RDKit toolkit, and the frontend employs the Bootstrap 5 framework for a responsive interactive interface. Experimental results demonstrate that the platform can effectively generate chemically valid molecular structures satisfying multi-dimensional drug-likeness constraints. The scaffold optimization functionality generates diversified derivatives while maintaining core scaffold consistency, providing a viable tool-based solution for intelligent design of drug lead compounds.</w:t>
      </w:r>
    </w:p>
    <w:p>
      <w:pPr>
        <w:spacing w:line="240" w:lineRule="auto" w:before="0" w:after="0"/>
      </w:pPr>
    </w:p>
    <w:p>
      <w:pPr>
        <w:spacing w:line="360" w:lineRule="auto" w:before="0" w:after="0"/>
      </w:pPr>
      <w:r>
        <w:rPr>
          <w:rFonts w:ascii="Times New Roman" w:hAnsi="Times New Roman" w:eastAsia="宋体"/>
          <w:b/>
          <w:i w:val="0"/>
          <w:sz w:val="24"/>
        </w:rPr>
        <w:t xml:space="preserve">Keywords: </w:t>
      </w:r>
      <w:r>
        <w:rPr>
          <w:rFonts w:ascii="Times New Roman" w:hAnsi="Times New Roman" w:eastAsia="宋体"/>
          <w:b w:val="0"/>
          <w:i w:val="0"/>
          <w:sz w:val="24"/>
        </w:rPr>
        <w:t>Graph Neural Network; Variational Autoencoder; Molecular Generation; Scaffold Optimization; Drug Design</w:t>
      </w:r>
    </w:p>
    <w:p>
      <w:r>
        <w:br w:type="page"/>
      </w:r>
    </w:p>
    <w:p>
      <w:pPr>
        <w:spacing w:line="360" w:lineRule="auto" w:before="240" w:after="240"/>
        <w:jc w:val="center"/>
      </w:pPr>
      <w:r>
        <w:rPr>
          <w:rFonts w:ascii="Times New Roman" w:hAnsi="Times New Roman" w:eastAsia="黑体"/>
          <w:b/>
          <w:i w:val="0"/>
          <w:sz w:val="32"/>
        </w:rPr>
        <w:t>目  录</w:t>
      </w:r>
    </w:p>
    <w:p>
      <w:pPr>
        <w:spacing w:line="360" w:lineRule="auto" w:before="0" w:after="0"/>
      </w:pPr>
      <w:r>
        <w:rPr>
          <w:rFonts w:ascii="Times New Roman" w:hAnsi="Times New Roman" w:eastAsia="宋体"/>
          <w:b w:val="0"/>
          <w:i w:val="0"/>
          <w:sz w:val="24"/>
        </w:rPr>
        <w:t>【请在 Word 中生成自动目录：引用 → 目录 → 选择样式插入。如果目录无法自动识别，需先将各章节标题应用 Word 内置的「标题1」「标题2」「标题3」样式。】</w:t>
      </w:r>
    </w:p>
    <w:p>
      <w:r>
        <w:br w:type="page"/>
      </w:r>
    </w:p>
    <w:p>
      <w:pPr>
        <w:spacing w:line="360" w:lineRule="auto" w:before="240" w:after="240"/>
        <w:jc w:val="center"/>
      </w:pPr>
      <w:r>
        <w:rPr>
          <w:rFonts w:ascii="Times New Roman" w:hAnsi="Times New Roman" w:eastAsia="黑体"/>
          <w:b/>
          <w:i w:val="0"/>
          <w:sz w:val="32"/>
        </w:rPr>
        <w:t>第1章 绪论</w:t>
      </w:r>
    </w:p>
    <w:p>
      <w:pPr>
        <w:spacing w:line="360" w:lineRule="auto" w:before="120" w:after="120"/>
      </w:pPr>
      <w:r>
        <w:rPr>
          <w:rFonts w:ascii="Times New Roman" w:hAnsi="Times New Roman" w:eastAsia="黑体"/>
          <w:b/>
          <w:i w:val="0"/>
          <w:sz w:val="28"/>
        </w:rPr>
        <w:t>1.1 研究背景及意义</w:t>
      </w:r>
    </w:p>
    <w:p>
      <w:pPr>
        <w:spacing w:line="360" w:lineRule="auto" w:before="0" w:after="0"/>
        <w:ind w:firstLine="420"/>
      </w:pPr>
      <w:r>
        <w:rPr>
          <w:rFonts w:ascii="Times New Roman" w:hAnsi="Times New Roman" w:eastAsia="宋体"/>
          <w:b w:val="0"/>
          <w:i w:val="0"/>
          <w:sz w:val="24"/>
        </w:rPr>
        <w:t>药物研发是现代生物医药领域最核心的科学活动之一，其目标是发现和开发安全有效的治疗药物以应对各类疾病。根据美国塔夫茨药物开发研究中心（Tufts CSDD）的统计数据，一种新药从最初的靶点发现到最终获批上市，平均需要 10 至 15 年的时间，研发费用高达 26 亿美元。在这一漫长的过程中，先导化合物的发现与优化是药物研发的关键瓶颈环节。传统的先导化合物发现主要依赖高通量筛选（HTS）技术，即从数百万个化合物库中逐一筛选具有生物活性的候选分子。然而，已知的药物类小分子化学空间估计高达 10 的 60 次方量级，即便是最大规模的化合物库也仅覆盖了化学空间中极其微小的一部分，这严重限制了传统筛选方法发现全新化学骨架的能力。</w:t>
      </w:r>
    </w:p>
    <w:p>
      <w:pPr>
        <w:spacing w:line="360" w:lineRule="auto" w:before="0" w:after="0"/>
        <w:ind w:firstLine="420"/>
      </w:pPr>
      <w:r>
        <w:rPr>
          <w:rFonts w:ascii="Times New Roman" w:hAnsi="Times New Roman" w:eastAsia="宋体"/>
          <w:b w:val="0"/>
          <w:i w:val="0"/>
          <w:sz w:val="24"/>
        </w:rPr>
        <w:t>近年来，人工智能（AI）技术在科学研究领域的应用日益广泛，尤其是深度学习方法在图像识别、自然语言处理、蛋白质结构预测等领域取得了突破性进展。在药物发现领域，AI 驱动的分子生成与设计已成为一个新兴且快速发展的研究方向。通过构建深度生成模型，计算机能够学习已知药物分子的分布特征，进而在广阔的化学空间中自动生成具有所需性质的新分子结构。这种"从数据中学习、在空间中探索"的范式，突破了传统方法仅能在有限化合物库中搜索的局限，为药物先导化合物的发现开辟了全新的途径。</w:t>
      </w:r>
    </w:p>
    <w:p>
      <w:pPr>
        <w:spacing w:line="360" w:lineRule="auto" w:before="0" w:after="0"/>
        <w:ind w:firstLine="420"/>
      </w:pPr>
      <w:r>
        <w:rPr>
          <w:rFonts w:ascii="Times New Roman" w:hAnsi="Times New Roman" w:eastAsia="宋体"/>
          <w:b w:val="0"/>
          <w:i w:val="0"/>
          <w:sz w:val="24"/>
        </w:rPr>
        <w:t>在分子生成模型的发展历程中，早期的方法主要基于 SMILES（Simplified Molecular Input Line Entry System）字符串表示，将分子生成问题转化为序列生成问题，采用循环神经网络（RNN）或 Transformer 架构进行建模。然而，SMILES 表示存在固有的局限性：同一个分子可能对应多个不同的 SMILES 字符串，字符串中相邻的字符在分子图中可能相距甚远，且微小的字符变化可能导致完全不同甚至无效的分子结构。为克服这些缺陷，基于分子图表示的图神经网络（GNN）方法逐渐成为分子生成领域的主流研究方向。图神经网络直接在分子的图结构上进行操作，原子对应节点、化学键对应边，能够自然地捕获分子的拓扑结构和局部化学环境信息，为分子生成提供了更加本质和准确的表示基础。</w:t>
      </w:r>
    </w:p>
    <w:p>
      <w:pPr>
        <w:spacing w:line="360" w:lineRule="auto" w:before="0" w:after="0"/>
        <w:ind w:firstLine="420"/>
      </w:pPr>
      <w:r>
        <w:rPr>
          <w:rFonts w:ascii="Times New Roman" w:hAnsi="Times New Roman" w:eastAsia="宋体"/>
          <w:b w:val="0"/>
          <w:i w:val="0"/>
          <w:sz w:val="24"/>
        </w:rPr>
        <w:t>变分自编码器（VAE）是深度生成模型家族中的重要成员，其通过编码器将输入数据映射到连续的潜在空间，并通过解码器从潜在空间重构数据。VAE 的连续潜在空间天然支持插值和性质优化操作，这使得在潜在空间中进行有目的的分子设计成为可能。将 VAE 与图神经网络相结合的图变分自编码器（Graph VAE），能够直接对分子图进行编码和解码，是当前分子生成领域的前沿方法之一。</w:t>
      </w:r>
    </w:p>
    <w:p>
      <w:pPr>
        <w:spacing w:line="360" w:lineRule="auto" w:before="0" w:after="0"/>
        <w:ind w:firstLine="420"/>
      </w:pPr>
      <w:r>
        <w:rPr>
          <w:rFonts w:ascii="Times New Roman" w:hAnsi="Times New Roman" w:eastAsia="宋体"/>
          <w:b w:val="0"/>
          <w:i w:val="0"/>
          <w:sz w:val="24"/>
        </w:rPr>
        <w:t>基于上述背景，本文设计并实现了一个基于图神经网络的靶向分子生成与优化设计平台。该平台的研究意义主要体现在以下几个方面：首先，从技术层面看，系统将图变分自编码器与属性预测器深度融合，实现了端到端的性质导向分子生成，突破了传统无条件生成方法缺乏目标导向性的瓶颈；其次，从功能层面看，平台集成了模型训练、分子生成和骨架优化三大功能，形成了从数据准备到先导化合物发现的完整工作流；最后，从应用层面看，平台采用 Web 化的交互方式，降低了深度学习技术在药物发现中的使用门槛，为药物化学研究人员提供了便捷的计算辅助工具。</w:t>
      </w:r>
    </w:p>
    <w:p>
      <w:pPr>
        <w:spacing w:line="360" w:lineRule="auto" w:before="120" w:after="120"/>
      </w:pPr>
      <w:r>
        <w:rPr>
          <w:rFonts w:ascii="Times New Roman" w:hAnsi="Times New Roman" w:eastAsia="黑体"/>
          <w:b/>
          <w:i w:val="0"/>
          <w:sz w:val="28"/>
        </w:rPr>
        <w:t>1.2 研究目的</w:t>
      </w:r>
    </w:p>
    <w:p>
      <w:pPr>
        <w:spacing w:line="360" w:lineRule="auto" w:before="0" w:after="0"/>
        <w:ind w:firstLine="420"/>
      </w:pPr>
      <w:r>
        <w:rPr>
          <w:rFonts w:ascii="Times New Roman" w:hAnsi="Times New Roman" w:eastAsia="宋体"/>
          <w:b w:val="0"/>
          <w:i w:val="0"/>
          <w:sz w:val="24"/>
        </w:rPr>
        <w:t>本文的研究目的是设计并实现一个面向药物先导化合物发现的智能分子设计平台，具体目标包括以下三个方面：</w:t>
      </w:r>
    </w:p>
    <w:p>
      <w:pPr>
        <w:spacing w:line="360" w:lineRule="auto" w:before="0" w:after="0"/>
        <w:ind w:firstLine="420"/>
      </w:pPr>
      <w:r>
        <w:rPr>
          <w:rFonts w:ascii="Times New Roman" w:hAnsi="Times New Roman" w:eastAsia="宋体"/>
          <w:b w:val="0"/>
          <w:i w:val="0"/>
          <w:sz w:val="24"/>
        </w:rPr>
        <w:t>（1）构建基于图变分自编码器（Graph VAE）的分子生成模型。以图卷积网络（GCN）为编码器核心，设计端到端的分子图编码-解码框架，实现从 SMILES 分子数据集中学习分子的图结构分布，并在连续潜在空间中进行有效采样和分子重构。同时集成属性预测器，使模型的潜在空间编码丰富的分子性质信息，为后续的性质导向生成奠定基础。</w:t>
      </w:r>
    </w:p>
    <w:p>
      <w:pPr>
        <w:spacing w:line="360" w:lineRule="auto" w:before="0" w:after="0"/>
        <w:ind w:firstLine="420"/>
      </w:pPr>
      <w:r>
        <w:rPr>
          <w:rFonts w:ascii="Times New Roman" w:hAnsi="Times New Roman" w:eastAsia="宋体"/>
          <w:b w:val="0"/>
          <w:i w:val="0"/>
          <w:sz w:val="24"/>
        </w:rPr>
        <w:t>（2）实现性质导向分子生成与骨架跃迁优化的核心算法。在性质导向生成方面，设计引导采样策略，利用属性预测器在潜在空间中选择更可能满足用户约束的采样点，结合 RDKit 化学校验、多维类药性约束筛选和 Tanimoto 相似度去重，确保生成分子的有效性和多样性。在骨架优化方面，提出潜在空间微扰与规则侧链替换相结合的两阶段策略，在保持苗头化合物核心骨架的前提下生成多样化的衍生物。</w:t>
      </w:r>
    </w:p>
    <w:p>
      <w:pPr>
        <w:spacing w:line="360" w:lineRule="auto" w:before="0" w:after="0"/>
        <w:ind w:firstLine="420"/>
      </w:pPr>
      <w:r>
        <w:rPr>
          <w:rFonts w:ascii="Times New Roman" w:hAnsi="Times New Roman" w:eastAsia="宋体"/>
          <w:b w:val="0"/>
          <w:i w:val="0"/>
          <w:sz w:val="24"/>
        </w:rPr>
        <w:t>（3）构建完整的 Web 应用平台。采用 B/S 架构和 Flask 后端框架，将模型训练、分子生成、骨架优化三大功能封装为 RESTful API，前端基于 Bootstrap 5 构建响应式界面，实现直观的参数配置、实时训练监控和交互式结果展示，使不具备深度学习编程经验的研究人员也能便捷地使用本系统。</w:t>
      </w:r>
    </w:p>
    <w:p>
      <w:pPr>
        <w:spacing w:line="360" w:lineRule="auto" w:before="120" w:after="120"/>
      </w:pPr>
      <w:r>
        <w:rPr>
          <w:rFonts w:ascii="Times New Roman" w:hAnsi="Times New Roman" w:eastAsia="黑体"/>
          <w:b/>
          <w:i w:val="0"/>
          <w:sz w:val="28"/>
        </w:rPr>
        <w:t>1.3 国内外研究现状</w:t>
      </w:r>
    </w:p>
    <w:p>
      <w:pPr>
        <w:spacing w:line="360" w:lineRule="auto" w:before="60" w:after="60"/>
      </w:pPr>
      <w:r>
        <w:rPr>
          <w:rFonts w:ascii="Times New Roman" w:hAnsi="Times New Roman" w:eastAsia="黑体"/>
          <w:b/>
          <w:i w:val="0"/>
          <w:sz w:val="24"/>
        </w:rPr>
        <w:t>1.3.1 国外研究现状</w:t>
      </w:r>
    </w:p>
    <w:p>
      <w:pPr>
        <w:spacing w:line="360" w:lineRule="auto" w:before="0" w:after="0"/>
        <w:ind w:firstLine="420"/>
      </w:pPr>
      <w:r>
        <w:rPr>
          <w:rFonts w:ascii="Times New Roman" w:hAnsi="Times New Roman" w:eastAsia="宋体"/>
          <w:b w:val="0"/>
          <w:i w:val="0"/>
          <w:sz w:val="24"/>
        </w:rPr>
        <w:t>在分子生成领域，国外的研究起步较早且成果丰硕。2017 年，Gómez-Bombarelli 等人首次提出将变分自编码器（VAE）应用于分子生成，通过将 SMILES 字符串编码到连续潜在空间来实现分子的生成与优化，这一开创性工作奠定了基于 VAE 的分子生成研究基础。随后，Kusner 等人提出了语法变分自编码器（Grammar VAE），引入 SMILES 语法规则约束解码过程，显著提高了生成分子的语法有效率。Dai 等人进一步提出了语法导向变分自编码器（Syntax-Directed VAE），利用属性文法进一步规范了分子序列的生成过程。</w:t>
      </w:r>
    </w:p>
    <w:p>
      <w:pPr>
        <w:spacing w:line="360" w:lineRule="auto" w:before="0" w:after="0"/>
        <w:ind w:firstLine="420"/>
      </w:pPr>
      <w:r>
        <w:rPr>
          <w:rFonts w:ascii="Times New Roman" w:hAnsi="Times New Roman" w:eastAsia="宋体"/>
          <w:b w:val="0"/>
          <w:i w:val="0"/>
          <w:sz w:val="24"/>
        </w:rPr>
        <w:t>在图神经网络应用于分子生成方面，Simonovsky 和 Komodakis 于 2018 年提出了 GraphVAE，首次实现了直接在图空间中进行分子图的编码与解码，通过预测节点属性矩阵和邻接矩阵来生成分子。Jin 等人提出的 Junction Tree VAE（JT-VAE）是分子图生成领域的里程碑式工作，该方法将分子分解为化学子结构（如环和官能团）的树形结构，在子结构层面进行编码和解码，实现了接近 100% 的化学有效率。De Cao 和 Kipf 提出的 MolGAN 将生成对抗网络（GAN）引入分子图生成领域，采用强化学习奖励信号引导生成过程，在分子性质优化方面取得了良好效果。</w:t>
      </w:r>
    </w:p>
    <w:p>
      <w:pPr>
        <w:spacing w:line="360" w:lineRule="auto" w:before="0" w:after="0"/>
        <w:ind w:firstLine="420"/>
      </w:pPr>
      <w:r>
        <w:rPr>
          <w:rFonts w:ascii="Times New Roman" w:hAnsi="Times New Roman" w:eastAsia="宋体"/>
          <w:b w:val="0"/>
          <w:i w:val="0"/>
          <w:sz w:val="24"/>
        </w:rPr>
        <w:t>在性质导向生成方面，Lim 等人提出的分子变换器（Molecular Transformer）利用条件变分自编码器实现了属性约束下的分子生成。Griffiths 和 Hernández-Lobato 提出了约束贝叶斯优化方法，在 VAE 的潜在空间中结合高斯过程代理模型进行目标性质优化。此外，Google DeepMind、Meta AI 等科技巨头也在分子生成领域投入了大量研究资源，推动了该领域的快速发展。</w:t>
      </w:r>
    </w:p>
    <w:p>
      <w:pPr>
        <w:spacing w:line="360" w:lineRule="auto" w:before="60" w:after="60"/>
      </w:pPr>
      <w:r>
        <w:rPr>
          <w:rFonts w:ascii="Times New Roman" w:hAnsi="Times New Roman" w:eastAsia="黑体"/>
          <w:b/>
          <w:i w:val="0"/>
          <w:sz w:val="24"/>
        </w:rPr>
        <w:t>1.3.2 国内研究现状</w:t>
      </w:r>
    </w:p>
    <w:p>
      <w:pPr>
        <w:spacing w:line="360" w:lineRule="auto" w:before="0" w:after="0"/>
        <w:ind w:firstLine="420"/>
      </w:pPr>
      <w:r>
        <w:rPr>
          <w:rFonts w:ascii="Times New Roman" w:hAnsi="Times New Roman" w:eastAsia="宋体"/>
          <w:b w:val="0"/>
          <w:i w:val="0"/>
          <w:sz w:val="24"/>
        </w:rPr>
        <w:t>国内在 AI 驱动的分子生成领域的研究也取得了显著进展。中国科学院上海药物研究所的研究团队在基于深度学习的药物分子设计方面开展了系统性研究，提出了多种基于强化学习和生成模型的分子生成方法。北京大学深度学习实验室在图神经网络的理论与应用研究中处于国内领先地位，其团队在分子属性预测和分子生成方面的研究工作为该领域提供了重要的理论支撑。清华大学交叉信息研究院在 AI 药物发现的多个环节均有深入研究，包括分子表征学习、靶标-配体相互作用预测和分子生成优化等方向。</w:t>
      </w:r>
    </w:p>
    <w:p>
      <w:pPr>
        <w:spacing w:line="360" w:lineRule="auto" w:before="0" w:after="0"/>
        <w:ind w:firstLine="420"/>
      </w:pPr>
      <w:r>
        <w:rPr>
          <w:rFonts w:ascii="Times New Roman" w:hAnsi="Times New Roman" w:eastAsia="宋体"/>
          <w:b w:val="0"/>
          <w:i w:val="0"/>
          <w:sz w:val="24"/>
        </w:rPr>
        <w:t>此外，国内多家人工智能制药企业如晶泰科技、英矽智能（Insilico Medicine 中国）、深势科技等也在分子生成与优化技术的产业化应用方面取得了重要突破，推动了 AI 药物发现从学术研究到产业实践的转化。整体而言，国内在该领域的研究发展迅速，但在基于图的分子生成模型的原创性方法及大规模开放平台方面与国际前沿仍存在一定差距。本文的工作旨在构建一个功能完整、易于使用的分子生成与优化平台，为推动相关技术在国内药物研发中的应用提供参考。</w:t>
      </w:r>
    </w:p>
    <w:p>
      <w:pPr>
        <w:spacing w:line="360" w:lineRule="auto" w:before="120" w:after="120"/>
      </w:pPr>
      <w:r>
        <w:rPr>
          <w:rFonts w:ascii="Times New Roman" w:hAnsi="Times New Roman" w:eastAsia="黑体"/>
          <w:b/>
          <w:i w:val="0"/>
          <w:sz w:val="28"/>
        </w:rPr>
        <w:t>1.4 主要研究内容</w:t>
      </w:r>
    </w:p>
    <w:p>
      <w:pPr>
        <w:spacing w:line="360" w:lineRule="auto" w:before="0" w:after="0"/>
        <w:ind w:firstLine="420"/>
      </w:pPr>
      <w:r>
        <w:rPr>
          <w:rFonts w:ascii="Times New Roman" w:hAnsi="Times New Roman" w:eastAsia="宋体"/>
          <w:b w:val="0"/>
          <w:i w:val="0"/>
          <w:sz w:val="24"/>
        </w:rPr>
        <w:t>本文的主要研究内容涵盖以下几个方面：</w:t>
      </w:r>
    </w:p>
    <w:p>
      <w:pPr>
        <w:spacing w:line="360" w:lineRule="auto" w:before="0" w:after="0"/>
        <w:ind w:firstLine="420"/>
      </w:pPr>
      <w:r>
        <w:rPr>
          <w:rFonts w:ascii="Times New Roman" w:hAnsi="Times New Roman" w:eastAsia="宋体"/>
          <w:b w:val="0"/>
          <w:i w:val="0"/>
          <w:sz w:val="24"/>
        </w:rPr>
        <w:t>（1）数据预处理方法研究。设计 SMILES 到分子图数据的转换流程，包括原子类型映射、化学键信息提取、分子性质计算（QED、LogP、分子量、氢键供体/受体、可旋转键数、TPSA、SA Score 等 10 维属性），以及数据过滤与规范化策略。</w:t>
      </w:r>
    </w:p>
    <w:p>
      <w:pPr>
        <w:spacing w:line="360" w:lineRule="auto" w:before="0" w:after="0"/>
        <w:ind w:firstLine="420"/>
      </w:pPr>
      <w:r>
        <w:rPr>
          <w:rFonts w:ascii="Times New Roman" w:hAnsi="Times New Roman" w:eastAsia="宋体"/>
          <w:b w:val="0"/>
          <w:i w:val="0"/>
          <w:sz w:val="24"/>
        </w:rPr>
        <w:t>（2）图变分自编码器模型设计。构建包含编码器、解码器和属性预测器三大组件的 MoleculeVAE 模型。编码器基于图卷积网络（GCN），通过两层图卷积操作和全局平均池化将变长的分子图压缩为固定维度的潜在向量；解码器采用多层感知机（MLP）架构，分别预测原子类型和化学键类型；属性预测器从潜在向量预测分子性质，为性质导向生成提供信号。</w:t>
      </w:r>
    </w:p>
    <w:p>
      <w:pPr>
        <w:spacing w:line="360" w:lineRule="auto" w:before="0" w:after="0"/>
        <w:ind w:firstLine="420"/>
      </w:pPr>
      <w:r>
        <w:rPr>
          <w:rFonts w:ascii="Times New Roman" w:hAnsi="Times New Roman" w:eastAsia="宋体"/>
          <w:b w:val="0"/>
          <w:i w:val="0"/>
          <w:sz w:val="24"/>
        </w:rPr>
        <w:t>（3）训练策略设计。研究 VAE 训练中的 KL 散度坍缩问题，采用 KL 退火策略；引入早停机制和学习率自适应调整策略防止过拟合；设计包含原子重构损失、键重构损失、KL 散度损失和属性预测损失的多任务联合损失函数。</w:t>
      </w:r>
    </w:p>
    <w:p>
      <w:pPr>
        <w:spacing w:line="360" w:lineRule="auto" w:before="0" w:after="0"/>
        <w:ind w:firstLine="420"/>
      </w:pPr>
      <w:r>
        <w:rPr>
          <w:rFonts w:ascii="Times New Roman" w:hAnsi="Times New Roman" w:eastAsia="宋体"/>
          <w:b w:val="0"/>
          <w:i w:val="0"/>
          <w:sz w:val="24"/>
        </w:rPr>
        <w:t>（4）分子解码与评估方法研究。设计基于概率采样的解码策略，结合化学价态约束确保生成分子的化学合理性；构建包含类药性五规则、QED 评分、合成可达性评分和 ADMET 预测在内的多维分子评估体系。</w:t>
      </w:r>
    </w:p>
    <w:p>
      <w:pPr>
        <w:spacing w:line="360" w:lineRule="auto" w:before="0" w:after="0"/>
        <w:ind w:firstLine="420"/>
      </w:pPr>
      <w:r>
        <w:rPr>
          <w:rFonts w:ascii="Times New Roman" w:hAnsi="Times New Roman" w:eastAsia="宋体"/>
          <w:b w:val="0"/>
          <w:i w:val="0"/>
          <w:sz w:val="24"/>
        </w:rPr>
        <w:t>（5）Web 应用系统开发。基于 Flask 框架构建后端服务，实现模型训练、性质导向生成、骨架跃迁优化三大功能的 API 接口；前端采用 Bootstrap 5 构建用户交互界面。</w:t>
      </w:r>
    </w:p>
    <w:p>
      <w:pPr>
        <w:spacing w:line="360" w:lineRule="auto" w:before="120" w:after="120"/>
      </w:pPr>
      <w:r>
        <w:rPr>
          <w:rFonts w:ascii="Times New Roman" w:hAnsi="Times New Roman" w:eastAsia="黑体"/>
          <w:b/>
          <w:i w:val="0"/>
          <w:sz w:val="28"/>
        </w:rPr>
        <w:t>1.5 论文的主要工作及结构</w:t>
      </w:r>
    </w:p>
    <w:p>
      <w:pPr>
        <w:spacing w:line="360" w:lineRule="auto" w:before="0" w:after="0"/>
        <w:ind w:firstLine="420"/>
      </w:pPr>
      <w:r>
        <w:rPr>
          <w:rFonts w:ascii="Times New Roman" w:hAnsi="Times New Roman" w:eastAsia="宋体"/>
          <w:b w:val="0"/>
          <w:i w:val="0"/>
          <w:sz w:val="24"/>
        </w:rPr>
        <w:t>本文共分为六章，各章主要内容如下：</w:t>
      </w:r>
    </w:p>
    <w:p>
      <w:pPr>
        <w:spacing w:line="360" w:lineRule="auto" w:before="0" w:after="0"/>
        <w:ind w:firstLine="420"/>
      </w:pPr>
      <w:r>
        <w:rPr>
          <w:rFonts w:ascii="Times New Roman" w:hAnsi="Times New Roman" w:eastAsia="宋体"/>
          <w:b w:val="0"/>
          <w:i w:val="0"/>
          <w:sz w:val="24"/>
        </w:rPr>
        <w:t>第 1 章 绪论。介绍研究背景和意义，阐述研究目的，综述国内外在分子生成领域的研究现状，并概述论文的主要研究内容和组织结构。</w:t>
      </w:r>
    </w:p>
    <w:p>
      <w:pPr>
        <w:spacing w:line="360" w:lineRule="auto" w:before="0" w:after="0"/>
        <w:ind w:firstLine="420"/>
      </w:pPr>
      <w:r>
        <w:rPr>
          <w:rFonts w:ascii="Times New Roman" w:hAnsi="Times New Roman" w:eastAsia="宋体"/>
          <w:b w:val="0"/>
          <w:i w:val="0"/>
          <w:sz w:val="24"/>
        </w:rPr>
        <w:t>第 2 章 相关知识简介。系统介绍本文涉及的基础理论和关键技术，包括分子表示方法与化学信息学、图神经网络、变分自编码器、药物类药性评估方法以及 Web 应用开发技术等。</w:t>
      </w:r>
    </w:p>
    <w:p>
      <w:pPr>
        <w:spacing w:line="360" w:lineRule="auto" w:before="0" w:after="0"/>
        <w:ind w:firstLine="420"/>
      </w:pPr>
      <w:r>
        <w:rPr>
          <w:rFonts w:ascii="Times New Roman" w:hAnsi="Times New Roman" w:eastAsia="宋体"/>
          <w:b w:val="0"/>
          <w:i w:val="0"/>
          <w:sz w:val="24"/>
        </w:rPr>
        <w:t>第 3 章 系统设计。从功能需求和非功能性需求两个层面对系统进行需求分析，设计系统总体架构和技术架构方案。</w:t>
      </w:r>
    </w:p>
    <w:p>
      <w:pPr>
        <w:spacing w:line="360" w:lineRule="auto" w:before="0" w:after="0"/>
        <w:ind w:firstLine="420"/>
      </w:pPr>
      <w:r>
        <w:rPr>
          <w:rFonts w:ascii="Times New Roman" w:hAnsi="Times New Roman" w:eastAsia="宋体"/>
          <w:b w:val="0"/>
          <w:i w:val="0"/>
          <w:sz w:val="24"/>
        </w:rPr>
        <w:t>第 4 章 系统实现。详细描述系统各核心模块的具体实现，包括数据预处理模块、图变分自编码器模型、模型训练模块、分子解码与评估模块的算法实现，以及 Web 功能模块和前端界面的开发实现。</w:t>
      </w:r>
    </w:p>
    <w:p>
      <w:pPr>
        <w:spacing w:line="360" w:lineRule="auto" w:before="0" w:after="0"/>
        <w:ind w:firstLine="420"/>
      </w:pPr>
      <w:r>
        <w:rPr>
          <w:rFonts w:ascii="Times New Roman" w:hAnsi="Times New Roman" w:eastAsia="宋体"/>
          <w:b w:val="0"/>
          <w:i w:val="0"/>
          <w:sz w:val="24"/>
        </w:rPr>
        <w:t>第 5 章 系统测试。对系统的各功能模块进行系统性测试，包括模型训练测试、分子生成测试、骨架优化测试及核心模型性能评估。</w:t>
      </w:r>
    </w:p>
    <w:p>
      <w:pPr>
        <w:spacing w:line="360" w:lineRule="auto" w:before="0" w:after="0"/>
        <w:ind w:firstLine="420"/>
      </w:pPr>
      <w:r>
        <w:rPr>
          <w:rFonts w:ascii="Times New Roman" w:hAnsi="Times New Roman" w:eastAsia="宋体"/>
          <w:b w:val="0"/>
          <w:i w:val="0"/>
          <w:sz w:val="24"/>
        </w:rPr>
        <w:t>第 6 章 结论。总结本文的主要研究成果和技术贡献，分析系统的不足之处，并对未来研究方向进行展望。</w:t>
      </w:r>
    </w:p>
    <w:p>
      <w:r>
        <w:br w:type="page"/>
      </w:r>
    </w:p>
    <w:p>
      <w:pPr>
        <w:spacing w:line="360" w:lineRule="auto" w:before="240" w:after="240"/>
        <w:jc w:val="center"/>
      </w:pPr>
      <w:r>
        <w:rPr>
          <w:rFonts w:ascii="Times New Roman" w:hAnsi="Times New Roman" w:eastAsia="黑体"/>
          <w:b/>
          <w:i w:val="0"/>
          <w:sz w:val="32"/>
        </w:rPr>
        <w:t>第2章 相关知识简介</w:t>
      </w:r>
    </w:p>
    <w:p>
      <w:pPr>
        <w:spacing w:line="360" w:lineRule="auto" w:before="120" w:after="120"/>
      </w:pPr>
      <w:r>
        <w:rPr>
          <w:rFonts w:ascii="Times New Roman" w:hAnsi="Times New Roman" w:eastAsia="黑体"/>
          <w:b/>
          <w:i w:val="0"/>
          <w:sz w:val="28"/>
        </w:rPr>
        <w:t>2.1 分子表示方法与化学信息学</w:t>
      </w:r>
    </w:p>
    <w:p>
      <w:pPr>
        <w:spacing w:line="360" w:lineRule="auto" w:before="0" w:after="0"/>
        <w:ind w:firstLine="420"/>
      </w:pPr>
      <w:r>
        <w:rPr>
          <w:rFonts w:ascii="Times New Roman" w:hAnsi="Times New Roman" w:eastAsia="宋体"/>
          <w:b w:val="0"/>
          <w:i w:val="0"/>
          <w:sz w:val="24"/>
        </w:rPr>
        <w:t>分子表示是计算化学和化学信息学的基础问题，选择合适的分子表示方法直接影响后续分子建模和生成的效果。当前主流的分子表示方法主要包括 SMILES 线性表示和分子图表示两大类。</w:t>
      </w:r>
    </w:p>
    <w:p>
      <w:pPr>
        <w:spacing w:line="360" w:lineRule="auto" w:before="0" w:after="0"/>
        <w:ind w:firstLine="420"/>
      </w:pPr>
      <w:r>
        <w:rPr>
          <w:rFonts w:ascii="Times New Roman" w:hAnsi="Times New Roman" w:eastAsia="宋体"/>
          <w:b w:val="0"/>
          <w:i w:val="0"/>
          <w:sz w:val="24"/>
        </w:rPr>
        <w:t>SMILES（Simplified Molecular Input Line Entry System）是一种用 ASCII 字符串表示分子结构的线性表示法，由 David Weininger 于 1988 年提出。在 SMILES 表示中，原子用元素符号表示，化学键用特定字符表示（单键省略，双键用"="，三键用"#"，芳香键用小写字母表示芳香原子），环结构用数字标记开环和闭环位置，支链用括号表示。例如，苯的 SMILES 表示为"c1ccccc1"，乙酸的表示为"CC(=O)O"。SMILES 的优势在于其简洁性和通用性，是化学数据库和文献中最广泛使用的分子表示格式。然而，SMILES 存在非唯一性（同一分子可有多种合法 SMILES）、字符串中的线性邻接关系不等同于分子中的化学邻接关系等固有局限。</w:t>
      </w:r>
    </w:p>
    <w:p>
      <w:pPr>
        <w:spacing w:line="360" w:lineRule="auto" w:before="0" w:after="0"/>
        <w:ind w:firstLine="420"/>
      </w:pPr>
      <w:r>
        <w:rPr>
          <w:rFonts w:ascii="Times New Roman" w:hAnsi="Times New Roman" w:eastAsia="宋体"/>
          <w:b w:val="0"/>
          <w:i w:val="0"/>
          <w:sz w:val="24"/>
        </w:rPr>
        <w:t>分子图表示将分子视为一个无向图 G=(V, E)，其中节点集 V 对应分子中的原子，边集 E 对应原子间的化学键。每个节点可携带属性信息（如原子类型、电荷、芳香性等），每条边可携带属性信息（如键类型：单键、双键、三键、芳香键等）。分子图表示是分子结构最自然、最本质的计算表示方式，完整保留了分子的拓扑结构信息，是本文采用的核心分子表示方法。</w:t>
      </w:r>
    </w:p>
    <w:p>
      <w:pPr>
        <w:spacing w:line="360" w:lineRule="auto" w:before="0" w:after="0"/>
        <w:ind w:firstLine="420"/>
      </w:pPr>
      <w:r>
        <w:rPr>
          <w:rFonts w:ascii="Times New Roman" w:hAnsi="Times New Roman" w:eastAsia="宋体"/>
          <w:b w:val="0"/>
          <w:i w:val="0"/>
          <w:sz w:val="24"/>
        </w:rPr>
        <w:t>RDKit 是一个开源的化学信息学工具库，提供了丰富的分子操作功能，包括 SMILES 解析与分子对象构建、分子性质计算（分子量、LogP、氢键供体/受体数等）、分子指纹计算（Morgan 指纹即 ECFP、MACCS 键等）、子结构搜索、骨架提取（Murcko Scaffold）、以及分子二维图像渲染等。本系统广泛使用 RDKit 进行分子的解析、校验、性质计算和可视化。</w:t>
      </w:r>
    </w:p>
    <w:p>
      <w:pPr>
        <w:spacing w:line="360" w:lineRule="auto" w:before="120" w:after="120"/>
      </w:pPr>
      <w:r>
        <w:rPr>
          <w:rFonts w:ascii="Times New Roman" w:hAnsi="Times New Roman" w:eastAsia="黑体"/>
          <w:b/>
          <w:i w:val="0"/>
          <w:sz w:val="28"/>
        </w:rPr>
        <w:t>2.2 图神经网络</w:t>
      </w:r>
    </w:p>
    <w:p>
      <w:pPr>
        <w:spacing w:line="360" w:lineRule="auto" w:before="0" w:after="0"/>
        <w:ind w:firstLine="420"/>
      </w:pPr>
      <w:r>
        <w:rPr>
          <w:rFonts w:ascii="Times New Roman" w:hAnsi="Times New Roman" w:eastAsia="宋体"/>
          <w:b w:val="0"/>
          <w:i w:val="0"/>
          <w:sz w:val="24"/>
        </w:rPr>
        <w:t>图神经网络（Graph Neural Network, GNN）是一类专门用于处理图结构数据的深度学习模型。与传统的卷积神经网络（CNN）处理规则网格数据（如图像）、循环神经网络（RNN）处理序列数据不同，GNN 能够直接在非欧几里得的图结构上进行特征学习和推理。GNN 的核心思想是消息传递机制（Message Passing），即每个节点通过聚合其邻居节点的信息来更新自身的特征表示。</w:t>
      </w:r>
    </w:p>
    <w:p>
      <w:pPr>
        <w:spacing w:line="360" w:lineRule="auto" w:before="0" w:after="0"/>
        <w:ind w:firstLine="420"/>
      </w:pPr>
      <w:r>
        <w:rPr>
          <w:rFonts w:ascii="Times New Roman" w:hAnsi="Times New Roman" w:eastAsia="宋体"/>
          <w:b w:val="0"/>
          <w:i w:val="0"/>
          <w:sz w:val="24"/>
        </w:rPr>
        <w:t>图卷积网络（Graph Convolutional Network, GCN）是 Kipf 和 Welling 于 2017 年提出的一种经典图神经网络架构。GCN 的每一层可以表示为如下的矩阵运算形式：</w:t>
      </w:r>
    </w:p>
    <w:p>
      <w:pPr>
        <w:spacing w:line="360" w:lineRule="auto" w:before="60" w:after="60"/>
        <w:jc w:val="center"/>
      </w:pPr>
      <w:r>
        <w:rPr>
          <w:rFonts w:ascii="Times New Roman" w:hAnsi="Times New Roman" w:eastAsia="宋体"/>
          <w:b w:val="0"/>
          <w:i/>
          <w:sz w:val="24"/>
        </w:rPr>
        <w:t>H^(l+1) = σ(D̃^(-1/2) Ã D̃^(-1/2) H^(l) W^(l))</w:t>
      </w:r>
      <w:r>
        <w:rPr>
          <w:rFonts w:ascii="Times New Roman" w:hAnsi="Times New Roman" w:eastAsia="宋体"/>
          <w:b w:val="0"/>
          <w:i w:val="0"/>
          <w:sz w:val="24"/>
        </w:rPr>
        <w:t xml:space="preserve">    (2-1)</w:t>
      </w:r>
    </w:p>
    <w:p>
      <w:pPr>
        <w:spacing w:line="360" w:lineRule="auto" w:before="0" w:after="0"/>
        <w:ind w:firstLine="420"/>
      </w:pPr>
      <w:r>
        <w:rPr>
          <w:rFonts w:ascii="Times New Roman" w:hAnsi="Times New Roman" w:eastAsia="宋体"/>
          <w:b w:val="0"/>
          <w:i w:val="0"/>
          <w:sz w:val="24"/>
        </w:rPr>
        <w:t>其中 Ã = A + I_N 是加入自环的邻接矩阵，D̃ 是 Ã 的度矩阵，H^(l) 是第 l 层的节点特征矩阵，W^(l) 是可学习的权重矩阵，σ 是非线性激活函数。GCN 通过归一化的邻接矩阵实现了对邻居节点信息的加权聚合，每增加一层图卷积，每个节点的感受野扩大一跳。在分子图中，两层 GCN 意味着每个原子能感知距离两个化学键以内的所有原子信息，这足以捕获大多数常见的局部化学环境特征。</w:t>
      </w:r>
    </w:p>
    <w:p>
      <w:pPr>
        <w:spacing w:line="360" w:lineRule="auto" w:before="0" w:after="0"/>
        <w:ind w:firstLine="420"/>
      </w:pPr>
      <w:r>
        <w:rPr>
          <w:rFonts w:ascii="Times New Roman" w:hAnsi="Times New Roman" w:eastAsia="宋体"/>
          <w:b w:val="0"/>
          <w:i w:val="0"/>
          <w:sz w:val="24"/>
        </w:rPr>
        <w:t>在获得节点级别的特征表示后，需要通过图池化（Graph Pooling）操作将变长的节点特征聚合为固定维度的图级别特征。常用的图池化方法包括全局平均池化（Global Mean Pooling）、全局最大池化（Global Max Pooling）和层级池化（Hierarchical Pooling）等。本系统采用全局平均池化方法，即对图中所有节点的特征向量求均值，获得表示整个分子的固定维度向量。</w:t>
      </w:r>
    </w:p>
    <w:p>
      <w:pPr>
        <w:spacing w:line="360" w:lineRule="auto" w:before="0" w:after="0"/>
        <w:ind w:firstLine="420"/>
      </w:pPr>
      <w:r>
        <w:rPr>
          <w:rFonts w:ascii="Times New Roman" w:hAnsi="Times New Roman" w:eastAsia="宋体"/>
          <w:b w:val="0"/>
          <w:i w:val="0"/>
          <w:sz w:val="24"/>
        </w:rPr>
        <w:t>PyTorch Geometric（PyG）是基于 PyTorch 的图神经网络开发框架，提供了丰富的图卷积层（如 GCNConv、GATConv、GINConv 等）、图池化操作（如 global_mean_pool）、以及高效的图数据加载工具（DataLoader），是本系统图神经网络模块实现的核心依赖库。</w:t>
      </w:r>
    </w:p>
    <w:p>
      <w:pPr>
        <w:spacing w:line="360" w:lineRule="auto" w:before="120" w:after="120"/>
      </w:pPr>
      <w:r>
        <w:rPr>
          <w:rFonts w:ascii="Times New Roman" w:hAnsi="Times New Roman" w:eastAsia="黑体"/>
          <w:b/>
          <w:i w:val="0"/>
          <w:sz w:val="28"/>
        </w:rPr>
        <w:t>2.3 变分自编码器</w:t>
      </w:r>
    </w:p>
    <w:p>
      <w:pPr>
        <w:spacing w:line="360" w:lineRule="auto" w:before="0" w:after="0"/>
        <w:ind w:firstLine="420"/>
      </w:pPr>
      <w:r>
        <w:rPr>
          <w:rFonts w:ascii="Times New Roman" w:hAnsi="Times New Roman" w:eastAsia="宋体"/>
          <w:b w:val="0"/>
          <w:i w:val="0"/>
          <w:sz w:val="24"/>
        </w:rPr>
        <w:t>变分自编码器（Variational Autoencoder, VAE）是 Kingma 和 Welling 于 2014 年提出的一种深度生成模型，属于隐变量模型的范畴。VAE 的核心思想是学习数据的潜在分布，通过最大化数据的证据下界（ELBO）来训练模型。VAE 由编码器网络 q_φ(z|x) 和解码器网络 p_θ(x|z) 两部分组成，其中编码器将输入数据 x 映射为潜在变量 z 的后验分布参数（均值 μ 和方差 σ²），解码器从潜在变量 z 重构输入数据。</w:t>
      </w:r>
    </w:p>
    <w:p>
      <w:pPr>
        <w:spacing w:line="360" w:lineRule="auto" w:before="0" w:after="0"/>
        <w:ind w:firstLine="420"/>
      </w:pPr>
      <w:r>
        <w:rPr>
          <w:rFonts w:ascii="Times New Roman" w:hAnsi="Times New Roman" w:eastAsia="宋体"/>
          <w:b w:val="0"/>
          <w:i w:val="0"/>
          <w:sz w:val="24"/>
        </w:rPr>
        <w:t>VAE 的训练目标是最大化数据的证据下界（Evidence Lower Bound, ELBO）：</w:t>
      </w:r>
    </w:p>
    <w:p>
      <w:pPr>
        <w:spacing w:line="360" w:lineRule="auto" w:before="60" w:after="60"/>
        <w:jc w:val="center"/>
      </w:pPr>
      <w:r>
        <w:rPr>
          <w:rFonts w:ascii="Times New Roman" w:hAnsi="Times New Roman" w:eastAsia="宋体"/>
          <w:b w:val="0"/>
          <w:i/>
          <w:sz w:val="24"/>
        </w:rPr>
        <w:t>ELBO = E_q[log p_θ(x|z)] - KL(q_φ(z|x) || p(z))</w:t>
      </w:r>
      <w:r>
        <w:rPr>
          <w:rFonts w:ascii="Times New Roman" w:hAnsi="Times New Roman" w:eastAsia="宋体"/>
          <w:b w:val="0"/>
          <w:i w:val="0"/>
          <w:sz w:val="24"/>
        </w:rPr>
        <w:t xml:space="preserve">    (2-2)</w:t>
      </w:r>
    </w:p>
    <w:p>
      <w:pPr>
        <w:spacing w:line="360" w:lineRule="auto" w:before="0" w:after="0"/>
        <w:ind w:firstLine="420"/>
      </w:pPr>
      <w:r>
        <w:rPr>
          <w:rFonts w:ascii="Times New Roman" w:hAnsi="Times New Roman" w:eastAsia="宋体"/>
          <w:b w:val="0"/>
          <w:i w:val="0"/>
          <w:sz w:val="24"/>
        </w:rPr>
        <w:t>其中第一项是重构损失，衡量解码器从潜在变量重构输入数据的能力；第二项是 KL 散度，约束编码器输出的后验分布接近先验分布 p(z)（通常选择标准正态分布 N(0, I)）。重构损失确保模型学到有意义的数据表示，KL 散度确保潜在空间的正则性和连续性，使得在潜在空间中进行采样和插值时能够生成合理的数据。</w:t>
      </w:r>
    </w:p>
    <w:p>
      <w:pPr>
        <w:spacing w:line="360" w:lineRule="auto" w:before="0" w:after="0"/>
        <w:ind w:firstLine="420"/>
      </w:pPr>
      <w:r>
        <w:rPr>
          <w:rFonts w:ascii="Times New Roman" w:hAnsi="Times New Roman" w:eastAsia="宋体"/>
          <w:b w:val="0"/>
          <w:i w:val="0"/>
          <w:sz w:val="24"/>
        </w:rPr>
        <w:t>重参数化技巧（Reparameterization Trick）是 VAE 训练的关键技术。由于从随机分布中采样的操作不可微，无法直接进行反向传播，重参数化技巧将采样过程转化为确定性变换：z = μ + ε·σ，其中 ε ~ N(0, I)。这样梯度可以通过 μ 和 σ 反向传播到编码器参数。</w:t>
      </w:r>
    </w:p>
    <w:p>
      <w:pPr>
        <w:spacing w:line="360" w:lineRule="auto" w:before="0" w:after="0"/>
        <w:ind w:firstLine="420"/>
      </w:pPr>
      <w:r>
        <w:rPr>
          <w:rFonts w:ascii="Times New Roman" w:hAnsi="Times New Roman" w:eastAsia="宋体"/>
          <w:b w:val="0"/>
          <w:i w:val="0"/>
          <w:sz w:val="24"/>
        </w:rPr>
        <w:t>在实际训练中，VAE 常面临 KL 散度坍缩（KL Collapse）问题，即编码器退化为忽略输入数据、直接输出先验分布的参数，导致潜在空间失去对数据的编码能力。为缓解这一问题，常用的策略包括 KL 退火（KL Annealing，在训练初期逐渐增大 KL 散度的权重）、循环退火（Cyclical Annealing）和自由比特（Free Bits）等方法。本系统采用线性 KL 退火策略，在训练的前 30% 轮次中将 KL 散度权重 β 从 0 线性增长至 0.05。</w:t>
      </w:r>
    </w:p>
    <w:p>
      <w:pPr>
        <w:spacing w:line="360" w:lineRule="auto" w:before="0" w:after="0"/>
        <w:ind w:firstLine="420"/>
      </w:pPr>
      <w:r>
        <w:rPr>
          <w:rFonts w:ascii="Times New Roman" w:hAnsi="Times New Roman" w:eastAsia="宋体"/>
          <w:b w:val="0"/>
          <w:i w:val="0"/>
          <w:sz w:val="24"/>
        </w:rPr>
        <w:t>将 VAE 与图神经网络相结合的图变分自编码器（Graph VAE），以图神经网络作为编码器处理图结构输入，以 MLP 或图生成网络作为解码器生成图结构输出。在分子生成任务中，编码器将分子图编码为潜在向量，解码器从潜在向量预测原子类型矩阵和邻接矩阵，从而实现分子图的生成与重构。</w:t>
      </w:r>
    </w:p>
    <w:p>
      <w:pPr>
        <w:spacing w:line="360" w:lineRule="auto" w:before="120" w:after="120"/>
      </w:pPr>
      <w:r>
        <w:rPr>
          <w:rFonts w:ascii="Times New Roman" w:hAnsi="Times New Roman" w:eastAsia="黑体"/>
          <w:b/>
          <w:i w:val="0"/>
          <w:sz w:val="28"/>
        </w:rPr>
        <w:t>2.4 药物类药性评估方法</w:t>
      </w:r>
    </w:p>
    <w:p>
      <w:pPr>
        <w:spacing w:line="360" w:lineRule="auto" w:before="0" w:after="0"/>
        <w:ind w:firstLine="420"/>
      </w:pPr>
      <w:r>
        <w:rPr>
          <w:rFonts w:ascii="Times New Roman" w:hAnsi="Times New Roman" w:eastAsia="宋体"/>
          <w:b w:val="0"/>
          <w:i w:val="0"/>
          <w:sz w:val="24"/>
        </w:rPr>
        <w:t>类药性（Drug-likeness）评估是药物发现中评价候选分子是否具有成为药物潜力的重要环节。合理的类药性评估能够在早期阶段淘汰不具备药物开发前景的分子，从而节约后续研发成本。本系统采用了多种经典的类药性评估方法。</w:t>
      </w:r>
    </w:p>
    <w:p>
      <w:pPr>
        <w:spacing w:line="360" w:lineRule="auto" w:before="0" w:after="0"/>
        <w:ind w:firstLine="420"/>
      </w:pPr>
      <w:r>
        <w:rPr>
          <w:rFonts w:ascii="Times New Roman" w:hAnsi="Times New Roman" w:eastAsia="宋体"/>
          <w:b w:val="0"/>
          <w:i w:val="0"/>
          <w:sz w:val="24"/>
        </w:rPr>
        <w:t>Lipinski 五规则（Rule of Five）是 1997 年由 Christopher Lipinski 提出的经验规则，用于评估化合物的口服生物利用度。其核心规则为：分子量（MW）不超过 500 Da、脂水分配系数（LogP）不超过 5、氢键供体数（HBD）不超过 5、氢键受体数（HBA）不超过 10。违反两条以上规则的化合物通常口服吸收性较差。该规则虽然简单，但至今仍是药物化学领域最广泛使用的类药性筛选标准之一。</w:t>
      </w:r>
    </w:p>
    <w:p>
      <w:pPr>
        <w:spacing w:line="360" w:lineRule="auto" w:before="0" w:after="0"/>
        <w:ind w:firstLine="420"/>
      </w:pPr>
      <w:r>
        <w:rPr>
          <w:rFonts w:ascii="Times New Roman" w:hAnsi="Times New Roman" w:eastAsia="宋体"/>
          <w:b w:val="0"/>
          <w:i w:val="0"/>
          <w:sz w:val="24"/>
        </w:rPr>
        <w:t>QED（Quantitative Estimate of Drug-likeness）是 Bickerton 等人于 2012 年提出的定量类药性评分方法，综合考虑分子量、LogP、氢键供体/受体数、可旋转键数、芳香环数、极性表面积和结构复杂度等多个理化性质，通过加权几何平均计算出 0 到 1 之间的分数。QED 越接近 1 表明分子越具有类药性。在本系统中，QED 评分被作为分子生成过程中的核心评价指标之一。</w:t>
      </w:r>
    </w:p>
    <w:p>
      <w:pPr>
        <w:spacing w:line="360" w:lineRule="auto" w:before="0" w:after="0"/>
        <w:ind w:firstLine="420"/>
      </w:pPr>
      <w:r>
        <w:rPr>
          <w:rFonts w:ascii="Times New Roman" w:hAnsi="Times New Roman" w:eastAsia="宋体"/>
          <w:b w:val="0"/>
          <w:i w:val="0"/>
          <w:sz w:val="24"/>
        </w:rPr>
        <w:t>合成可达性评分（Synthetic Accessibility Score, SA Score）用于评估分子的合成难易程度。由 Ertl 和 Schuffenhauer 于 2009 年提出的 SA Score 综合考虑了分子片段的频率（常见片段易合成）和分子复杂度（环数、手性中心等）。本系统实现了简化版的 SA Score 计算方法，主要考虑环数、原子数和杂原子数等因素，分值范围为 1 到 10，值越低表示合成越容易。</w:t>
      </w:r>
    </w:p>
    <w:p>
      <w:pPr>
        <w:spacing w:line="360" w:lineRule="auto" w:before="0" w:after="0"/>
        <w:ind w:firstLine="420"/>
      </w:pPr>
      <w:r>
        <w:rPr>
          <w:rFonts w:ascii="Times New Roman" w:hAnsi="Times New Roman" w:eastAsia="宋体"/>
          <w:b w:val="0"/>
          <w:i w:val="0"/>
          <w:sz w:val="24"/>
        </w:rPr>
        <w:t>Veber 规则由 Veber 等人于 2002 年提出，用于补充 Lipinski 五规则对口服生物利用度的评估。Veber 规则包含两条标准：可旋转键数不超过 10、极性表面积（TPSA）不超过 140 Å²。满足 Veber 规则的化合物通常具有较好的肠道渗透性。</w:t>
      </w:r>
    </w:p>
    <w:p>
      <w:pPr>
        <w:spacing w:line="360" w:lineRule="auto" w:before="0" w:after="0"/>
        <w:ind w:firstLine="420"/>
      </w:pPr>
      <w:r>
        <w:rPr>
          <w:rFonts w:ascii="Times New Roman" w:hAnsi="Times New Roman" w:eastAsia="宋体"/>
          <w:b w:val="0"/>
          <w:i w:val="0"/>
          <w:sz w:val="24"/>
        </w:rPr>
        <w:t>ADMET（Absorption、Distribution、Metabolism、Excretion、Toxicity）评估涵盖了药物在体内的吸收、分布、代谢、排泄和毒性五个方面。本系统实现了基于经验规则的 ADMET 预测模块，包括基于 ESOL 模型的水溶性预测、基于 TPSA 和 LogP 的渗透性评估、基于 TPSA、LogP 和分子量的血脑屏障透过性预测，以及基于 SMARTS 模式匹配的毒性警示子结构检测。</w:t>
      </w:r>
    </w:p>
    <w:p>
      <w:pPr>
        <w:spacing w:line="360" w:lineRule="auto" w:before="120" w:after="120"/>
      </w:pPr>
      <w:r>
        <w:rPr>
          <w:rFonts w:ascii="Times New Roman" w:hAnsi="Times New Roman" w:eastAsia="黑体"/>
          <w:b/>
          <w:i w:val="0"/>
          <w:sz w:val="28"/>
        </w:rPr>
        <w:t>2.5 Web 应用开发技术</w:t>
      </w:r>
    </w:p>
    <w:p>
      <w:pPr>
        <w:spacing w:line="360" w:lineRule="auto" w:before="0" w:after="0"/>
        <w:ind w:firstLine="420"/>
      </w:pPr>
      <w:r>
        <w:rPr>
          <w:rFonts w:ascii="Times New Roman" w:hAnsi="Times New Roman" w:eastAsia="宋体"/>
          <w:b w:val="0"/>
          <w:i w:val="0"/>
          <w:sz w:val="24"/>
        </w:rPr>
        <w:t>Flask 是一个基于 Python 的轻量级 Web 应用框架，由 Armin Ronacher 开发，属于微框架（Microframework）设计理念。Flask 核心简洁，仅提供路由分发和请求/响应处理的基本功能，通过丰富的扩展生态系统可以灵活地添加数据库支持、表单验证、用户认证等功能。Flask 的轻量特性使其特别适合构建 API 后端服务和中小型 Web 应用，是 Python 生态系统中最受欢迎的 Web 框架之一。本系统使用 Flask 构建 RESTful API，处理前端的训练请求、生成请求和骨架优化请求，并通过 JSON 格式与前端进行数据交互。</w:t>
      </w:r>
    </w:p>
    <w:p>
      <w:pPr>
        <w:spacing w:line="360" w:lineRule="auto" w:before="0" w:after="0"/>
        <w:ind w:firstLine="420"/>
      </w:pPr>
      <w:r>
        <w:rPr>
          <w:rFonts w:ascii="Times New Roman" w:hAnsi="Times New Roman" w:eastAsia="宋体"/>
          <w:b w:val="0"/>
          <w:i w:val="0"/>
          <w:sz w:val="24"/>
        </w:rPr>
        <w:t>Bootstrap 5 是 Twitter 开发的前端 CSS 框架的最新主要版本，提供了丰富的预定义组件（如导航栏、卡片、表单控件、按钮、模态框等）和响应式网格布局系统。Bootstrap 5 移除了对 jQuery 的依赖，完全基于原生 JavaScript，提升了运行时性能。本系统前端使用 Bootstrap 5 构建三大功能面板的用户界面，结合原生 JavaScript ES6+ 实现参数配置、状态轮询、结果展示等交互逻辑。</w:t>
      </w:r>
    </w:p>
    <w:p>
      <w:pPr>
        <w:spacing w:line="360" w:lineRule="auto" w:before="0" w:after="0"/>
        <w:ind w:firstLine="420"/>
      </w:pPr>
      <w:r>
        <w:rPr>
          <w:rFonts w:ascii="Times New Roman" w:hAnsi="Times New Roman" w:eastAsia="宋体"/>
          <w:b w:val="0"/>
          <w:i w:val="0"/>
          <w:sz w:val="24"/>
        </w:rPr>
        <w:t>RESTful API 是一种基于 HTTP 协议的 Web 服务接口设计风格，通过标准的 HTTP 方法（GET、POST、PUT、DELETE）对资源进行操作，使用 JSON 格式进行数据传输。RESTful API 的无状态特性和统一接口规范使其成为前后端分离架构中最常用的通信方式。本系统的后端接口遵循 RESTful 设计规范，通过 POST 请求提交任务（如训练、生成、优化），通过 GET 请求轮询任务状态。</w:t>
      </w:r>
    </w:p>
    <w:p>
      <w:pPr>
        <w:spacing w:line="360" w:lineRule="auto" w:before="120" w:after="120"/>
      </w:pPr>
      <w:r>
        <w:rPr>
          <w:rFonts w:ascii="Times New Roman" w:hAnsi="Times New Roman" w:eastAsia="黑体"/>
          <w:b/>
          <w:i w:val="0"/>
          <w:sz w:val="28"/>
        </w:rPr>
        <w:t>2.6 本章小结</w:t>
      </w:r>
    </w:p>
    <w:p>
      <w:pPr>
        <w:spacing w:line="360" w:lineRule="auto" w:before="0" w:after="0"/>
        <w:ind w:firstLine="420"/>
      </w:pPr>
      <w:r>
        <w:rPr>
          <w:rFonts w:ascii="Times New Roman" w:hAnsi="Times New Roman" w:eastAsia="宋体"/>
          <w:b w:val="0"/>
          <w:i w:val="0"/>
          <w:sz w:val="24"/>
        </w:rPr>
        <w:t>本章系统介绍了本文涉及的关键基础知识和相关技术。首先介绍了 SMILES 和分子图两种主流分子表示方法及 RDKit 化学信息学工具库；然后详细阐述了图卷积网络（GCN）的原理与消息传递机制；接着深入讲解了变分自编码器（VAE）的理论基础，包括 ELBO、重参数化技巧和 KL 退火策略；随后介绍了 Lipinski 五规则、QED、SA Score、Veber 规则和 ADMET 等类药性评估方法；最后介绍了 Flask 框架和 Bootstrap 5 等 Web 开发技术。这些知识为后续章节中系统的设计与实现奠定了理论和技术基础。</w:t>
      </w:r>
    </w:p>
    <w:p>
      <w:r>
        <w:br w:type="page"/>
      </w:r>
    </w:p>
    <w:p>
      <w:pPr>
        <w:spacing w:line="360" w:lineRule="auto" w:before="240" w:after="240"/>
        <w:jc w:val="center"/>
      </w:pPr>
      <w:r>
        <w:rPr>
          <w:rFonts w:ascii="Times New Roman" w:hAnsi="Times New Roman" w:eastAsia="黑体"/>
          <w:b/>
          <w:i w:val="0"/>
          <w:sz w:val="32"/>
        </w:rPr>
        <w:t>第3章 系统设计</w:t>
      </w:r>
    </w:p>
    <w:p>
      <w:pPr>
        <w:spacing w:line="360" w:lineRule="auto" w:before="120" w:after="120"/>
      </w:pPr>
      <w:r>
        <w:rPr>
          <w:rFonts w:ascii="Times New Roman" w:hAnsi="Times New Roman" w:eastAsia="黑体"/>
          <w:b/>
          <w:i w:val="0"/>
          <w:sz w:val="28"/>
        </w:rPr>
        <w:t>3.1 系统需求分析</w:t>
      </w:r>
    </w:p>
    <w:p>
      <w:pPr>
        <w:spacing w:line="360" w:lineRule="auto" w:before="60" w:after="60"/>
      </w:pPr>
      <w:r>
        <w:rPr>
          <w:rFonts w:ascii="Times New Roman" w:hAnsi="Times New Roman" w:eastAsia="黑体"/>
          <w:b/>
          <w:i w:val="0"/>
          <w:sz w:val="24"/>
        </w:rPr>
        <w:t>3.1.1 功能需求</w:t>
      </w:r>
    </w:p>
    <w:p>
      <w:pPr>
        <w:spacing w:line="360" w:lineRule="auto" w:before="0" w:after="0"/>
        <w:ind w:firstLine="420"/>
      </w:pPr>
      <w:r>
        <w:rPr>
          <w:rFonts w:ascii="Times New Roman" w:hAnsi="Times New Roman" w:eastAsia="宋体"/>
          <w:b w:val="0"/>
          <w:i w:val="0"/>
          <w:sz w:val="24"/>
        </w:rPr>
        <w:t>根据靶向分子生成与优化设计平台的定位和目标用户需求，系统需要实现以下三大核心功能：</w:t>
      </w:r>
    </w:p>
    <w:p>
      <w:pPr>
        <w:spacing w:line="360" w:lineRule="auto" w:before="0" w:after="0"/>
        <w:ind w:firstLine="420"/>
      </w:pPr>
      <w:r>
        <w:rPr>
          <w:rFonts w:ascii="Times New Roman" w:hAnsi="Times New Roman" w:eastAsia="宋体"/>
          <w:b w:val="0"/>
          <w:i w:val="0"/>
          <w:sz w:val="24"/>
        </w:rPr>
        <w:t>（1）模型训练功能。系统应支持用户通过 Web 界面上传 SMILES 格式的分子数据集文件（.smi 或 .csv 格式），并允许用户自定义关键训练超参数，包括训练轮次（Epochs）、学习率（Learning Rate）、批次大小（Batch Size）、隐藏层维度（Hidden Dimension）、潜在空间维度（Latent Dimension）、早停耐心值（Patience）和验证集比例（Validation Split）等。训练过程应在后台异步执行，不阻塞用户的其他操作。系统需提供实时训练状态监控功能，包括当前训练轮次、训练损失、验证损失等指标的实时展示。训练完成后，模型文件应自动保存至服务器，供后续的分子生成和骨架优化功能使用。</w:t>
      </w:r>
    </w:p>
    <w:p>
      <w:pPr>
        <w:spacing w:line="360" w:lineRule="auto" w:before="0" w:after="0"/>
        <w:ind w:firstLine="420"/>
      </w:pPr>
      <w:r>
        <w:rPr>
          <w:rFonts w:ascii="Times New Roman" w:hAnsi="Times New Roman" w:eastAsia="宋体"/>
          <w:b w:val="0"/>
          <w:i w:val="0"/>
          <w:sz w:val="24"/>
        </w:rPr>
        <w:t>（2）性质导向分子生成功能。系统应允许用户选择已训练好的模型文件，并通过界面设置分子性质约束条件，包括分子量范围、LogP 范围、氢键供体/受体数上限、可旋转键数上限、QED 最低阈值和 SA Score 最高阈值等。系统在潜在空间中进行采样和解码，生成满足约束条件的候选分子。生成结果应包含每个分子的 SMILES 表示、二维结构图、以及详细的性质评估报告（包括基础理化性质、Lipinski 五规则检查、Veber 规则检查和 ADMET 预测）。系统应提供 Tanimoto 相似度去重功能，确保输出分子的结构多样性。</w:t>
      </w:r>
    </w:p>
    <w:p>
      <w:pPr>
        <w:spacing w:line="360" w:lineRule="auto" w:before="0" w:after="0"/>
        <w:ind w:firstLine="420"/>
      </w:pPr>
      <w:r>
        <w:rPr>
          <w:rFonts w:ascii="Times New Roman" w:hAnsi="Times New Roman" w:eastAsia="宋体"/>
          <w:b w:val="0"/>
          <w:i w:val="0"/>
          <w:sz w:val="24"/>
        </w:rPr>
        <w:t>（3）骨架跃迁与优化功能。系统应支持用户输入苗头化合物（Hit）的 SMILES 字符串，选择目标优化性质（如 QED、LogP、水溶性等）和优化方向（最大化或最小化）。系统在保持苗头化合物核心骨架（Murcko Scaffold）的前提下，生成一系列结构衍生物。生成的衍生物应附带与苗头化合物的骨架 Tanimoto 相似度信息和完整的性质评估报告，并按目标性质排序展示。系统应支持衍生物与苗头化合物的对比展示。</w:t>
      </w:r>
    </w:p>
    <w:p>
      <w:pPr>
        <w:spacing w:line="360" w:lineRule="auto" w:before="60" w:after="60"/>
      </w:pPr>
      <w:r>
        <w:rPr>
          <w:rFonts w:ascii="Times New Roman" w:hAnsi="Times New Roman" w:eastAsia="黑体"/>
          <w:b/>
          <w:i w:val="0"/>
          <w:sz w:val="24"/>
        </w:rPr>
        <w:t>3.1.2 非功能性需求</w:t>
      </w:r>
    </w:p>
    <w:p>
      <w:pPr>
        <w:spacing w:line="360" w:lineRule="auto" w:before="0" w:after="0"/>
        <w:ind w:firstLine="420"/>
      </w:pPr>
      <w:r>
        <w:rPr>
          <w:rFonts w:ascii="Times New Roman" w:hAnsi="Times New Roman" w:eastAsia="宋体"/>
          <w:b w:val="0"/>
          <w:i w:val="0"/>
          <w:sz w:val="24"/>
        </w:rPr>
        <w:t>除核心功能需求外，系统还需满足以下非功能性需求：</w:t>
      </w:r>
    </w:p>
    <w:p>
      <w:pPr>
        <w:spacing w:line="360" w:lineRule="auto" w:before="0" w:after="0"/>
        <w:ind w:firstLine="420"/>
      </w:pPr>
      <w:r>
        <w:rPr>
          <w:rFonts w:ascii="Times New Roman" w:hAnsi="Times New Roman" w:eastAsia="宋体"/>
          <w:b w:val="0"/>
          <w:i w:val="0"/>
          <w:sz w:val="24"/>
        </w:rPr>
        <w:t>（1）性能需求。模型训练应支持 GPU 加速（如果可用），训练 50 轮（10k 分子数据集、批次大小 32）应在合理时间内完成。分子生成和骨架优化任务的响应时间应控制在可接受范围内，避免用户长时间等待。系统应通过异步处理和状态轮询机制保证用户界面的流畅响应。</w:t>
      </w:r>
    </w:p>
    <w:p>
      <w:pPr>
        <w:spacing w:line="360" w:lineRule="auto" w:before="0" w:after="0"/>
        <w:ind w:firstLine="420"/>
      </w:pPr>
      <w:r>
        <w:rPr>
          <w:rFonts w:ascii="Times New Roman" w:hAnsi="Times New Roman" w:eastAsia="宋体"/>
          <w:b w:val="0"/>
          <w:i w:val="0"/>
          <w:sz w:val="24"/>
        </w:rPr>
        <w:t>（2）可靠性需求。系统应具备完善的异常处理机制，对无效的 SMILES 输入、空数据集、模型加载失败等异常情况给出明确的错误提示。训练过程中应实时保存最佳模型，即使训练因早停而提前终止，也能保留最优的模型参数。生成和优化过程中的化学校验应确保输出分子的化学有效性。</w:t>
      </w:r>
    </w:p>
    <w:p>
      <w:pPr>
        <w:spacing w:line="360" w:lineRule="auto" w:before="0" w:after="0"/>
        <w:ind w:firstLine="420"/>
      </w:pPr>
      <w:r>
        <w:rPr>
          <w:rFonts w:ascii="Times New Roman" w:hAnsi="Times New Roman" w:eastAsia="宋体"/>
          <w:b w:val="0"/>
          <w:i w:val="0"/>
          <w:sz w:val="24"/>
        </w:rPr>
        <w:t>（3）可扩展性需求。系统架构应具有良好的模块化设计，使得未来可以方便地替换或升级编码器（如从 GCN 替换为 GAT 或 GIN）、添加新的类药性评估指标、或集成更复杂的条件生成策略，而无需大幅修改现有代码。配置参数应集中管理，便于调整和维护。</w:t>
      </w:r>
    </w:p>
    <w:p>
      <w:pPr>
        <w:spacing w:line="360" w:lineRule="auto" w:before="0" w:after="0"/>
        <w:ind w:firstLine="420"/>
      </w:pPr>
      <w:r>
        <w:rPr>
          <w:rFonts w:ascii="Times New Roman" w:hAnsi="Times New Roman" w:eastAsia="宋体"/>
          <w:b w:val="0"/>
          <w:i w:val="0"/>
          <w:sz w:val="24"/>
        </w:rPr>
        <w:t>（4）易用性需求。系统应提供直观友好的 Web 操作界面，参数配置采用滑块、下拉菜单等可视化控件，生成结果以分子结构图和数据表格等方式直观展示，降低用户的学习成本和使用门槛。</w:t>
      </w:r>
    </w:p>
    <w:p>
      <w:pPr>
        <w:spacing w:line="360" w:lineRule="auto" w:before="120" w:after="120"/>
      </w:pPr>
      <w:r>
        <w:rPr>
          <w:rFonts w:ascii="Times New Roman" w:hAnsi="Times New Roman" w:eastAsia="黑体"/>
          <w:b/>
          <w:i w:val="0"/>
          <w:sz w:val="28"/>
        </w:rPr>
        <w:t>3.2 系统总体架构设计</w:t>
      </w:r>
    </w:p>
    <w:p>
      <w:pPr>
        <w:spacing w:line="360" w:lineRule="auto" w:before="60" w:after="60"/>
      </w:pPr>
      <w:r>
        <w:rPr>
          <w:rFonts w:ascii="Times New Roman" w:hAnsi="Times New Roman" w:eastAsia="黑体"/>
          <w:b/>
          <w:i w:val="0"/>
          <w:sz w:val="24"/>
        </w:rPr>
        <w:t>3.2.1 系统架构</w:t>
      </w:r>
    </w:p>
    <w:p>
      <w:pPr>
        <w:spacing w:line="360" w:lineRule="auto" w:before="0" w:after="0"/>
        <w:ind w:firstLine="420"/>
      </w:pPr>
      <w:r>
        <w:rPr>
          <w:rFonts w:ascii="Times New Roman" w:hAnsi="Times New Roman" w:eastAsia="宋体"/>
          <w:b w:val="0"/>
          <w:i w:val="0"/>
          <w:sz w:val="24"/>
        </w:rPr>
        <w:t>本系统采用经典的 B/S（Browser/Server）三层架构，自上而下分为表现层、业务逻辑层和数据层。三层架构的分层设计使得各层职责清晰、耦合度低，便于独立开发、测试和维护。</w:t>
      </w:r>
    </w:p>
    <w:p>
      <w:pPr>
        <w:spacing w:line="360" w:lineRule="auto" w:before="120" w:after="60"/>
        <w:jc w:val="center"/>
      </w:pPr>
      <w:r>
        <w:rPr>
          <w:rFonts w:ascii="Times New Roman" w:hAnsi="Times New Roman" w:eastAsia="楷体"/>
          <w:b w:val="0"/>
          <w:i w:val="0"/>
          <w:color w:val="B40000"/>
          <w:sz w:val="24"/>
        </w:rPr>
        <w:t>[此处插入图 3-1  系统总体架构图]</w:t>
      </w:r>
    </w:p>
    <w:p>
      <w:pPr>
        <w:spacing w:line="360" w:lineRule="auto" w:before="0" w:after="120"/>
        <w:jc w:val="center"/>
      </w:pPr>
      <w:r>
        <w:rPr>
          <w:rFonts w:ascii="Times New Roman" w:hAnsi="Times New Roman" w:eastAsia="宋体"/>
          <w:b w:val="0"/>
          <w:i w:val="0"/>
          <w:sz w:val="21"/>
        </w:rPr>
        <w:t>图 3-1  系统总体架构图</w:t>
      </w:r>
    </w:p>
    <w:p>
      <w:pPr>
        <w:spacing w:line="360" w:lineRule="auto" w:before="0" w:after="0"/>
        <w:ind w:firstLine="420"/>
      </w:pPr>
      <w:r>
        <w:rPr>
          <w:rFonts w:ascii="Times New Roman" w:hAnsi="Times New Roman" w:eastAsia="宋体"/>
          <w:b w:val="0"/>
          <w:i w:val="0"/>
          <w:sz w:val="24"/>
        </w:rPr>
        <w:t>表现层（Presentation Layer）即前端界面，运行在用户的 Web 浏览器中，负责用户交互和数据展示。用户通过前端界面配置训练参数、设置生成约束、输入苗头化合物、查看训练进度和生成结果。前端通过 HTTP 请求与后端通信，使用 Fetch API 进行异步数据交互，通过定时器轮询机制实时获取后台任务状态。</w:t>
      </w:r>
    </w:p>
    <w:p>
      <w:pPr>
        <w:spacing w:line="360" w:lineRule="auto" w:before="0" w:after="0"/>
        <w:ind w:firstLine="420"/>
      </w:pPr>
      <w:r>
        <w:rPr>
          <w:rFonts w:ascii="Times New Roman" w:hAnsi="Times New Roman" w:eastAsia="宋体"/>
          <w:b w:val="0"/>
          <w:i w:val="0"/>
          <w:sz w:val="24"/>
        </w:rPr>
        <w:t>业务逻辑层（Business Logic Layer）即后端服务，负责处理前端请求、执行核心算法、管理任务状态。后端基于 Flask 框架构建，主要包含三大功能模块：模型训练模块（接收数据集和参数、异步训练模型）、分子生成模块（加载模型、引导采样、解码、筛选）、骨架优化模块（编码 Hit、微扰采样、侧链替换）。此外还包含模型管理（加载/保存模型文件）、分子评估（RDKit 性质计算和 ADMET 预测）、以及分子可视化（2D 结构图渲染和 Base64 编码）等通用服务模块。</w:t>
      </w:r>
    </w:p>
    <w:p>
      <w:pPr>
        <w:spacing w:line="360" w:lineRule="auto" w:before="0" w:after="0"/>
        <w:ind w:firstLine="420"/>
      </w:pPr>
      <w:r>
        <w:rPr>
          <w:rFonts w:ascii="Times New Roman" w:hAnsi="Times New Roman" w:eastAsia="宋体"/>
          <w:b w:val="0"/>
          <w:i w:val="0"/>
          <w:sz w:val="24"/>
        </w:rPr>
        <w:t>数据层（Data Layer）负责数据的存储和管理。系统的数据主要包括三类：用户上传的 SMILES 数据集文件（存储在 datasets/ 目录下）、训练生成的模型参数文件（.pth 格式，存储在 models/ 目录下）、以及系统运行时的临时状态数据（内存中的字典对象）。由于本系统主要面向单用户或小规模使用场景，数据层采用文件系统而非关系型数据库进行存储，以简化系统部署和维护。</w:t>
      </w:r>
    </w:p>
    <w:p>
      <w:pPr>
        <w:spacing w:line="360" w:lineRule="auto" w:before="60" w:after="60"/>
      </w:pPr>
      <w:r>
        <w:rPr>
          <w:rFonts w:ascii="Times New Roman" w:hAnsi="Times New Roman" w:eastAsia="黑体"/>
          <w:b/>
          <w:i w:val="0"/>
          <w:sz w:val="24"/>
        </w:rPr>
        <w:t>3.2.2 技术架构</w:t>
      </w:r>
    </w:p>
    <w:p>
      <w:pPr>
        <w:spacing w:line="360" w:lineRule="auto" w:before="120" w:after="60"/>
        <w:jc w:val="center"/>
      </w:pPr>
      <w:r>
        <w:rPr>
          <w:rFonts w:ascii="Times New Roman" w:hAnsi="Times New Roman" w:eastAsia="楷体"/>
          <w:b w:val="0"/>
          <w:i w:val="0"/>
          <w:color w:val="B40000"/>
          <w:sz w:val="24"/>
        </w:rPr>
        <w:t>[此处插入图 3-2  技术架构图]</w:t>
      </w:r>
    </w:p>
    <w:p>
      <w:pPr>
        <w:spacing w:line="360" w:lineRule="auto" w:before="0" w:after="120"/>
        <w:jc w:val="center"/>
      </w:pPr>
      <w:r>
        <w:rPr>
          <w:rFonts w:ascii="Times New Roman" w:hAnsi="Times New Roman" w:eastAsia="宋体"/>
          <w:b w:val="0"/>
          <w:i w:val="0"/>
          <w:sz w:val="21"/>
        </w:rPr>
        <w:t>图 3-2  技术架构图</w:t>
      </w:r>
    </w:p>
    <w:p>
      <w:pPr>
        <w:spacing w:line="360" w:lineRule="auto" w:before="0" w:after="0"/>
        <w:ind w:firstLine="420"/>
      </w:pPr>
      <w:r>
        <w:rPr>
          <w:rFonts w:ascii="Times New Roman" w:hAnsi="Times New Roman" w:eastAsia="宋体"/>
          <w:b w:val="0"/>
          <w:i w:val="0"/>
          <w:sz w:val="24"/>
        </w:rPr>
        <w:t>系统的技术架构围绕四大核心技术栈构建：</w:t>
      </w:r>
    </w:p>
    <w:tbl>
      <w:tblPr>
        <w:tblStyle w:val="TableGrid"/>
        <w:tblW w:type="auto" w:w="0"/>
        <w:jc w:val="center"/>
        <w:tblLook w:firstColumn="1" w:firstRow="1" w:lastColumn="0" w:lastRow="0" w:noHBand="0" w:noVBand="1" w:val="04A0"/>
      </w:tblPr>
      <w:tblGrid>
        <w:gridCol w:w="3024"/>
        <w:gridCol w:w="3024"/>
        <w:gridCol w:w="3024"/>
      </w:tblGrid>
      <w:tr>
        <w:tc>
          <w:tcPr>
            <w:tcW w:type="dxa" w:w="1701"/>
          </w:tcPr>
          <w:p>
            <w:pPr>
              <w:jc w:val="center"/>
            </w:pPr>
            <w:r/>
            <w:r>
              <w:rPr>
                <w:rFonts w:ascii="Times New Roman" w:hAnsi="Times New Roman" w:eastAsia="黑体"/>
                <w:b/>
                <w:i w:val="0"/>
                <w:sz w:val="21"/>
              </w:rPr>
              <w:t>技术层级</w:t>
            </w:r>
          </w:p>
        </w:tc>
        <w:tc>
          <w:tcPr>
            <w:tcW w:type="dxa" w:w="2835"/>
          </w:tcPr>
          <w:p>
            <w:pPr>
              <w:jc w:val="center"/>
            </w:pPr>
            <w:r/>
            <w:r>
              <w:rPr>
                <w:rFonts w:ascii="Times New Roman" w:hAnsi="Times New Roman" w:eastAsia="黑体"/>
                <w:b/>
                <w:i w:val="0"/>
                <w:sz w:val="21"/>
              </w:rPr>
              <w:t>具体技术</w:t>
            </w:r>
          </w:p>
        </w:tc>
        <w:tc>
          <w:tcPr>
            <w:tcW w:type="dxa" w:w="3969"/>
          </w:tcPr>
          <w:p>
            <w:pPr>
              <w:jc w:val="center"/>
            </w:pPr>
            <w:r/>
            <w:r>
              <w:rPr>
                <w:rFonts w:ascii="Times New Roman" w:hAnsi="Times New Roman" w:eastAsia="黑体"/>
                <w:b/>
                <w:i w:val="0"/>
                <w:sz w:val="21"/>
              </w:rPr>
              <w:t>版本/说明</w:t>
            </w:r>
          </w:p>
        </w:tc>
      </w:tr>
      <w:tr>
        <w:tc>
          <w:tcPr>
            <w:tcW w:type="dxa" w:w="1701"/>
          </w:tcPr>
          <w:p>
            <w:r/>
            <w:r>
              <w:rPr>
                <w:rFonts w:ascii="Times New Roman" w:hAnsi="Times New Roman" w:eastAsia="宋体"/>
                <w:b w:val="0"/>
                <w:i w:val="0"/>
                <w:sz w:val="21"/>
              </w:rPr>
              <w:t>深度学习框架</w:t>
            </w:r>
          </w:p>
        </w:tc>
        <w:tc>
          <w:tcPr>
            <w:tcW w:type="dxa" w:w="2835"/>
          </w:tcPr>
          <w:p>
            <w:r/>
            <w:r>
              <w:rPr>
                <w:rFonts w:ascii="Times New Roman" w:hAnsi="Times New Roman" w:eastAsia="宋体"/>
                <w:b w:val="0"/>
                <w:i w:val="0"/>
                <w:sz w:val="21"/>
              </w:rPr>
              <w:t>PyTorch</w:t>
            </w:r>
          </w:p>
        </w:tc>
        <w:tc>
          <w:tcPr>
            <w:tcW w:type="dxa" w:w="3969"/>
          </w:tcPr>
          <w:p>
            <w:r/>
            <w:r>
              <w:rPr>
                <w:rFonts w:ascii="Times New Roman" w:hAnsi="Times New Roman" w:eastAsia="宋体"/>
                <w:b w:val="0"/>
                <w:i w:val="0"/>
                <w:sz w:val="21"/>
              </w:rPr>
              <w:t>张量计算与自动微分引擎</w:t>
            </w:r>
          </w:p>
        </w:tc>
      </w:tr>
      <w:tr>
        <w:tc>
          <w:tcPr>
            <w:tcW w:type="dxa" w:w="1701"/>
          </w:tcPr>
          <w:p>
            <w:r/>
            <w:r>
              <w:rPr>
                <w:rFonts w:ascii="Times New Roman" w:hAnsi="Times New Roman" w:eastAsia="宋体"/>
                <w:b w:val="0"/>
                <w:i w:val="0"/>
                <w:sz w:val="21"/>
              </w:rPr>
              <w:t>图神经网络</w:t>
            </w:r>
          </w:p>
        </w:tc>
        <w:tc>
          <w:tcPr>
            <w:tcW w:type="dxa" w:w="2835"/>
          </w:tcPr>
          <w:p>
            <w:r/>
            <w:r>
              <w:rPr>
                <w:rFonts w:ascii="Times New Roman" w:hAnsi="Times New Roman" w:eastAsia="宋体"/>
                <w:b w:val="0"/>
                <w:i w:val="0"/>
                <w:sz w:val="21"/>
              </w:rPr>
              <w:t>PyTorch Geometric</w:t>
            </w:r>
          </w:p>
        </w:tc>
        <w:tc>
          <w:tcPr>
            <w:tcW w:type="dxa" w:w="3969"/>
          </w:tcPr>
          <w:p>
            <w:r/>
            <w:r>
              <w:rPr>
                <w:rFonts w:ascii="Times New Roman" w:hAnsi="Times New Roman" w:eastAsia="宋体"/>
                <w:b w:val="0"/>
                <w:i w:val="0"/>
                <w:sz w:val="21"/>
              </w:rPr>
              <w:t>GCNConv、global_mean_pool、DataLoader</w:t>
            </w:r>
          </w:p>
        </w:tc>
      </w:tr>
      <w:tr>
        <w:tc>
          <w:tcPr>
            <w:tcW w:type="dxa" w:w="1701"/>
          </w:tcPr>
          <w:p>
            <w:r/>
            <w:r>
              <w:rPr>
                <w:rFonts w:ascii="Times New Roman" w:hAnsi="Times New Roman" w:eastAsia="宋体"/>
                <w:b w:val="0"/>
                <w:i w:val="0"/>
                <w:sz w:val="21"/>
              </w:rPr>
              <w:t>生成模型</w:t>
            </w:r>
          </w:p>
        </w:tc>
        <w:tc>
          <w:tcPr>
            <w:tcW w:type="dxa" w:w="2835"/>
          </w:tcPr>
          <w:p>
            <w:r/>
            <w:r>
              <w:rPr>
                <w:rFonts w:ascii="Times New Roman" w:hAnsi="Times New Roman" w:eastAsia="宋体"/>
                <w:b w:val="0"/>
                <w:i w:val="0"/>
                <w:sz w:val="21"/>
              </w:rPr>
              <w:t>Graph VAE</w:t>
            </w:r>
          </w:p>
        </w:tc>
        <w:tc>
          <w:tcPr>
            <w:tcW w:type="dxa" w:w="3969"/>
          </w:tcPr>
          <w:p>
            <w:r/>
            <w:r>
              <w:rPr>
                <w:rFonts w:ascii="Times New Roman" w:hAnsi="Times New Roman" w:eastAsia="宋体"/>
                <w:b w:val="0"/>
                <w:i w:val="0"/>
                <w:sz w:val="21"/>
              </w:rPr>
              <w:t>重参数化技巧、KL 退火策略</w:t>
            </w:r>
          </w:p>
        </w:tc>
      </w:tr>
      <w:tr>
        <w:tc>
          <w:tcPr>
            <w:tcW w:type="dxa" w:w="1701"/>
          </w:tcPr>
          <w:p>
            <w:r/>
            <w:r>
              <w:rPr>
                <w:rFonts w:ascii="Times New Roman" w:hAnsi="Times New Roman" w:eastAsia="宋体"/>
                <w:b w:val="0"/>
                <w:i w:val="0"/>
                <w:sz w:val="21"/>
              </w:rPr>
              <w:t>化学信息学</w:t>
            </w:r>
          </w:p>
        </w:tc>
        <w:tc>
          <w:tcPr>
            <w:tcW w:type="dxa" w:w="2835"/>
          </w:tcPr>
          <w:p>
            <w:r/>
            <w:r>
              <w:rPr>
                <w:rFonts w:ascii="Times New Roman" w:hAnsi="Times New Roman" w:eastAsia="宋体"/>
                <w:b w:val="0"/>
                <w:i w:val="0"/>
                <w:sz w:val="21"/>
              </w:rPr>
              <w:t>RDKit</w:t>
            </w:r>
          </w:p>
        </w:tc>
        <w:tc>
          <w:tcPr>
            <w:tcW w:type="dxa" w:w="3969"/>
          </w:tcPr>
          <w:p>
            <w:r/>
            <w:r>
              <w:rPr>
                <w:rFonts w:ascii="Times New Roman" w:hAnsi="Times New Roman" w:eastAsia="宋体"/>
                <w:b w:val="0"/>
                <w:i w:val="0"/>
                <w:sz w:val="21"/>
              </w:rPr>
              <w:t>SMILES 解析、性质计算、骨架提取、指纹相似度、ADMET</w:t>
            </w:r>
          </w:p>
        </w:tc>
      </w:tr>
      <w:tr>
        <w:tc>
          <w:tcPr>
            <w:tcW w:type="dxa" w:w="1701"/>
          </w:tcPr>
          <w:p>
            <w:r/>
            <w:r>
              <w:rPr>
                <w:rFonts w:ascii="Times New Roman" w:hAnsi="Times New Roman" w:eastAsia="宋体"/>
                <w:b w:val="0"/>
                <w:i w:val="0"/>
                <w:sz w:val="21"/>
              </w:rPr>
              <w:t>Web 后端</w:t>
            </w:r>
          </w:p>
        </w:tc>
        <w:tc>
          <w:tcPr>
            <w:tcW w:type="dxa" w:w="2835"/>
          </w:tcPr>
          <w:p>
            <w:r/>
            <w:r>
              <w:rPr>
                <w:rFonts w:ascii="Times New Roman" w:hAnsi="Times New Roman" w:eastAsia="宋体"/>
                <w:b w:val="0"/>
                <w:i w:val="0"/>
                <w:sz w:val="21"/>
              </w:rPr>
              <w:t>Flask</w:t>
            </w:r>
          </w:p>
        </w:tc>
        <w:tc>
          <w:tcPr>
            <w:tcW w:type="dxa" w:w="3969"/>
          </w:tcPr>
          <w:p>
            <w:r/>
            <w:r>
              <w:rPr>
                <w:rFonts w:ascii="Times New Roman" w:hAnsi="Times New Roman" w:eastAsia="宋体"/>
                <w:b w:val="0"/>
                <w:i w:val="0"/>
                <w:sz w:val="21"/>
              </w:rPr>
              <w:t>RESTful API、多线程异步任务</w:t>
            </w:r>
          </w:p>
        </w:tc>
      </w:tr>
      <w:tr>
        <w:tc>
          <w:tcPr>
            <w:tcW w:type="dxa" w:w="1701"/>
          </w:tcPr>
          <w:p>
            <w:r/>
            <w:r>
              <w:rPr>
                <w:rFonts w:ascii="Times New Roman" w:hAnsi="Times New Roman" w:eastAsia="宋体"/>
                <w:b w:val="0"/>
                <w:i w:val="0"/>
                <w:sz w:val="21"/>
              </w:rPr>
              <w:t>Web 前端</w:t>
            </w:r>
          </w:p>
        </w:tc>
        <w:tc>
          <w:tcPr>
            <w:tcW w:type="dxa" w:w="2835"/>
          </w:tcPr>
          <w:p>
            <w:r/>
            <w:r>
              <w:rPr>
                <w:rFonts w:ascii="Times New Roman" w:hAnsi="Times New Roman" w:eastAsia="宋体"/>
                <w:b w:val="0"/>
                <w:i w:val="0"/>
                <w:sz w:val="21"/>
              </w:rPr>
              <w:t>HTML5 + CSS3 + JavaScript + Bootstrap 5</w:t>
            </w:r>
          </w:p>
        </w:tc>
        <w:tc>
          <w:tcPr>
            <w:tcW w:type="dxa" w:w="3969"/>
          </w:tcPr>
          <w:p>
            <w:r/>
            <w:r>
              <w:rPr>
                <w:rFonts w:ascii="Times New Roman" w:hAnsi="Times New Roman" w:eastAsia="宋体"/>
                <w:b w:val="0"/>
                <w:i w:val="0"/>
                <w:sz w:val="21"/>
              </w:rPr>
              <w:t>响应式交互界面</w:t>
            </w:r>
          </w:p>
        </w:tc>
      </w:tr>
      <w:tr>
        <w:tc>
          <w:tcPr>
            <w:tcW w:type="dxa" w:w="1701"/>
          </w:tcPr>
          <w:p>
            <w:r/>
            <w:r>
              <w:rPr>
                <w:rFonts w:ascii="Times New Roman" w:hAnsi="Times New Roman" w:eastAsia="宋体"/>
                <w:b w:val="0"/>
                <w:i w:val="0"/>
                <w:sz w:val="21"/>
              </w:rPr>
              <w:t>数据格式</w:t>
            </w:r>
          </w:p>
        </w:tc>
        <w:tc>
          <w:tcPr>
            <w:tcW w:type="dxa" w:w="2835"/>
          </w:tcPr>
          <w:p>
            <w:r/>
            <w:r>
              <w:rPr>
                <w:rFonts w:ascii="Times New Roman" w:hAnsi="Times New Roman" w:eastAsia="宋体"/>
                <w:b w:val="0"/>
                <w:i w:val="0"/>
                <w:sz w:val="21"/>
              </w:rPr>
              <w:t>SMILES (.smi)、PyTorch (.pth)</w:t>
            </w:r>
          </w:p>
        </w:tc>
        <w:tc>
          <w:tcPr>
            <w:tcW w:type="dxa" w:w="3969"/>
          </w:tcPr>
          <w:p>
            <w:r/>
            <w:r>
              <w:rPr>
                <w:rFonts w:ascii="Times New Roman" w:hAnsi="Times New Roman" w:eastAsia="宋体"/>
                <w:b w:val="0"/>
                <w:i w:val="0"/>
                <w:sz w:val="21"/>
              </w:rPr>
              <w:t>分子数据与模型文件</w:t>
            </w:r>
          </w:p>
        </w:tc>
      </w:tr>
    </w:tbl>
    <w:p>
      <w:pPr>
        <w:spacing w:line="240" w:lineRule="auto" w:before="0" w:after="0"/>
      </w:pPr>
    </w:p>
    <w:p>
      <w:pPr>
        <w:spacing w:line="360" w:lineRule="auto" w:before="0" w:after="0"/>
        <w:ind w:firstLine="420"/>
      </w:pPr>
      <w:r>
        <w:rPr>
          <w:rFonts w:ascii="Times New Roman" w:hAnsi="Times New Roman" w:eastAsia="宋体"/>
          <w:b w:val="0"/>
          <w:i w:val="0"/>
          <w:sz w:val="24"/>
        </w:rPr>
        <w:t>在计算设备方面，系统通过 PyTorch 的设备检测接口自动选择 CUDA GPU 或 CPU 进行计算。当可用的 NVIDIA GPU 被检测到时，模型训练和推理将自动迁移至 GPU 执行以获得加速效果；否则系统将自动回退至 CPU 计算，确保在不同硬件环境下均可正常运行。</w:t>
      </w:r>
    </w:p>
    <w:p>
      <w:pPr>
        <w:spacing w:line="360" w:lineRule="auto" w:before="0" w:after="0"/>
        <w:ind w:firstLine="420"/>
      </w:pPr>
      <w:r>
        <w:rPr>
          <w:rFonts w:ascii="Times New Roman" w:hAnsi="Times New Roman" w:eastAsia="宋体"/>
          <w:b w:val="0"/>
          <w:i w:val="0"/>
          <w:sz w:val="24"/>
        </w:rPr>
        <w:t>在文件组织方面，系统采用扁平化的模块划分策略，核心代码文件包括：config.py（全局配置）、model.py（模型定义）、molecule_processor.py（数据预处理）、train.py（训练逻辑）、reconstruct.py（解码与评估）、app.py（Flask Web 服务），前端文件存放在 templates/ 和 static/ 目录下。这种组织方式使得各模块职责明确，代码易于理解和维护。</w:t>
      </w:r>
    </w:p>
    <w:p>
      <w:pPr>
        <w:spacing w:line="360" w:lineRule="auto" w:before="120" w:after="120"/>
      </w:pPr>
      <w:r>
        <w:rPr>
          <w:rFonts w:ascii="Times New Roman" w:hAnsi="Times New Roman" w:eastAsia="黑体"/>
          <w:b/>
          <w:i w:val="0"/>
          <w:sz w:val="28"/>
        </w:rPr>
        <w:t>3.3 本章小结</w:t>
      </w:r>
    </w:p>
    <w:p>
      <w:pPr>
        <w:spacing w:line="360" w:lineRule="auto" w:before="0" w:after="0"/>
        <w:ind w:firstLine="420"/>
      </w:pPr>
      <w:r>
        <w:rPr>
          <w:rFonts w:ascii="Times New Roman" w:hAnsi="Times New Roman" w:eastAsia="宋体"/>
          <w:b w:val="0"/>
          <w:i w:val="0"/>
          <w:sz w:val="24"/>
        </w:rPr>
        <w:t>本章从需求分析和架构设计两个维度对系统进行了系统性设计。在需求分析方面，明确了模型训练、性质导向分子生成和骨架跃迁优化三大核心功能需求，以及性能、可靠性、可扩展性和易用性四项非功能性需求。在架构设计方面，采用了 B/S 三层架构，确定了以 Flask + PyTorch + PyTorch Geometric + RDKit 为核心的技术栈。本章的设计方案为后续系统的具体实现提供了明确的指导和依据。</w:t>
      </w:r>
    </w:p>
    <w:p>
      <w:r>
        <w:br w:type="page"/>
      </w:r>
    </w:p>
    <w:p>
      <w:pPr>
        <w:spacing w:line="360" w:lineRule="auto" w:before="240" w:after="240"/>
        <w:jc w:val="center"/>
      </w:pPr>
      <w:r>
        <w:rPr>
          <w:rFonts w:ascii="Times New Roman" w:hAnsi="Times New Roman" w:eastAsia="黑体"/>
          <w:b/>
          <w:i w:val="0"/>
          <w:sz w:val="32"/>
        </w:rPr>
        <w:t>第4章 系统实现</w:t>
      </w:r>
    </w:p>
    <w:p>
      <w:pPr>
        <w:spacing w:line="360" w:lineRule="auto" w:before="120" w:after="120"/>
      </w:pPr>
      <w:r>
        <w:rPr>
          <w:rFonts w:ascii="Times New Roman" w:hAnsi="Times New Roman" w:eastAsia="黑体"/>
          <w:b/>
          <w:i w:val="0"/>
          <w:sz w:val="28"/>
        </w:rPr>
        <w:t>4.1 核心算法与模块实现</w:t>
      </w:r>
    </w:p>
    <w:p>
      <w:pPr>
        <w:spacing w:line="360" w:lineRule="auto" w:before="60" w:after="60"/>
      </w:pPr>
      <w:r>
        <w:rPr>
          <w:rFonts w:ascii="Times New Roman" w:hAnsi="Times New Roman" w:eastAsia="黑体"/>
          <w:b/>
          <w:i w:val="0"/>
          <w:sz w:val="24"/>
        </w:rPr>
        <w:t>4.1.1 数据预处理模块</w:t>
      </w:r>
    </w:p>
    <w:p>
      <w:pPr>
        <w:spacing w:line="360" w:lineRule="auto" w:before="0" w:after="0"/>
        <w:ind w:firstLine="420"/>
      </w:pPr>
      <w:r>
        <w:rPr>
          <w:rFonts w:ascii="Times New Roman" w:hAnsi="Times New Roman" w:eastAsia="宋体"/>
          <w:b w:val="0"/>
          <w:i w:val="0"/>
          <w:sz w:val="24"/>
        </w:rPr>
        <w:t>数据预处理模块（molecule_processor.py）负责将 SMILES 字符串转换为 PyTorch Geometric 的 Data 对象，作为图变分自编码器的输入。该模块的核心是 smiles_to_graph 函数，其处理流程如下：</w:t>
      </w:r>
    </w:p>
    <w:p>
      <w:pPr>
        <w:spacing w:line="360" w:lineRule="auto" w:before="0" w:after="0"/>
        <w:ind w:firstLine="420"/>
      </w:pPr>
      <w:r>
        <w:rPr>
          <w:rFonts w:ascii="Times New Roman" w:hAnsi="Times New Roman" w:eastAsia="宋体"/>
          <w:b w:val="0"/>
          <w:i w:val="0"/>
          <w:sz w:val="24"/>
        </w:rPr>
        <w:t>第一步，SMILES 解析与过滤。使用 RDKit 的 Chem.MolFromSmiles 函数将 SMILES 字符串解析为分子对象（Mol）。解析失败则返回 None。随后对分子进行原子类型过滤，系统仅支持碳（C）、氮（N）、氧（O）、氟（F）、硫（S）、氯（Cl）六种原子类型，含有其他原子类型的分子将被过滤。此外，原子数超过 50 的大分子也将被过滤，以控制计算复杂度。</w:t>
      </w:r>
    </w:p>
    <w:p>
      <w:pPr>
        <w:spacing w:line="360" w:lineRule="auto" w:before="0" w:after="0"/>
        <w:ind w:firstLine="420"/>
      </w:pPr>
      <w:r>
        <w:rPr>
          <w:rFonts w:ascii="Times New Roman" w:hAnsi="Times New Roman" w:eastAsia="宋体"/>
          <w:b w:val="0"/>
          <w:i w:val="0"/>
          <w:sz w:val="24"/>
        </w:rPr>
        <w:t>第二步，节点特征构建。遍历分子中的所有原子，通过预定义的 ATOM_TO_IDX 映射字典（C→0, N→1, O→2, F→3, S→4, Cl→5）将原子序数转换为类型索引，构成节点特征矩阵 x，形状为 [N, 1]，其中 N 为原子数。</w:t>
      </w:r>
    </w:p>
    <w:p>
      <w:pPr>
        <w:spacing w:line="360" w:lineRule="auto" w:before="0" w:after="0"/>
        <w:ind w:firstLine="420"/>
      </w:pPr>
      <w:r>
        <w:rPr>
          <w:rFonts w:ascii="Times New Roman" w:hAnsi="Times New Roman" w:eastAsia="宋体"/>
          <w:b w:val="0"/>
          <w:i w:val="0"/>
          <w:sz w:val="24"/>
        </w:rPr>
        <w:t>第三步，边信息构建。遍历分子中的所有化学键，对每条键构造双向边索引和边属性。边属性用整数编码键类型：单键=1、双键=2、三键=3、芳香键=4。最终构成边索引矩阵 edge_index（形状为 [2, E]，E 为边数）和边属性向量 edge_attr（形状为 [E]）。</w:t>
      </w:r>
    </w:p>
    <w:p>
      <w:pPr>
        <w:spacing w:line="360" w:lineRule="auto" w:before="0" w:after="0"/>
        <w:ind w:firstLine="420"/>
      </w:pPr>
      <w:r>
        <w:rPr>
          <w:rFonts w:ascii="Times New Roman" w:hAnsi="Times New Roman" w:eastAsia="宋体"/>
          <w:b w:val="0"/>
          <w:i w:val="0"/>
          <w:sz w:val="24"/>
        </w:rPr>
        <w:t>第四步，分子性质标签计算。利用 RDKit 的分子描述符计算功能，为每个分子计算 10 维性质向量作为训练标签。具体包括：</w:t>
      </w:r>
    </w:p>
    <w:tbl>
      <w:tblPr>
        <w:tblStyle w:val="TableGrid"/>
        <w:tblW w:type="auto" w:w="0"/>
        <w:jc w:val="center"/>
        <w:tblLook w:firstColumn="1" w:firstRow="1" w:lastColumn="0" w:lastRow="0" w:noHBand="0" w:noVBand="1" w:val="04A0"/>
      </w:tblPr>
      <w:tblGrid>
        <w:gridCol w:w="3024"/>
        <w:gridCol w:w="3024"/>
        <w:gridCol w:w="3024"/>
      </w:tblGrid>
      <w:tr>
        <w:tc>
          <w:tcPr>
            <w:tcW w:type="dxa" w:w="850"/>
          </w:tcPr>
          <w:p>
            <w:pPr>
              <w:jc w:val="center"/>
            </w:pPr>
            <w:r/>
            <w:r>
              <w:rPr>
                <w:rFonts w:ascii="Times New Roman" w:hAnsi="Times New Roman" w:eastAsia="黑体"/>
                <w:b/>
                <w:i w:val="0"/>
                <w:sz w:val="21"/>
              </w:rPr>
              <w:t>索引</w:t>
            </w:r>
          </w:p>
        </w:tc>
        <w:tc>
          <w:tcPr>
            <w:tcW w:type="dxa" w:w="1984"/>
          </w:tcPr>
          <w:p>
            <w:pPr>
              <w:jc w:val="center"/>
            </w:pPr>
            <w:r/>
            <w:r>
              <w:rPr>
                <w:rFonts w:ascii="Times New Roman" w:hAnsi="Times New Roman" w:eastAsia="黑体"/>
                <w:b/>
                <w:i w:val="0"/>
                <w:sz w:val="21"/>
              </w:rPr>
              <w:t>性质名称</w:t>
            </w:r>
          </w:p>
        </w:tc>
        <w:tc>
          <w:tcPr>
            <w:tcW w:type="dxa" w:w="3969"/>
          </w:tcPr>
          <w:p>
            <w:pPr>
              <w:jc w:val="center"/>
            </w:pPr>
            <w:r/>
            <w:r>
              <w:rPr>
                <w:rFonts w:ascii="Times New Roman" w:hAnsi="Times New Roman" w:eastAsia="黑体"/>
                <w:b/>
                <w:i w:val="0"/>
                <w:sz w:val="21"/>
              </w:rPr>
              <w:t>计算方法</w:t>
            </w:r>
          </w:p>
        </w:tc>
      </w:tr>
      <w:tr>
        <w:tc>
          <w:tcPr>
            <w:tcW w:type="dxa" w:w="850"/>
          </w:tcPr>
          <w:p>
            <w:r/>
            <w:r>
              <w:rPr>
                <w:rFonts w:ascii="Times New Roman" w:hAnsi="Times New Roman" w:eastAsia="宋体"/>
                <w:b w:val="0"/>
                <w:i w:val="0"/>
                <w:sz w:val="21"/>
              </w:rPr>
              <w:t>0</w:t>
            </w:r>
          </w:p>
        </w:tc>
        <w:tc>
          <w:tcPr>
            <w:tcW w:type="dxa" w:w="1984"/>
          </w:tcPr>
          <w:p>
            <w:r/>
            <w:r>
              <w:rPr>
                <w:rFonts w:ascii="Times New Roman" w:hAnsi="Times New Roman" w:eastAsia="宋体"/>
                <w:b w:val="0"/>
                <w:i w:val="0"/>
                <w:sz w:val="21"/>
              </w:rPr>
              <w:t>QED</w:t>
            </w:r>
          </w:p>
        </w:tc>
        <w:tc>
          <w:tcPr>
            <w:tcW w:type="dxa" w:w="3969"/>
          </w:tcPr>
          <w:p>
            <w:r/>
            <w:r>
              <w:rPr>
                <w:rFonts w:ascii="Times New Roman" w:hAnsi="Times New Roman" w:eastAsia="宋体"/>
                <w:b w:val="0"/>
                <w:i w:val="0"/>
                <w:sz w:val="21"/>
              </w:rPr>
              <w:t>RDKit QED.qed()</w:t>
            </w:r>
          </w:p>
        </w:tc>
      </w:tr>
      <w:tr>
        <w:tc>
          <w:tcPr>
            <w:tcW w:type="dxa" w:w="850"/>
          </w:tcPr>
          <w:p>
            <w:r/>
            <w:r>
              <w:rPr>
                <w:rFonts w:ascii="Times New Roman" w:hAnsi="Times New Roman" w:eastAsia="宋体"/>
                <w:b w:val="0"/>
                <w:i w:val="0"/>
                <w:sz w:val="21"/>
              </w:rPr>
              <w:t>1</w:t>
            </w:r>
          </w:p>
        </w:tc>
        <w:tc>
          <w:tcPr>
            <w:tcW w:type="dxa" w:w="1984"/>
          </w:tcPr>
          <w:p>
            <w:r/>
            <w:r>
              <w:rPr>
                <w:rFonts w:ascii="Times New Roman" w:hAnsi="Times New Roman" w:eastAsia="宋体"/>
                <w:b w:val="0"/>
                <w:i w:val="0"/>
                <w:sz w:val="21"/>
              </w:rPr>
              <w:t>LogP</w:t>
            </w:r>
          </w:p>
        </w:tc>
        <w:tc>
          <w:tcPr>
            <w:tcW w:type="dxa" w:w="3969"/>
          </w:tcPr>
          <w:p>
            <w:r/>
            <w:r>
              <w:rPr>
                <w:rFonts w:ascii="Times New Roman" w:hAnsi="Times New Roman" w:eastAsia="宋体"/>
                <w:b w:val="0"/>
                <w:i w:val="0"/>
                <w:sz w:val="21"/>
              </w:rPr>
              <w:t>RDKit Descriptors.MolLogP()</w:t>
            </w:r>
          </w:p>
        </w:tc>
      </w:tr>
      <w:tr>
        <w:tc>
          <w:tcPr>
            <w:tcW w:type="dxa" w:w="850"/>
          </w:tcPr>
          <w:p>
            <w:r/>
            <w:r>
              <w:rPr>
                <w:rFonts w:ascii="Times New Roman" w:hAnsi="Times New Roman" w:eastAsia="宋体"/>
                <w:b w:val="0"/>
                <w:i w:val="0"/>
                <w:sz w:val="21"/>
              </w:rPr>
              <w:t>2</w:t>
            </w:r>
          </w:p>
        </w:tc>
        <w:tc>
          <w:tcPr>
            <w:tcW w:type="dxa" w:w="1984"/>
          </w:tcPr>
          <w:p>
            <w:r/>
            <w:r>
              <w:rPr>
                <w:rFonts w:ascii="Times New Roman" w:hAnsi="Times New Roman" w:eastAsia="宋体"/>
                <w:b w:val="0"/>
                <w:i w:val="0"/>
                <w:sz w:val="21"/>
              </w:rPr>
              <w:t>重原子数</w:t>
            </w:r>
          </w:p>
        </w:tc>
        <w:tc>
          <w:tcPr>
            <w:tcW w:type="dxa" w:w="3969"/>
          </w:tcPr>
          <w:p>
            <w:r/>
            <w:r>
              <w:rPr>
                <w:rFonts w:ascii="Times New Roman" w:hAnsi="Times New Roman" w:eastAsia="宋体"/>
                <w:b w:val="0"/>
                <w:i w:val="0"/>
                <w:sz w:val="21"/>
              </w:rPr>
              <w:t>mol.GetNumHeavyAtoms()</w:t>
            </w:r>
          </w:p>
        </w:tc>
      </w:tr>
      <w:tr>
        <w:tc>
          <w:tcPr>
            <w:tcW w:type="dxa" w:w="850"/>
          </w:tcPr>
          <w:p>
            <w:r/>
            <w:r>
              <w:rPr>
                <w:rFonts w:ascii="Times New Roman" w:hAnsi="Times New Roman" w:eastAsia="宋体"/>
                <w:b w:val="0"/>
                <w:i w:val="0"/>
                <w:sz w:val="21"/>
              </w:rPr>
              <w:t>3</w:t>
            </w:r>
          </w:p>
        </w:tc>
        <w:tc>
          <w:tcPr>
            <w:tcW w:type="dxa" w:w="1984"/>
          </w:tcPr>
          <w:p>
            <w:r/>
            <w:r>
              <w:rPr>
                <w:rFonts w:ascii="Times New Roman" w:hAnsi="Times New Roman" w:eastAsia="宋体"/>
                <w:b w:val="0"/>
                <w:i w:val="0"/>
                <w:sz w:val="21"/>
              </w:rPr>
              <w:t>环数</w:t>
            </w:r>
          </w:p>
        </w:tc>
        <w:tc>
          <w:tcPr>
            <w:tcW w:type="dxa" w:w="3969"/>
          </w:tcPr>
          <w:p>
            <w:r/>
            <w:r>
              <w:rPr>
                <w:rFonts w:ascii="Times New Roman" w:hAnsi="Times New Roman" w:eastAsia="宋体"/>
                <w:b w:val="0"/>
                <w:i w:val="0"/>
                <w:sz w:val="21"/>
              </w:rPr>
              <w:t>RDKit Descriptors.RingCount()</w:t>
            </w:r>
          </w:p>
        </w:tc>
      </w:tr>
      <w:tr>
        <w:tc>
          <w:tcPr>
            <w:tcW w:type="dxa" w:w="850"/>
          </w:tcPr>
          <w:p>
            <w:r/>
            <w:r>
              <w:rPr>
                <w:rFonts w:ascii="Times New Roman" w:hAnsi="Times New Roman" w:eastAsia="宋体"/>
                <w:b w:val="0"/>
                <w:i w:val="0"/>
                <w:sz w:val="21"/>
              </w:rPr>
              <w:t>4</w:t>
            </w:r>
          </w:p>
        </w:tc>
        <w:tc>
          <w:tcPr>
            <w:tcW w:type="dxa" w:w="1984"/>
          </w:tcPr>
          <w:p>
            <w:r/>
            <w:r>
              <w:rPr>
                <w:rFonts w:ascii="Times New Roman" w:hAnsi="Times New Roman" w:eastAsia="宋体"/>
                <w:b w:val="0"/>
                <w:i w:val="0"/>
                <w:sz w:val="21"/>
              </w:rPr>
              <w:t>分子量</w:t>
            </w:r>
          </w:p>
        </w:tc>
        <w:tc>
          <w:tcPr>
            <w:tcW w:type="dxa" w:w="3969"/>
          </w:tcPr>
          <w:p>
            <w:r/>
            <w:r>
              <w:rPr>
                <w:rFonts w:ascii="Times New Roman" w:hAnsi="Times New Roman" w:eastAsia="宋体"/>
                <w:b w:val="0"/>
                <w:i w:val="0"/>
                <w:sz w:val="21"/>
              </w:rPr>
              <w:t>RDKit Descriptors.MolWt()</w:t>
            </w:r>
          </w:p>
        </w:tc>
      </w:tr>
      <w:tr>
        <w:tc>
          <w:tcPr>
            <w:tcW w:type="dxa" w:w="850"/>
          </w:tcPr>
          <w:p>
            <w:r/>
            <w:r>
              <w:rPr>
                <w:rFonts w:ascii="Times New Roman" w:hAnsi="Times New Roman" w:eastAsia="宋体"/>
                <w:b w:val="0"/>
                <w:i w:val="0"/>
                <w:sz w:val="21"/>
              </w:rPr>
              <w:t>5</w:t>
            </w:r>
          </w:p>
        </w:tc>
        <w:tc>
          <w:tcPr>
            <w:tcW w:type="dxa" w:w="1984"/>
          </w:tcPr>
          <w:p>
            <w:r/>
            <w:r>
              <w:rPr>
                <w:rFonts w:ascii="Times New Roman" w:hAnsi="Times New Roman" w:eastAsia="宋体"/>
                <w:b w:val="0"/>
                <w:i w:val="0"/>
                <w:sz w:val="21"/>
              </w:rPr>
              <w:t>氢键供体数</w:t>
            </w:r>
          </w:p>
        </w:tc>
        <w:tc>
          <w:tcPr>
            <w:tcW w:type="dxa" w:w="3969"/>
          </w:tcPr>
          <w:p>
            <w:r/>
            <w:r>
              <w:rPr>
                <w:rFonts w:ascii="Times New Roman" w:hAnsi="Times New Roman" w:eastAsia="宋体"/>
                <w:b w:val="0"/>
                <w:i w:val="0"/>
                <w:sz w:val="21"/>
              </w:rPr>
              <w:t>RDKit Descriptors.NumHDonors()</w:t>
            </w:r>
          </w:p>
        </w:tc>
      </w:tr>
      <w:tr>
        <w:tc>
          <w:tcPr>
            <w:tcW w:type="dxa" w:w="850"/>
          </w:tcPr>
          <w:p>
            <w:r/>
            <w:r>
              <w:rPr>
                <w:rFonts w:ascii="Times New Roman" w:hAnsi="Times New Roman" w:eastAsia="宋体"/>
                <w:b w:val="0"/>
                <w:i w:val="0"/>
                <w:sz w:val="21"/>
              </w:rPr>
              <w:t>6</w:t>
            </w:r>
          </w:p>
        </w:tc>
        <w:tc>
          <w:tcPr>
            <w:tcW w:type="dxa" w:w="1984"/>
          </w:tcPr>
          <w:p>
            <w:r/>
            <w:r>
              <w:rPr>
                <w:rFonts w:ascii="Times New Roman" w:hAnsi="Times New Roman" w:eastAsia="宋体"/>
                <w:b w:val="0"/>
                <w:i w:val="0"/>
                <w:sz w:val="21"/>
              </w:rPr>
              <w:t>氢键受体数</w:t>
            </w:r>
          </w:p>
        </w:tc>
        <w:tc>
          <w:tcPr>
            <w:tcW w:type="dxa" w:w="3969"/>
          </w:tcPr>
          <w:p>
            <w:r/>
            <w:r>
              <w:rPr>
                <w:rFonts w:ascii="Times New Roman" w:hAnsi="Times New Roman" w:eastAsia="宋体"/>
                <w:b w:val="0"/>
                <w:i w:val="0"/>
                <w:sz w:val="21"/>
              </w:rPr>
              <w:t>RDKit Descriptors.NumHAcceptors()</w:t>
            </w:r>
          </w:p>
        </w:tc>
      </w:tr>
      <w:tr>
        <w:tc>
          <w:tcPr>
            <w:tcW w:type="dxa" w:w="850"/>
          </w:tcPr>
          <w:p>
            <w:r/>
            <w:r>
              <w:rPr>
                <w:rFonts w:ascii="Times New Roman" w:hAnsi="Times New Roman" w:eastAsia="宋体"/>
                <w:b w:val="0"/>
                <w:i w:val="0"/>
                <w:sz w:val="21"/>
              </w:rPr>
              <w:t>7</w:t>
            </w:r>
          </w:p>
        </w:tc>
        <w:tc>
          <w:tcPr>
            <w:tcW w:type="dxa" w:w="1984"/>
          </w:tcPr>
          <w:p>
            <w:r/>
            <w:r>
              <w:rPr>
                <w:rFonts w:ascii="Times New Roman" w:hAnsi="Times New Roman" w:eastAsia="宋体"/>
                <w:b w:val="0"/>
                <w:i w:val="0"/>
                <w:sz w:val="21"/>
              </w:rPr>
              <w:t>可旋转键数</w:t>
            </w:r>
          </w:p>
        </w:tc>
        <w:tc>
          <w:tcPr>
            <w:tcW w:type="dxa" w:w="3969"/>
          </w:tcPr>
          <w:p>
            <w:r/>
            <w:r>
              <w:rPr>
                <w:rFonts w:ascii="Times New Roman" w:hAnsi="Times New Roman" w:eastAsia="宋体"/>
                <w:b w:val="0"/>
                <w:i w:val="0"/>
                <w:sz w:val="21"/>
              </w:rPr>
              <w:t>rdMolDescriptors.CalcNumRotatableBonds()</w:t>
            </w:r>
          </w:p>
        </w:tc>
      </w:tr>
      <w:tr>
        <w:tc>
          <w:tcPr>
            <w:tcW w:type="dxa" w:w="850"/>
          </w:tcPr>
          <w:p>
            <w:r/>
            <w:r>
              <w:rPr>
                <w:rFonts w:ascii="Times New Roman" w:hAnsi="Times New Roman" w:eastAsia="宋体"/>
                <w:b w:val="0"/>
                <w:i w:val="0"/>
                <w:sz w:val="21"/>
              </w:rPr>
              <w:t>8</w:t>
            </w:r>
          </w:p>
        </w:tc>
        <w:tc>
          <w:tcPr>
            <w:tcW w:type="dxa" w:w="1984"/>
          </w:tcPr>
          <w:p>
            <w:r/>
            <w:r>
              <w:rPr>
                <w:rFonts w:ascii="Times New Roman" w:hAnsi="Times New Roman" w:eastAsia="宋体"/>
                <w:b w:val="0"/>
                <w:i w:val="0"/>
                <w:sz w:val="21"/>
              </w:rPr>
              <w:t>TPSA</w:t>
            </w:r>
          </w:p>
        </w:tc>
        <w:tc>
          <w:tcPr>
            <w:tcW w:type="dxa" w:w="3969"/>
          </w:tcPr>
          <w:p>
            <w:r/>
            <w:r>
              <w:rPr>
                <w:rFonts w:ascii="Times New Roman" w:hAnsi="Times New Roman" w:eastAsia="宋体"/>
                <w:b w:val="0"/>
                <w:i w:val="0"/>
                <w:sz w:val="21"/>
              </w:rPr>
              <w:t>rdMolDescriptors.CalcTPSA()</w:t>
            </w:r>
          </w:p>
        </w:tc>
      </w:tr>
      <w:tr>
        <w:tc>
          <w:tcPr>
            <w:tcW w:type="dxa" w:w="850"/>
          </w:tcPr>
          <w:p>
            <w:r/>
            <w:r>
              <w:rPr>
                <w:rFonts w:ascii="Times New Roman" w:hAnsi="Times New Roman" w:eastAsia="宋体"/>
                <w:b w:val="0"/>
                <w:i w:val="0"/>
                <w:sz w:val="21"/>
              </w:rPr>
              <w:t>9</w:t>
            </w:r>
          </w:p>
        </w:tc>
        <w:tc>
          <w:tcPr>
            <w:tcW w:type="dxa" w:w="1984"/>
          </w:tcPr>
          <w:p>
            <w:r/>
            <w:r>
              <w:rPr>
                <w:rFonts w:ascii="Times New Roman" w:hAnsi="Times New Roman" w:eastAsia="宋体"/>
                <w:b w:val="0"/>
                <w:i w:val="0"/>
                <w:sz w:val="21"/>
              </w:rPr>
              <w:t>SA Score</w:t>
            </w:r>
          </w:p>
        </w:tc>
        <w:tc>
          <w:tcPr>
            <w:tcW w:type="dxa" w:w="3969"/>
          </w:tcPr>
          <w:p>
            <w:r/>
            <w:r>
              <w:rPr>
                <w:rFonts w:ascii="Times New Roman" w:hAnsi="Times New Roman" w:eastAsia="宋体"/>
                <w:b w:val="0"/>
                <w:i w:val="0"/>
                <w:sz w:val="21"/>
              </w:rPr>
              <w:t>自定义 calculate_sa_score()</w:t>
            </w:r>
          </w:p>
        </w:tc>
      </w:tr>
    </w:tbl>
    <w:p>
      <w:pPr>
        <w:spacing w:line="240" w:lineRule="auto" w:before="0" w:after="0"/>
      </w:pPr>
    </w:p>
    <w:p>
      <w:pPr>
        <w:spacing w:line="360" w:lineRule="auto" w:before="0" w:after="0"/>
        <w:ind w:firstLine="420"/>
      </w:pPr>
      <w:r>
        <w:rPr>
          <w:rFonts w:ascii="Times New Roman" w:hAnsi="Times New Roman" w:eastAsia="宋体"/>
          <w:b w:val="0"/>
          <w:i w:val="0"/>
          <w:sz w:val="24"/>
        </w:rPr>
        <w:t>其中，SA Score 的计算采用简化版公式：SA = 1.0 + 0.1 × 环数 + 0.05 × 原子数 + 0.1 × 杂原子数，最大值截断为 10.0。该简化公式虽然不如 Ertl 等人的完整 SA Score 精确，但计算效率高，且能在一定程度上反映分子的合成复杂度。</w:t>
      </w:r>
    </w:p>
    <w:p>
      <w:pPr>
        <w:spacing w:line="360" w:lineRule="auto" w:before="120" w:after="60"/>
        <w:jc w:val="center"/>
      </w:pPr>
      <w:r>
        <w:rPr>
          <w:rFonts w:ascii="Times New Roman" w:hAnsi="Times New Roman" w:eastAsia="楷体"/>
          <w:b w:val="0"/>
          <w:i w:val="0"/>
          <w:color w:val="B40000"/>
          <w:sz w:val="24"/>
        </w:rPr>
        <w:t>[此处插入图 4-1  SMILES 到图数据的转换流程图]</w:t>
      </w:r>
    </w:p>
    <w:p>
      <w:pPr>
        <w:spacing w:line="360" w:lineRule="auto" w:before="0" w:after="120"/>
        <w:jc w:val="center"/>
      </w:pPr>
      <w:r>
        <w:rPr>
          <w:rFonts w:ascii="Times New Roman" w:hAnsi="Times New Roman" w:eastAsia="宋体"/>
          <w:b w:val="0"/>
          <w:i w:val="0"/>
          <w:sz w:val="21"/>
        </w:rPr>
        <w:t>图 4-1  SMILES 到图数据的转换流程图</w:t>
      </w:r>
    </w:p>
    <w:p>
      <w:pPr>
        <w:spacing w:line="360" w:lineRule="auto" w:before="0" w:after="0"/>
        <w:ind w:firstLine="420"/>
      </w:pPr>
      <w:r>
        <w:rPr>
          <w:rFonts w:ascii="Times New Roman" w:hAnsi="Times New Roman" w:eastAsia="宋体"/>
          <w:b w:val="0"/>
          <w:i w:val="0"/>
          <w:sz w:val="24"/>
        </w:rPr>
        <w:t>经过上述处理后，最终构建的 PyG Data 对象包含以下字段：x（节点特征）、edge_index（边索引）、edge_attr（边属性）、y（10 维性质标签）。该 Data 对象可直接用于 PyG 的 DataLoader 进行批量加载和训练。</w:t>
      </w:r>
    </w:p>
    <w:p>
      <w:pPr>
        <w:spacing w:line="360" w:lineRule="auto" w:before="60" w:after="60"/>
      </w:pPr>
      <w:r>
        <w:rPr>
          <w:rFonts w:ascii="Times New Roman" w:hAnsi="Times New Roman" w:eastAsia="黑体"/>
          <w:b/>
          <w:i w:val="0"/>
          <w:sz w:val="24"/>
        </w:rPr>
        <w:t>4.1.2 图变分自编码器模型</w:t>
      </w:r>
    </w:p>
    <w:p>
      <w:pPr>
        <w:spacing w:line="360" w:lineRule="auto" w:before="0" w:after="0"/>
        <w:ind w:firstLine="420"/>
      </w:pPr>
      <w:r>
        <w:rPr>
          <w:rFonts w:ascii="Times New Roman" w:hAnsi="Times New Roman" w:eastAsia="宋体"/>
          <w:b w:val="0"/>
          <w:i w:val="0"/>
          <w:sz w:val="24"/>
        </w:rPr>
        <w:t>图变分自编码器模型（model.py 中的 MoleculeVAE 类）是本系统的核心组件，包含编码器、解码器和属性预测器三个子网络。模型的默认配置为：隐藏层维度 64、潜在空间维度 32、最大节点数 20（可根据数据集自适应调整）。</w:t>
      </w:r>
    </w:p>
    <w:p>
      <w:pPr>
        <w:spacing w:line="360" w:lineRule="auto" w:before="0" w:after="0"/>
        <w:ind w:firstLine="420"/>
      </w:pPr>
      <w:r>
        <w:rPr>
          <w:rFonts w:ascii="Times New Roman" w:hAnsi="Times New Roman" w:eastAsia="宋体"/>
          <w:b w:val="0"/>
          <w:i w:val="0"/>
          <w:sz w:val="24"/>
        </w:rPr>
        <w:t>编码器的网络结构设计如下。首先通过 nn.Embedding 层将离散的原子类型索引（0~5 共 6 类）映射为 64 维的连续向量，将离散的原子类型信息转化为可学习的连续表示。随后，经过两层 GCNConv 图卷积操作。第一层 GCNConv 输入维度和输出维度均为 64，第二层 GCNConv 同样如此。两层图卷积之间使用 ReLU 激活函数。每层图卷积通过聚合邻居节点的信息更新当前节点的特征表示，两层堆叠使每个原子的最终表示包含了其两跳邻域内所有原子的信息。图卷积后，通过 PyG 提供的 global_mean_pool 函数进行全局平均池化，将变长的节点特征矩阵压缩为固定 64 维的图级别特征向量。最后，两个并列的全连接层 fc_mu 和 fc_logvar 分别输出潜在空间分布的均值 μ（32 维）和对数方差 log σ²（32 维）。</w:t>
      </w:r>
    </w:p>
    <w:p>
      <w:pPr>
        <w:spacing w:line="360" w:lineRule="auto" w:before="0" w:after="0"/>
        <w:ind w:firstLine="420"/>
      </w:pPr>
      <w:r>
        <w:rPr>
          <w:rFonts w:ascii="Times New Roman" w:hAnsi="Times New Roman" w:eastAsia="宋体"/>
          <w:b w:val="0"/>
          <w:i w:val="0"/>
          <w:sz w:val="24"/>
        </w:rPr>
        <w:t>解码器由两个独立的 MLP 网络组成，分别负责原子类型和化学键的重构。原子解码器 decoder_atoms 的结构为 Linear(32→128) → ReLU → Linear(128→max_nodes×6)，将 32 维潜在向量映射为 max_nodes×6 的矩阵，每行表示一个节点位置预测为 6 种原子类型的 logits。键解码器 decoder_edges 的结构为 Linear(32→128) → ReLU → Linear(128→max_nodes²×5)，将 32 维潜在向量映射为 max_nodes×max_nodes×5 的张量，预测每对节点之间为 5 种键类型（无键/单键/双键/三键/芳香键）的 logits。</w:t>
      </w:r>
    </w:p>
    <w:p>
      <w:pPr>
        <w:spacing w:line="360" w:lineRule="auto" w:before="0" w:after="0"/>
        <w:ind w:firstLine="420"/>
      </w:pPr>
      <w:r>
        <w:rPr>
          <w:rFonts w:ascii="Times New Roman" w:hAnsi="Times New Roman" w:eastAsia="宋体"/>
          <w:b w:val="0"/>
          <w:i w:val="0"/>
          <w:sz w:val="24"/>
        </w:rPr>
        <w:t>属性预测器的结构为 Linear(32→64) → ReLU → Linear(64→10)，从潜在向量 z 预测 10 维分子性质。属性预测器在训练阶段通过属性预测损失优化，使得潜在空间编码了丰富的分子性质信息。在生成阶段，属性预测器作为引导信号，用于在潜在空间中筛选更可能满足目标性质的采样点。这种"训练时联合优化、生成时引导采样"的设计，是本系统实现性质导向分子生成的关键技术之一。</w:t>
      </w:r>
    </w:p>
    <w:p>
      <w:pPr>
        <w:spacing w:line="360" w:lineRule="auto" w:before="120" w:after="60"/>
        <w:jc w:val="center"/>
      </w:pPr>
      <w:r>
        <w:rPr>
          <w:rFonts w:ascii="Times New Roman" w:hAnsi="Times New Roman" w:eastAsia="楷体"/>
          <w:b w:val="0"/>
          <w:i w:val="0"/>
          <w:color w:val="B40000"/>
          <w:sz w:val="24"/>
        </w:rPr>
        <w:t>[此处插入图 4-2  MoleculeVAE 模型结构示意图]</w:t>
      </w:r>
    </w:p>
    <w:p>
      <w:pPr>
        <w:spacing w:line="360" w:lineRule="auto" w:before="0" w:after="120"/>
        <w:jc w:val="center"/>
      </w:pPr>
      <w:r>
        <w:rPr>
          <w:rFonts w:ascii="Times New Roman" w:hAnsi="Times New Roman" w:eastAsia="宋体"/>
          <w:b w:val="0"/>
          <w:i w:val="0"/>
          <w:sz w:val="21"/>
        </w:rPr>
        <w:t>图 4-2  MoleculeVAE 模型结构示意图</w:t>
      </w:r>
    </w:p>
    <w:p>
      <w:pPr>
        <w:spacing w:line="360" w:lineRule="auto" w:before="0" w:after="0"/>
        <w:ind w:firstLine="420"/>
      </w:pPr>
      <w:r>
        <w:rPr>
          <w:rFonts w:ascii="Times New Roman" w:hAnsi="Times New Roman" w:eastAsia="宋体"/>
          <w:b w:val="0"/>
          <w:i w:val="0"/>
          <w:sz w:val="24"/>
        </w:rPr>
        <w:t>在前向传播过程中，模型首先调用 encode 方法获得潜在分布参数 μ 和 log σ²，然后通过重参数化技巧 z = μ + ε·σ（其中 ε ~ N(0, I)）采样获得潜在向量 z，最后分别调用 decoder_atoms、decoder_edges 和 predictor 获得原子 logits、键 logits 和性质预测值。模型的 forward 方法返回五元组：(atom_logits, edge_logits, mu, logvar, properties)。</w:t>
      </w:r>
    </w:p>
    <w:p>
      <w:pPr>
        <w:spacing w:line="360" w:lineRule="auto" w:before="60" w:after="60"/>
      </w:pPr>
      <w:r>
        <w:rPr>
          <w:rFonts w:ascii="Times New Roman" w:hAnsi="Times New Roman" w:eastAsia="黑体"/>
          <w:b/>
          <w:i w:val="0"/>
          <w:sz w:val="24"/>
        </w:rPr>
        <w:t>4.1.3 模型训练模块</w:t>
      </w:r>
    </w:p>
    <w:p>
      <w:pPr>
        <w:spacing w:line="360" w:lineRule="auto" w:before="0" w:after="0"/>
        <w:ind w:firstLine="420"/>
      </w:pPr>
      <w:r>
        <w:rPr>
          <w:rFonts w:ascii="Times New Roman" w:hAnsi="Times New Roman" w:eastAsia="宋体"/>
          <w:b w:val="0"/>
          <w:i w:val="0"/>
          <w:sz w:val="24"/>
        </w:rPr>
        <w:t>模型训练模块（train.py）实现了完整的训练循环逻辑和多任务联合损失函数。训练入口函数 train_custom_model 接收数据集路径、模型名称、保存目录和各种超参数，执行从数据加载到模型保存的完整训练流程。</w:t>
      </w:r>
    </w:p>
    <w:p>
      <w:pPr>
        <w:spacing w:line="360" w:lineRule="auto" w:before="0" w:after="0"/>
        <w:ind w:firstLine="420"/>
      </w:pPr>
      <w:r>
        <w:rPr>
          <w:rFonts w:ascii="Times New Roman" w:hAnsi="Times New Roman" w:eastAsia="宋体"/>
          <w:b w:val="0"/>
          <w:i w:val="0"/>
          <w:sz w:val="24"/>
        </w:rPr>
        <w:t>损失函数 vae_loss 是训练模块的核心，由四项损失组成：</w:t>
      </w:r>
    </w:p>
    <w:p>
      <w:pPr>
        <w:spacing w:line="360" w:lineRule="auto" w:before="60" w:after="60"/>
        <w:jc w:val="center"/>
      </w:pPr>
      <w:r>
        <w:rPr>
          <w:rFonts w:ascii="Times New Roman" w:hAnsi="Times New Roman" w:eastAsia="宋体"/>
          <w:b w:val="0"/>
          <w:i/>
          <w:sz w:val="24"/>
        </w:rPr>
        <w:t>L_total = L_atom + 3 × L_edge + β × L_KL / B + 0.3 × L_prop</w:t>
      </w:r>
      <w:r>
        <w:rPr>
          <w:rFonts w:ascii="Times New Roman" w:hAnsi="Times New Roman" w:eastAsia="宋体"/>
          <w:b w:val="0"/>
          <w:i w:val="0"/>
          <w:sz w:val="24"/>
        </w:rPr>
        <w:t xml:space="preserve">    (4-1)</w:t>
      </w:r>
    </w:p>
    <w:p>
      <w:pPr>
        <w:spacing w:line="360" w:lineRule="auto" w:before="0" w:after="0"/>
        <w:ind w:firstLine="420"/>
      </w:pPr>
      <w:r>
        <w:rPr>
          <w:rFonts w:ascii="Times New Roman" w:hAnsi="Times New Roman" w:eastAsia="宋体"/>
          <w:b w:val="0"/>
          <w:i w:val="0"/>
          <w:sz w:val="24"/>
        </w:rPr>
        <w:t>其中，L_atom 为原子类型重构损失，使用交叉熵损失函数计算，忽略填充位（padding）的贡献；L_edge 为化学键重构损失，同样使用交叉熵损失函数，但通过掩码矩阵（mask）仅计算有效节点对的损失，避免填充区域的噪声干扰；L_KL 为 KL 散度损失，计算公式为 -0.5 × Σ(1 + log σ² - μ² - σ²)，并除以批次大小 B 进行 per-sample 归一化；L_prop 为属性预测损失，使用均方误差（MSE）计算模型预测性质与真实性质的偏差。键重构损失的权重系数设为 3.0，因为化学键信息对分子结构的正确重建至关重要。属性预测损失的权重设为 0.3，在不过度干扰重构学习的前提下为潜在空间注入性质信息。</w:t>
      </w:r>
    </w:p>
    <w:p>
      <w:pPr>
        <w:spacing w:line="360" w:lineRule="auto" w:before="0" w:after="0"/>
        <w:ind w:firstLine="420"/>
      </w:pPr>
      <w:r>
        <w:rPr>
          <w:rFonts w:ascii="Times New Roman" w:hAnsi="Times New Roman" w:eastAsia="宋体"/>
          <w:b w:val="0"/>
          <w:i w:val="0"/>
          <w:sz w:val="24"/>
        </w:rPr>
        <w:t>为处理图神经网络中变长图数据的批量训练，损失函数利用 PyG 提供的 to_dense_batch 和 to_dense_adj 工具函数将稀疏的批量图数据转换为密集矩阵形式。to_dense_batch 将变长节点特征填充为固定大小的矩阵，同时返回有效位置的 mask；to_dense_adj 将稀疏边索引转换为密集邻接矩阵。这些操作使得解码器输出的固定大小矩阵可以与真实标签进行逐元素比较。</w:t>
      </w:r>
    </w:p>
    <w:p>
      <w:pPr>
        <w:spacing w:line="360" w:lineRule="auto" w:before="0" w:after="0"/>
        <w:ind w:firstLine="420"/>
      </w:pPr>
      <w:r>
        <w:rPr>
          <w:rFonts w:ascii="Times New Roman" w:hAnsi="Times New Roman" w:eastAsia="宋体"/>
          <w:b w:val="0"/>
          <w:i w:val="0"/>
          <w:sz w:val="24"/>
        </w:rPr>
        <w:t>训练策略方面，系统实现了以下关键机制：</w:t>
      </w:r>
    </w:p>
    <w:p>
      <w:pPr>
        <w:spacing w:line="360" w:lineRule="auto" w:before="0" w:after="0"/>
        <w:ind w:firstLine="420"/>
      </w:pPr>
      <w:r>
        <w:rPr>
          <w:rFonts w:ascii="Times New Roman" w:hAnsi="Times New Roman" w:eastAsia="宋体"/>
          <w:b w:val="0"/>
          <w:i w:val="0"/>
          <w:sz w:val="24"/>
        </w:rPr>
        <w:t>（1）KL 退火（KL Annealing）。为防止 VAE 训练初期 KL 散度过快收敛导致的 KL 坍缩问题，系统在训练的前 30% 轮次中将 KL 散度权重 β 从 0 线性增长至 β_max=0.05。这使得模型在训练初期专注于学习重构能力，待编码器建立了有意义的数据表示后，再逐步引入 KL 散度约束来规范潜在空间。</w:t>
      </w:r>
    </w:p>
    <w:p>
      <w:pPr>
        <w:spacing w:line="360" w:lineRule="auto" w:before="0" w:after="0"/>
        <w:ind w:firstLine="420"/>
      </w:pPr>
      <w:r>
        <w:rPr>
          <w:rFonts w:ascii="Times New Roman" w:hAnsi="Times New Roman" w:eastAsia="宋体"/>
          <w:b w:val="0"/>
          <w:i w:val="0"/>
          <w:sz w:val="24"/>
        </w:rPr>
        <w:t>（2）早停（Early Stopping）。系统监控验证集上的总损失，当验证损失连续 N 轮（默认 patience=10）不再改善时，自动终止训练并恢复最佳模型参数。这一机制有效防止了过拟合，特别是在数据集规模较小的情况下。</w:t>
      </w:r>
    </w:p>
    <w:p>
      <w:pPr>
        <w:spacing w:line="360" w:lineRule="auto" w:before="0" w:after="0"/>
        <w:ind w:firstLine="420"/>
      </w:pPr>
      <w:r>
        <w:rPr>
          <w:rFonts w:ascii="Times New Roman" w:hAnsi="Times New Roman" w:eastAsia="宋体"/>
          <w:b w:val="0"/>
          <w:i w:val="0"/>
          <w:sz w:val="24"/>
        </w:rPr>
        <w:t>（3）学习率自适应调整。系统使用 PyTorch 的 ReduceLROnPlateau 调度器，当验证损失连续 5 轮不改善时，自动将学习率减半。这使得模型在训练后期能够更精细地搜索最优参数。</w:t>
      </w:r>
    </w:p>
    <w:p>
      <w:pPr>
        <w:spacing w:line="360" w:lineRule="auto" w:before="0" w:after="0"/>
        <w:ind w:firstLine="420"/>
      </w:pPr>
      <w:r>
        <w:rPr>
          <w:rFonts w:ascii="Times New Roman" w:hAnsi="Times New Roman" w:eastAsia="宋体"/>
          <w:b w:val="0"/>
          <w:i w:val="0"/>
          <w:sz w:val="24"/>
        </w:rPr>
        <w:t>（4）梯度裁剪。使用 clip_grad_norm_ 将梯度的全局范数限制在 1.0 以内，防止训练过程中出现梯度爆炸问题。这在 VAE 的训练中尤为重要，因为 KL 散度项的梯度在训练初期可能较大且不稳定。</w:t>
      </w:r>
    </w:p>
    <w:p>
      <w:pPr>
        <w:spacing w:line="360" w:lineRule="auto" w:before="0" w:after="0"/>
        <w:ind w:firstLine="420"/>
      </w:pPr>
      <w:r>
        <w:rPr>
          <w:rFonts w:ascii="Times New Roman" w:hAnsi="Times New Roman" w:eastAsia="宋体"/>
          <w:b w:val="0"/>
          <w:i w:val="0"/>
          <w:sz w:val="24"/>
        </w:rPr>
        <w:t>（5）数据集分割。使用 PyTorch 的 random_split 函数将数据集按比例（默认 90% 训练、10% 验证）随机分割为训练集和验证集。验证集用于早停判断和学习率调整，不参与模型参数的更新。</w:t>
      </w:r>
    </w:p>
    <w:p>
      <w:pPr>
        <w:spacing w:line="360" w:lineRule="auto" w:before="120" w:after="60"/>
        <w:jc w:val="center"/>
      </w:pPr>
      <w:r>
        <w:rPr>
          <w:rFonts w:ascii="Times New Roman" w:hAnsi="Times New Roman" w:eastAsia="楷体"/>
          <w:b w:val="0"/>
          <w:i w:val="0"/>
          <w:color w:val="B40000"/>
          <w:sz w:val="24"/>
        </w:rPr>
        <w:t>[此处插入图 4-3  模型训练流程图]</w:t>
      </w:r>
    </w:p>
    <w:p>
      <w:pPr>
        <w:spacing w:line="360" w:lineRule="auto" w:before="0" w:after="120"/>
        <w:jc w:val="center"/>
      </w:pPr>
      <w:r>
        <w:rPr>
          <w:rFonts w:ascii="Times New Roman" w:hAnsi="Times New Roman" w:eastAsia="宋体"/>
          <w:b w:val="0"/>
          <w:i w:val="0"/>
          <w:sz w:val="21"/>
        </w:rPr>
        <w:t>图 4-3  模型训练流程图</w:t>
      </w:r>
    </w:p>
    <w:p>
      <w:pPr>
        <w:spacing w:line="360" w:lineRule="auto" w:before="0" w:after="0"/>
        <w:ind w:firstLine="420"/>
      </w:pPr>
      <w:r>
        <w:rPr>
          <w:rFonts w:ascii="Times New Roman" w:hAnsi="Times New Roman" w:eastAsia="宋体"/>
          <w:b w:val="0"/>
          <w:i w:val="0"/>
          <w:sz w:val="24"/>
        </w:rPr>
        <w:t>模型保存采用字典格式，包含模型参数（state_dict）、最大节点数（max_nodes）、隐藏层维度（hidden_channels）和潜在空间维度（latent_dim）等元信息。这些元信息在模型加载时用于正确重建模型架构，确保训练好的模型在推理阶段可以被准确还原。</w:t>
      </w:r>
    </w:p>
    <w:p>
      <w:pPr>
        <w:spacing w:line="360" w:lineRule="auto" w:before="60" w:after="60"/>
      </w:pPr>
      <w:r>
        <w:rPr>
          <w:rFonts w:ascii="Times New Roman" w:hAnsi="Times New Roman" w:eastAsia="黑体"/>
          <w:b/>
          <w:i w:val="0"/>
          <w:sz w:val="24"/>
        </w:rPr>
        <w:t>4.1.4 分子解码与评估模块</w:t>
      </w:r>
    </w:p>
    <w:p>
      <w:pPr>
        <w:spacing w:line="360" w:lineRule="auto" w:before="0" w:after="0"/>
        <w:ind w:firstLine="420"/>
      </w:pPr>
      <w:r>
        <w:rPr>
          <w:rFonts w:ascii="Times New Roman" w:hAnsi="Times New Roman" w:eastAsia="宋体"/>
          <w:b w:val="0"/>
          <w:i w:val="0"/>
          <w:sz w:val="24"/>
        </w:rPr>
        <w:t>分子解码与评估模块（reconstruct.py）负责将模型输出的原子/键 logits 重建为有效的 SMILES 字符串，并对生成的分子进行全面的药物化学评估。该模块包含解码器、分子评估和骨架工具三大功能。</w:t>
      </w:r>
    </w:p>
    <w:p>
      <w:pPr>
        <w:spacing w:line="360" w:lineRule="auto" w:before="0" w:after="0"/>
        <w:ind w:firstLine="420"/>
      </w:pPr>
      <w:r>
        <w:rPr>
          <w:rFonts w:ascii="Times New Roman" w:hAnsi="Times New Roman" w:eastAsia="宋体"/>
          <w:b w:val="0"/>
          <w:i w:val="0"/>
          <w:sz w:val="24"/>
        </w:rPr>
        <w:t>解码器函数 logits_to_smiles 是最核心的组件，其将模型输出的概率分布转换为具体的分子结构。解码过程分为以下步骤：</w:t>
      </w:r>
    </w:p>
    <w:p>
      <w:pPr>
        <w:spacing w:line="360" w:lineRule="auto" w:before="0" w:after="0"/>
        <w:ind w:firstLine="420"/>
      </w:pPr>
      <w:r>
        <w:rPr>
          <w:rFonts w:ascii="Times New Roman" w:hAnsi="Times New Roman" w:eastAsia="宋体"/>
          <w:b w:val="0"/>
          <w:i w:val="0"/>
          <w:sz w:val="24"/>
        </w:rPr>
        <w:t>第一步，原子采样。对模型输出的原子类型 logits 除以温度参数 T=0.8 后进行 Softmax 归一化，然后使用 torch.multinomial 进行概率采样获得每个节点位置的原子类型。采用概率采样而非 argmax（贪心解码）是为了避免模式坍缩，增加生成分子的多样性。温度参数 T=0.8 是在多样性和质量之间的折中，较低的温度使采样更集中于高概率类型。</w:t>
      </w:r>
    </w:p>
    <w:p>
      <w:pPr>
        <w:spacing w:line="360" w:lineRule="auto" w:before="0" w:after="0"/>
        <w:ind w:firstLine="420"/>
      </w:pPr>
      <w:r>
        <w:rPr>
          <w:rFonts w:ascii="Times New Roman" w:hAnsi="Times New Roman" w:eastAsia="宋体"/>
          <w:b w:val="0"/>
          <w:i w:val="0"/>
          <w:sz w:val="24"/>
        </w:rPr>
        <w:t>第二步，键采样。对键类型 logits 除以温度参数 T=0.6 后同样进行概率采样。键采样使用更低的温度参数，以减少随机性并提高化学键预测的准确性。由于化学键直接决定分子的拓扑结构和化学合理性，更保守的采样策略有助于提高有效分子的生成率。</w:t>
      </w:r>
    </w:p>
    <w:p>
      <w:pPr>
        <w:spacing w:line="360" w:lineRule="auto" w:before="0" w:after="0"/>
        <w:ind w:firstLine="420"/>
      </w:pPr>
      <w:r>
        <w:rPr>
          <w:rFonts w:ascii="Times New Roman" w:hAnsi="Times New Roman" w:eastAsia="宋体"/>
          <w:b w:val="0"/>
          <w:i w:val="0"/>
          <w:sz w:val="24"/>
        </w:rPr>
        <w:t>第三步，化学价态约束。系统维护每个原子的已使用化学价计数，在添加化学键时检查两端原子的剩余化学价是否足够。不同原子类型有不同的化学价上限：碳为 4、氮为 3、氧为 2、氟为 1、硫为 6、氯为 1。违反价态约束的键将被跳过。</w:t>
      </w:r>
    </w:p>
    <w:p>
      <w:pPr>
        <w:spacing w:line="360" w:lineRule="auto" w:before="0" w:after="0"/>
        <w:ind w:firstLine="420"/>
      </w:pPr>
      <w:r>
        <w:rPr>
          <w:rFonts w:ascii="Times New Roman" w:hAnsi="Times New Roman" w:eastAsia="宋体"/>
          <w:b w:val="0"/>
          <w:i w:val="0"/>
          <w:sz w:val="24"/>
        </w:rPr>
        <w:t>第四步，键添加优先级。按照单键→芳香键→双键→三键的顺序依次添加化学键。单键优先是因为单键是最基础的连接方式，芳香键次之以保证芳香环系统的完整性，双键和三键最后添加以避免过度消耗化学价。</w:t>
      </w:r>
    </w:p>
    <w:p>
      <w:pPr>
        <w:spacing w:line="360" w:lineRule="auto" w:before="120" w:after="60"/>
        <w:jc w:val="center"/>
      </w:pPr>
      <w:r>
        <w:rPr>
          <w:rFonts w:ascii="Times New Roman" w:hAnsi="Times New Roman" w:eastAsia="楷体"/>
          <w:b w:val="0"/>
          <w:i w:val="0"/>
          <w:color w:val="B40000"/>
          <w:sz w:val="24"/>
        </w:rPr>
        <w:t>[此处插入图 4-4  分子解码流程图]</w:t>
      </w:r>
    </w:p>
    <w:p>
      <w:pPr>
        <w:spacing w:line="360" w:lineRule="auto" w:before="0" w:after="120"/>
        <w:jc w:val="center"/>
      </w:pPr>
      <w:r>
        <w:rPr>
          <w:rFonts w:ascii="Times New Roman" w:hAnsi="Times New Roman" w:eastAsia="宋体"/>
          <w:b w:val="0"/>
          <w:i w:val="0"/>
          <w:sz w:val="21"/>
        </w:rPr>
        <w:t>图 4-4  分子解码流程图</w:t>
      </w:r>
    </w:p>
    <w:p>
      <w:pPr>
        <w:spacing w:line="360" w:lineRule="auto" w:before="0" w:after="0"/>
        <w:ind w:firstLine="420"/>
      </w:pPr>
      <w:r>
        <w:rPr>
          <w:rFonts w:ascii="Times New Roman" w:hAnsi="Times New Roman" w:eastAsia="宋体"/>
          <w:b w:val="0"/>
          <w:i w:val="0"/>
          <w:sz w:val="24"/>
        </w:rPr>
        <w:t>第五步，连通性修补。如果构建的分子图不连通（存在孤立片段），系统在相邻节点之间补充单键以增强连通性。最终通过 RDKit 的 SanitizeMol 进行化学合法性校验，并取最大连通片段作为最终分子。</w:t>
      </w:r>
    </w:p>
    <w:p>
      <w:pPr>
        <w:spacing w:line="360" w:lineRule="auto" w:before="0" w:after="0"/>
        <w:ind w:firstLine="420"/>
      </w:pPr>
      <w:r>
        <w:rPr>
          <w:rFonts w:ascii="Times New Roman" w:hAnsi="Times New Roman" w:eastAsia="宋体"/>
          <w:b w:val="0"/>
          <w:i w:val="0"/>
          <w:sz w:val="24"/>
        </w:rPr>
        <w:t>分子评估函数 evaluate_molecule 对有效分子进行全面的药物化学性质评估。评估内容包括基础理化性质（QED、LogP、分子量、氢键供体/受体数、可旋转键数、TPSA、重原子数、环数、SA Score）、Lipinski 五规则检查、Veber 规则检查，以及 ADMET 预测（水溶性、渗透性、血脑屏障透过性、毒性警示子结构检测）。</w:t>
      </w:r>
    </w:p>
    <w:p>
      <w:pPr>
        <w:spacing w:line="360" w:lineRule="auto" w:before="0" w:after="0"/>
        <w:ind w:firstLine="420"/>
      </w:pPr>
      <w:r>
        <w:rPr>
          <w:rFonts w:ascii="Times New Roman" w:hAnsi="Times New Roman" w:eastAsia="宋体"/>
          <w:b w:val="0"/>
          <w:i w:val="0"/>
          <w:sz w:val="24"/>
        </w:rPr>
        <w:t>ADMET 预测模块集成了多种经验预测方法。水溶性采用 ESOL 经验公式（Delaney, 2004）：log(S) = 0.16 - 0.63×clogP - 0.0062×MW + 0.066×RB - 0.74×AP，其中 AP 为芳香重原子比例。渗透性基于 TPSA 和 LogP 的经验规则：TPSA≤90 且 0≤LogP≤5 时为"高"渗透性。血脑屏障（BBB）透过性基于 TPSA、LogP 和分子量的综合评估。毒性警示子结构检测使用 SMARTS 模式匹配技术，检测硝基、肼/偶氮等已知的毒性警示基团。</w:t>
      </w:r>
    </w:p>
    <w:p>
      <w:pPr>
        <w:spacing w:line="360" w:lineRule="auto" w:before="0" w:after="0"/>
        <w:ind w:firstLine="420"/>
      </w:pPr>
      <w:r>
        <w:rPr>
          <w:rFonts w:ascii="Times New Roman" w:hAnsi="Times New Roman" w:eastAsia="宋体"/>
          <w:b w:val="0"/>
          <w:i w:val="0"/>
          <w:sz w:val="24"/>
        </w:rPr>
        <w:t>骨架工具方面，get_murcko_scaffold_smiles 函数使用 RDKit 的 MurckoScaffold 模块提取分子的 Bemis-Murcko 骨架（保留环系和连接键，去除侧链），scaffold_tanimoto_similarity 函数基于 Morgan 指纹（ECFP4，半径 2，2048 比特）计算两个骨架之间的 Tanimoto 相似度，用于骨架优化时判断生成分子与苗头化合物骨架的一致性。</w:t>
      </w:r>
    </w:p>
    <w:p>
      <w:pPr>
        <w:spacing w:line="360" w:lineRule="auto" w:before="120" w:after="120"/>
      </w:pPr>
      <w:r>
        <w:rPr>
          <w:rFonts w:ascii="Times New Roman" w:hAnsi="Times New Roman" w:eastAsia="黑体"/>
          <w:b/>
          <w:i w:val="0"/>
          <w:sz w:val="28"/>
        </w:rPr>
        <w:t>4.2 Web 功能模块实现</w:t>
      </w:r>
    </w:p>
    <w:p>
      <w:pPr>
        <w:spacing w:line="360" w:lineRule="auto" w:before="60" w:after="60"/>
      </w:pPr>
      <w:r>
        <w:rPr>
          <w:rFonts w:ascii="Times New Roman" w:hAnsi="Times New Roman" w:eastAsia="黑体"/>
          <w:b/>
          <w:i w:val="0"/>
          <w:sz w:val="24"/>
        </w:rPr>
        <w:t>4.2.1 模型训练功能</w:t>
      </w:r>
    </w:p>
    <w:p>
      <w:pPr>
        <w:spacing w:line="360" w:lineRule="auto" w:before="0" w:after="0"/>
        <w:ind w:firstLine="420"/>
      </w:pPr>
      <w:r>
        <w:rPr>
          <w:rFonts w:ascii="Times New Roman" w:hAnsi="Times New Roman" w:eastAsia="宋体"/>
          <w:b w:val="0"/>
          <w:i w:val="0"/>
          <w:sz w:val="24"/>
        </w:rPr>
        <w:t>模型训练功能通过 /start_train API 端点触发，采用多线程异步执行的架构设计。当用户在前端提交训练请求时，后端首先检查是否已有训练任务正在运行（同一时间仅允许一个训练任务），然后接收上传的 SMILES 数据集文件和训练超参数，将数据集保存至 datasets/ 目录，初始化全局训练状态字典 training_status，最后使用 Python 的 threading.Thread 创建后台线程执行训练任务。</w:t>
      </w:r>
    </w:p>
    <w:p>
      <w:pPr>
        <w:spacing w:line="360" w:lineRule="auto" w:before="0" w:after="0"/>
        <w:ind w:firstLine="420"/>
      </w:pPr>
      <w:r>
        <w:rPr>
          <w:rFonts w:ascii="Times New Roman" w:hAnsi="Times New Roman" w:eastAsia="宋体"/>
          <w:b w:val="0"/>
          <w:i w:val="0"/>
          <w:sz w:val="24"/>
        </w:rPr>
        <w:t>训练状态字典 training_status 包含以下字段：status（训练状态，取值为 idle/training/success/error）、current_epoch（当前轮次）、total_epochs（总轮次数）、loss（当前训练损失）、val_loss（当前验证损失）、logs（日志消息列表）。后台训练线程在训练过程中实时更新这些字段，前端通过定时轮询 /get_train_status 接口获取最新状态并更新界面展示。这种"异步执行 + 状态轮询"的设计模式确保了训练这类长时间运行的任务不会阻塞 Web 服务器的响应。</w:t>
      </w:r>
    </w:p>
    <w:p>
      <w:pPr>
        <w:spacing w:line="360" w:lineRule="auto" w:before="60" w:after="60"/>
      </w:pPr>
      <w:r>
        <w:rPr>
          <w:rFonts w:ascii="Times New Roman" w:hAnsi="Times New Roman" w:eastAsia="黑体"/>
          <w:b/>
          <w:i w:val="0"/>
          <w:sz w:val="24"/>
        </w:rPr>
        <w:t>4.2.2 性质导向生成功能</w:t>
      </w:r>
    </w:p>
    <w:p>
      <w:pPr>
        <w:spacing w:line="360" w:lineRule="auto" w:before="0" w:after="0"/>
        <w:ind w:firstLine="420"/>
      </w:pPr>
      <w:r>
        <w:rPr>
          <w:rFonts w:ascii="Times New Roman" w:hAnsi="Times New Roman" w:eastAsia="宋体"/>
          <w:b w:val="0"/>
          <w:i w:val="0"/>
          <w:sz w:val="24"/>
        </w:rPr>
        <w:t>性质导向分子生成功能通过 /generate API 端点触发，其核心流程实现于 generate_molecules_core 函数。生成流程可分为三个关键阶段：</w:t>
      </w:r>
    </w:p>
    <w:p>
      <w:pPr>
        <w:spacing w:line="360" w:lineRule="auto" w:before="0" w:after="0"/>
        <w:ind w:firstLine="420"/>
      </w:pPr>
      <w:r>
        <w:rPr>
          <w:rFonts w:ascii="Times New Roman" w:hAnsi="Times New Roman" w:eastAsia="宋体"/>
          <w:b w:val="0"/>
          <w:i w:val="0"/>
          <w:sz w:val="24"/>
        </w:rPr>
        <w:t>第一阶段：性质引导采样（select_guided_latents）。该函数首先在潜在空间中随机采样一个较大的 z 池（pool_size = decode_batch_size × pool_factor，默认 pool_factor=8），然后对 z 池中的向量进行范数裁剪（将范数约束在 [0.5, 3.0] 区间），接着使用模型的属性预测头对每个 z 预测分子性质，根据用户设置的约束条件计算综合评分（score = 1.8×QED_pred - 0.25×|LogP_pred - LogP_mid| + 惩罚项），最后选取得分最高的 top-k 个 z 进入解码阶段。这种"先粗筛再精解"的策略显著提高了满足约束的分子的命中率。</w:t>
      </w:r>
    </w:p>
    <w:p>
      <w:pPr>
        <w:spacing w:line="360" w:lineRule="auto" w:before="0" w:after="0"/>
        <w:ind w:firstLine="420"/>
      </w:pPr>
      <w:r>
        <w:rPr>
          <w:rFonts w:ascii="Times New Roman" w:hAnsi="Times New Roman" w:eastAsia="宋体"/>
          <w:b w:val="0"/>
          <w:i w:val="0"/>
          <w:sz w:val="24"/>
        </w:rPr>
        <w:t>第二阶段：解码与筛选。对引导采样选出的潜在向量批量解码，通过 model.decoder_atoms 和 model.decoder_edges 获取原子和键的 logits，再调用 logits_to_smiles 函数将 logits 转换为 SMILES 字符串。对每个解码成功的 SMILES，调用 evaluate_molecule 进行性质评估，然后逐一检查是否满足用户设定的全部约束条件（分子量范围、LogP 范围、HBD/HBA 上限、可旋转键数上限、QED 下限、SA Score 上限）。不满足约束的分子不计入最终结果，但系统会保留一个"最佳未满足约束分子"作为参考（fallback）。</w:t>
      </w:r>
    </w:p>
    <w:p>
      <w:pPr>
        <w:spacing w:line="360" w:lineRule="auto" w:before="120" w:after="60"/>
        <w:jc w:val="center"/>
      </w:pPr>
      <w:r>
        <w:rPr>
          <w:rFonts w:ascii="Times New Roman" w:hAnsi="Times New Roman" w:eastAsia="楷体"/>
          <w:b w:val="0"/>
          <w:i w:val="0"/>
          <w:color w:val="B40000"/>
          <w:sz w:val="24"/>
        </w:rPr>
        <w:t>[此处插入图 4-5  性质导向分子生成流程图]</w:t>
      </w:r>
    </w:p>
    <w:p>
      <w:pPr>
        <w:spacing w:line="360" w:lineRule="auto" w:before="0" w:after="120"/>
        <w:jc w:val="center"/>
      </w:pPr>
      <w:r>
        <w:rPr>
          <w:rFonts w:ascii="Times New Roman" w:hAnsi="Times New Roman" w:eastAsia="宋体"/>
          <w:b w:val="0"/>
          <w:i w:val="0"/>
          <w:sz w:val="21"/>
        </w:rPr>
        <w:t>图 4-5  性质导向分子生成流程图</w:t>
      </w:r>
    </w:p>
    <w:p>
      <w:pPr>
        <w:spacing w:line="360" w:lineRule="auto" w:before="0" w:after="0"/>
        <w:ind w:firstLine="420"/>
      </w:pPr>
      <w:r>
        <w:rPr>
          <w:rFonts w:ascii="Times New Roman" w:hAnsi="Times New Roman" w:eastAsia="宋体"/>
          <w:b w:val="0"/>
          <w:i w:val="0"/>
          <w:sz w:val="24"/>
        </w:rPr>
        <w:t>第三阶段：去重与排序。满足约束的分子通过 Tanimoto 相似度去重函数（deduplicate_by_tanimoto）进行结构多样性筛选。该函数基于 Morgan 指纹（ECFP4）计算分子间的 Tanimoto 相似度，若某分子与已保留分子中任何一个的相似度超过阈值（默认 0.90），则剔除该分子。去重后的分子按综合评分（score = 0.3×QED + 0.2×LogP - 0.2×Lipinski 违规数，仅当违规数 &gt; 1 时才触发惩罚）降序排列，评分最高的分子标记为"最佳分子"。最终结果包含每个分子的 SMILES、Base64 编码的 2D 结构图和完整的性质评估报告。</w:t>
      </w:r>
    </w:p>
    <w:p>
      <w:pPr>
        <w:spacing w:line="360" w:lineRule="auto" w:before="60" w:after="60"/>
      </w:pPr>
      <w:r>
        <w:rPr>
          <w:rFonts w:ascii="Times New Roman" w:hAnsi="Times New Roman" w:eastAsia="黑体"/>
          <w:b/>
          <w:i w:val="0"/>
          <w:sz w:val="24"/>
        </w:rPr>
        <w:t>4.2.3 骨架跃迁与优化功能</w:t>
      </w:r>
    </w:p>
    <w:p>
      <w:pPr>
        <w:spacing w:line="360" w:lineRule="auto" w:before="0" w:after="0"/>
        <w:ind w:firstLine="420"/>
      </w:pPr>
      <w:r>
        <w:rPr>
          <w:rFonts w:ascii="Times New Roman" w:hAnsi="Times New Roman" w:eastAsia="宋体"/>
          <w:b w:val="0"/>
          <w:i w:val="0"/>
          <w:sz w:val="24"/>
        </w:rPr>
        <w:t>骨架跃迁与优化功能通过 /scaffold_optimize API 端点触发，核心实现采用两阶段策略，分别从模型端和规则端生成衍生物。</w:t>
      </w:r>
    </w:p>
    <w:p>
      <w:pPr>
        <w:spacing w:line="360" w:lineRule="auto" w:before="0" w:after="0"/>
        <w:ind w:firstLine="420"/>
      </w:pPr>
      <w:r>
        <w:rPr>
          <w:rFonts w:ascii="Times New Roman" w:hAnsi="Times New Roman" w:eastAsia="宋体"/>
          <w:b w:val="0"/>
          <w:i w:val="0"/>
          <w:sz w:val="24"/>
        </w:rPr>
        <w:t>阶段一：潜在空间微扰（_latent_scaffold_optimize 函数）。首先将苗头化合物（Hit）通过 smiles_to_graph 转换为图数据，输入编码器获得其潜在向量 z_hit（取均值 μ 作为确定性编码）。然后在 z_hit 周围进行多尺度高斯微扰，使用三种噪声尺度（σ=0.08, 0.15, 0.25），每种尺度生成 num_perturbations/3 个候选 z。较小的噪声尺度倾向于生成与 Hit 更相似的衍生物，较大的噪声尺度则探索更远的化学空间。对所有候选 z 使用属性预测器按目标性质打分，选取 top-k（默认 96 个）最优 z 进行解码。解码后的分子经过 Murcko 骨架提取和骨架 Tanimoto 相似度过滤（阈值 0.55），仅保留与 Hit 骨架足够相似的衍生物。</w:t>
      </w:r>
    </w:p>
    <w:p>
      <w:pPr>
        <w:spacing w:line="360" w:lineRule="auto" w:before="0" w:after="0"/>
        <w:ind w:firstLine="420"/>
      </w:pPr>
      <w:r>
        <w:rPr>
          <w:rFonts w:ascii="Times New Roman" w:hAnsi="Times New Roman" w:eastAsia="宋体"/>
          <w:b w:val="0"/>
          <w:i w:val="0"/>
          <w:sz w:val="24"/>
        </w:rPr>
        <w:t>阶段二：规则侧链替换（_generate_scaffold_constrained_derivatives 函数）。该方法基于化学规则直接在分子结构上进行修改，作为潜在空间方法的补充。首先使用 RDKit 的子结构匹配功能识别 Hit 分子中属于 Murcko 骨架的原子集合，然后定位不属于骨架且度为 1（末端）的侧链原子。对这些末端原子执行两种替换策略：策略 A 是原子类型替换，将末端原子替换为其他允许的原子类型（C/N/O/F/S/Cl）；策略 B 是碳扩展，在末端原子上额外添加一个碳原子以延伸侧链。每次替换后通过 RDKit 进行化学合法性校验和骨架相似度检查（阈值 0.95，更严格），确保骨架完整性。</w:t>
      </w:r>
    </w:p>
    <w:p>
      <w:pPr>
        <w:spacing w:line="360" w:lineRule="auto" w:before="120" w:after="60"/>
        <w:jc w:val="center"/>
      </w:pPr>
      <w:r>
        <w:rPr>
          <w:rFonts w:ascii="Times New Roman" w:hAnsi="Times New Roman" w:eastAsia="楷体"/>
          <w:b w:val="0"/>
          <w:i w:val="0"/>
          <w:color w:val="B40000"/>
          <w:sz w:val="24"/>
        </w:rPr>
        <w:t>[此处插入图 4-6  骨架跃迁与优化流程图]</w:t>
      </w:r>
    </w:p>
    <w:p>
      <w:pPr>
        <w:spacing w:line="360" w:lineRule="auto" w:before="0" w:after="120"/>
        <w:jc w:val="center"/>
      </w:pPr>
      <w:r>
        <w:rPr>
          <w:rFonts w:ascii="Times New Roman" w:hAnsi="Times New Roman" w:eastAsia="宋体"/>
          <w:b w:val="0"/>
          <w:i w:val="0"/>
          <w:sz w:val="21"/>
        </w:rPr>
        <w:t>图 4-6  骨架跃迁与优化流程图</w:t>
      </w:r>
    </w:p>
    <w:p>
      <w:pPr>
        <w:spacing w:line="360" w:lineRule="auto" w:before="0" w:after="0"/>
        <w:ind w:firstLine="420"/>
      </w:pPr>
      <w:r>
        <w:rPr>
          <w:rFonts w:ascii="Times New Roman" w:hAnsi="Times New Roman" w:eastAsia="宋体"/>
          <w:b w:val="0"/>
          <w:i w:val="0"/>
          <w:sz w:val="24"/>
        </w:rPr>
        <w:t>两个阶段的衍生物合并后，通过 Tanimoto 相似度去重，按用户指定的目标性质和优化方向排序，取前 50 个展示。每个衍生物附带骨架相似度信息、生成方法标签和完整的性质评估报告。</w:t>
      </w:r>
    </w:p>
    <w:p>
      <w:pPr>
        <w:spacing w:line="360" w:lineRule="auto" w:before="120" w:after="120"/>
      </w:pPr>
      <w:r>
        <w:rPr>
          <w:rFonts w:ascii="Times New Roman" w:hAnsi="Times New Roman" w:eastAsia="黑体"/>
          <w:b/>
          <w:i w:val="0"/>
          <w:sz w:val="28"/>
        </w:rPr>
        <w:t>4.3 前端界面实现</w:t>
      </w:r>
    </w:p>
    <w:p>
      <w:pPr>
        <w:spacing w:line="360" w:lineRule="auto" w:before="0" w:after="0"/>
        <w:ind w:firstLine="420"/>
      </w:pPr>
      <w:r>
        <w:rPr>
          <w:rFonts w:ascii="Times New Roman" w:hAnsi="Times New Roman" w:eastAsia="宋体"/>
          <w:b w:val="0"/>
          <w:i w:val="0"/>
          <w:sz w:val="24"/>
        </w:rPr>
        <w:t>前端界面基于 HTML5 + CSS3 + JavaScript + Bootstrap 5 技术栈构建，主要包含一个 HTML 模板文件（templates/index.html）和一个 JavaScript 交互逻辑文件（static/js/main.js）。整体界面采用 Bootstrap 5 的卡片（Card）组件和选项卡（Tab）布局，将三大功能模块（模型训练、分子生成、骨架优化）组织为三个独立的功能面板。</w:t>
      </w:r>
    </w:p>
    <w:p>
      <w:pPr>
        <w:spacing w:line="360" w:lineRule="auto" w:before="120" w:after="60"/>
        <w:jc w:val="center"/>
      </w:pPr>
      <w:r>
        <w:rPr>
          <w:rFonts w:ascii="Times New Roman" w:hAnsi="Times New Roman" w:eastAsia="楷体"/>
          <w:b w:val="0"/>
          <w:i w:val="0"/>
          <w:color w:val="B40000"/>
          <w:sz w:val="24"/>
        </w:rPr>
        <w:t>[此处插入图 4-7  系统主界面整体布局截图]</w:t>
      </w:r>
    </w:p>
    <w:p>
      <w:pPr>
        <w:spacing w:line="360" w:lineRule="auto" w:before="0" w:after="120"/>
        <w:jc w:val="center"/>
      </w:pPr>
      <w:r>
        <w:rPr>
          <w:rFonts w:ascii="Times New Roman" w:hAnsi="Times New Roman" w:eastAsia="宋体"/>
          <w:b w:val="0"/>
          <w:i w:val="0"/>
          <w:sz w:val="21"/>
        </w:rPr>
        <w:t>图 4-7  系统主界面整体布局截图</w:t>
      </w:r>
    </w:p>
    <w:p>
      <w:pPr>
        <w:spacing w:line="360" w:lineRule="auto" w:before="0" w:after="0"/>
        <w:ind w:firstLine="420"/>
      </w:pPr>
      <w:r>
        <w:rPr>
          <w:rFonts w:ascii="Times New Roman" w:hAnsi="Times New Roman" w:eastAsia="宋体"/>
          <w:b w:val="0"/>
          <w:i w:val="0"/>
          <w:sz w:val="24"/>
        </w:rPr>
        <w:t>模型训练面板提供数据集文件上传、超参数配置（使用表单输入控件）和训练控制按钮。训练启动后，面板下方的日志区域通过定时轮询（setInterval）实时显示训练日志，包括当前轮次、损失变化等信息。</w:t>
      </w:r>
    </w:p>
    <w:p>
      <w:pPr>
        <w:spacing w:line="360" w:lineRule="auto" w:before="120" w:after="60"/>
        <w:jc w:val="center"/>
      </w:pPr>
      <w:r>
        <w:rPr>
          <w:rFonts w:ascii="Times New Roman" w:hAnsi="Times New Roman" w:eastAsia="楷体"/>
          <w:b w:val="0"/>
          <w:i w:val="0"/>
          <w:color w:val="B40000"/>
          <w:sz w:val="24"/>
        </w:rPr>
        <w:t>[此处插入图 4-8  模型训练功能界面截图]</w:t>
      </w:r>
    </w:p>
    <w:p>
      <w:pPr>
        <w:spacing w:line="360" w:lineRule="auto" w:before="0" w:after="120"/>
        <w:jc w:val="center"/>
      </w:pPr>
      <w:r>
        <w:rPr>
          <w:rFonts w:ascii="Times New Roman" w:hAnsi="Times New Roman" w:eastAsia="宋体"/>
          <w:b w:val="0"/>
          <w:i w:val="0"/>
          <w:sz w:val="21"/>
        </w:rPr>
        <w:t>图 4-8  模型训练功能界面截图</w:t>
      </w:r>
    </w:p>
    <w:p>
      <w:pPr>
        <w:spacing w:line="360" w:lineRule="auto" w:before="0" w:after="0"/>
        <w:ind w:firstLine="420"/>
      </w:pPr>
      <w:r>
        <w:rPr>
          <w:rFonts w:ascii="Times New Roman" w:hAnsi="Times New Roman" w:eastAsia="宋体"/>
          <w:b w:val="0"/>
          <w:i w:val="0"/>
          <w:sz w:val="24"/>
        </w:rPr>
        <w:t>分子生成面板提供模型选择下拉菜单（通过 /get_models 接口获取可用模型列表）、约束条件配置区域（分子量范围、LogP 范围、QED 下限等，采用滑块控件）和生成控制按钮。生成结果以分子卡片列表的形式展示，每张卡片包含分子的 2D 结构图（Base64 PNG 图片，由后端 RDKit Draw.MolToImage 渲染）、SMILES 字符串和关键性质指标。</w:t>
      </w:r>
    </w:p>
    <w:p>
      <w:pPr>
        <w:spacing w:line="360" w:lineRule="auto" w:before="120" w:after="60"/>
        <w:jc w:val="center"/>
      </w:pPr>
      <w:r>
        <w:rPr>
          <w:rFonts w:ascii="Times New Roman" w:hAnsi="Times New Roman" w:eastAsia="楷体"/>
          <w:b w:val="0"/>
          <w:i w:val="0"/>
          <w:color w:val="B40000"/>
          <w:sz w:val="24"/>
        </w:rPr>
        <w:t>[此处插入图 4-9  分子生成功能界面截图]</w:t>
      </w:r>
    </w:p>
    <w:p>
      <w:pPr>
        <w:spacing w:line="360" w:lineRule="auto" w:before="0" w:after="120"/>
        <w:jc w:val="center"/>
      </w:pPr>
      <w:r>
        <w:rPr>
          <w:rFonts w:ascii="Times New Roman" w:hAnsi="Times New Roman" w:eastAsia="宋体"/>
          <w:b w:val="0"/>
          <w:i w:val="0"/>
          <w:sz w:val="21"/>
        </w:rPr>
        <w:t>图 4-9  分子生成功能界面截图</w:t>
      </w:r>
    </w:p>
    <w:p>
      <w:pPr>
        <w:spacing w:line="360" w:lineRule="auto" w:before="0" w:after="0"/>
        <w:ind w:firstLine="420"/>
      </w:pPr>
      <w:r>
        <w:rPr>
          <w:rFonts w:ascii="Times New Roman" w:hAnsi="Times New Roman" w:eastAsia="宋体"/>
          <w:b w:val="0"/>
          <w:i w:val="0"/>
          <w:sz w:val="24"/>
        </w:rPr>
        <w:t>骨架优化面板提供 Hit SMILES 输入框、目标性质选择下拉菜单、优化方向选择和生成参数配置。优化结果采用衍生物浏览器的交互设计，支持前后翻页切换不同衍生物，并以对比表格形式展示衍生物与 Hit 的性质差异。</w:t>
      </w:r>
    </w:p>
    <w:p>
      <w:pPr>
        <w:spacing w:line="360" w:lineRule="auto" w:before="120" w:after="60"/>
        <w:jc w:val="center"/>
      </w:pPr>
      <w:r>
        <w:rPr>
          <w:rFonts w:ascii="Times New Roman" w:hAnsi="Times New Roman" w:eastAsia="楷体"/>
          <w:b w:val="0"/>
          <w:i w:val="0"/>
          <w:color w:val="B40000"/>
          <w:sz w:val="24"/>
        </w:rPr>
        <w:t>[此处插入图 4-10  骨架优化功能界面截图]</w:t>
      </w:r>
    </w:p>
    <w:p>
      <w:pPr>
        <w:spacing w:line="360" w:lineRule="auto" w:before="0" w:after="120"/>
        <w:jc w:val="center"/>
      </w:pPr>
      <w:r>
        <w:rPr>
          <w:rFonts w:ascii="Times New Roman" w:hAnsi="Times New Roman" w:eastAsia="宋体"/>
          <w:b w:val="0"/>
          <w:i w:val="0"/>
          <w:sz w:val="21"/>
        </w:rPr>
        <w:t>图 4-10  骨架优化功能界面截图</w:t>
      </w:r>
    </w:p>
    <w:p>
      <w:pPr>
        <w:spacing w:line="360" w:lineRule="auto" w:before="0" w:after="0"/>
        <w:ind w:firstLine="420"/>
      </w:pPr>
      <w:r>
        <w:rPr>
          <w:rFonts w:ascii="Times New Roman" w:hAnsi="Times New Roman" w:eastAsia="宋体"/>
          <w:b w:val="0"/>
          <w:i w:val="0"/>
          <w:sz w:val="24"/>
        </w:rPr>
        <w:t>前端交互逻辑使用原生 JavaScript ES6+ 的 Class 语法组织，通过 Fetch API 发起异步 HTTP 请求与后端通信。状态轮询采用 setInterval + Fetch 的组合模式，在任务执行期间按固定间隔（如 2 秒）轮询后端状态接口，获取最新状态后动态更新界面内容。当任务完成或出错时，停止轮询并显示最终结果或错误提示。</w:t>
      </w:r>
    </w:p>
    <w:p>
      <w:pPr>
        <w:spacing w:line="360" w:lineRule="auto" w:before="120" w:after="120"/>
      </w:pPr>
      <w:r>
        <w:rPr>
          <w:rFonts w:ascii="Times New Roman" w:hAnsi="Times New Roman" w:eastAsia="黑体"/>
          <w:b/>
          <w:i w:val="0"/>
          <w:sz w:val="28"/>
        </w:rPr>
        <w:t>4.4 本章小结</w:t>
      </w:r>
    </w:p>
    <w:p>
      <w:pPr>
        <w:spacing w:line="360" w:lineRule="auto" w:before="0" w:after="0"/>
        <w:ind w:firstLine="420"/>
      </w:pPr>
      <w:r>
        <w:rPr>
          <w:rFonts w:ascii="Times New Roman" w:hAnsi="Times New Roman" w:eastAsia="宋体"/>
          <w:b w:val="0"/>
          <w:i w:val="0"/>
          <w:sz w:val="24"/>
        </w:rPr>
        <w:t>本章详细描述了系统各核心模块的具体实现。在核心算法层面，实现了 SMILES 到图数据的完整预处理流程、包含编码器-解码器-属性预测器三组件的 Graph VAE 模型、多任务联合损失函数与 KL 退火/早停/学习率调度等训练策略、以及基于概率采样和化学价态约束的分子解码算法和多维药物化学评估体系。在 Web 功能层面，实现了异步训练与状态轮询、性质引导采样与约束筛选、两阶段骨架优化（潜在空间微扰 + 规则侧链替换）等核心功能。在前端界面层面，基于 Bootstrap 5 构建了包含三大功能面板的响应式交互界面。各模块之间通过清晰的接口进行协作，形成了从数据输入到结果展示的完整处理链路。</w:t>
      </w:r>
    </w:p>
    <w:p>
      <w:r>
        <w:br w:type="page"/>
      </w:r>
    </w:p>
    <w:p>
      <w:pPr>
        <w:spacing w:line="360" w:lineRule="auto" w:before="240" w:after="240"/>
        <w:jc w:val="center"/>
      </w:pPr>
      <w:r>
        <w:rPr>
          <w:rFonts w:ascii="Times New Roman" w:hAnsi="Times New Roman" w:eastAsia="黑体"/>
          <w:b/>
          <w:i w:val="0"/>
          <w:sz w:val="32"/>
        </w:rPr>
        <w:t>第5章 系统测试</w:t>
      </w:r>
    </w:p>
    <w:p>
      <w:pPr>
        <w:spacing w:line="360" w:lineRule="auto" w:before="0" w:after="0"/>
        <w:ind w:firstLine="420"/>
      </w:pPr>
      <w:r>
        <w:rPr>
          <w:rFonts w:ascii="Times New Roman" w:hAnsi="Times New Roman" w:eastAsia="宋体"/>
          <w:b w:val="0"/>
          <w:i w:val="0"/>
          <w:sz w:val="24"/>
        </w:rPr>
        <w:t>为验证系统各功能模块的正确性和有效性，本章对系统进行了系统性测试。测试环境配置如下：操作系统为 Windows 10/11，Python 版本为 3.11，PyTorch 版本为 2.x，PyTorch Geometric 版本为 2.x，RDKit 版本为 2023.x，Flask 版本为 3.x。测试数据集使用 ZINC 数据集的子集（zinc_10k.smi，包含约 10,000 条 SMILES）。</w:t>
      </w:r>
    </w:p>
    <w:p>
      <w:pPr>
        <w:spacing w:line="360" w:lineRule="auto" w:before="120" w:after="120"/>
      </w:pPr>
      <w:r>
        <w:rPr>
          <w:rFonts w:ascii="Times New Roman" w:hAnsi="Times New Roman" w:eastAsia="黑体"/>
          <w:b/>
          <w:i w:val="0"/>
          <w:sz w:val="28"/>
        </w:rPr>
        <w:t>5.1 模型训练模块测试</w:t>
      </w:r>
    </w:p>
    <w:p>
      <w:pPr>
        <w:spacing w:line="360" w:lineRule="auto" w:before="0" w:after="0"/>
        <w:ind w:firstLine="420"/>
      </w:pPr>
      <w:r>
        <w:rPr>
          <w:rFonts w:ascii="Times New Roman" w:hAnsi="Times New Roman" w:eastAsia="宋体"/>
          <w:b w:val="0"/>
          <w:i w:val="0"/>
          <w:sz w:val="24"/>
        </w:rPr>
        <w:t>模型训练模块的测试目标是验证训练流程的完整性、训练状态监控的准确性以及模型保存的正确性。具体测试用例及结果如下表所示。</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020"/>
          </w:tcPr>
          <w:p>
            <w:pPr>
              <w:jc w:val="center"/>
            </w:pPr>
            <w:r/>
            <w:r>
              <w:rPr>
                <w:rFonts w:ascii="Times New Roman" w:hAnsi="Times New Roman" w:eastAsia="黑体"/>
                <w:b/>
                <w:i w:val="0"/>
                <w:sz w:val="21"/>
              </w:rPr>
              <w:t>测试编号</w:t>
            </w:r>
          </w:p>
        </w:tc>
        <w:tc>
          <w:tcPr>
            <w:tcW w:type="dxa" w:w="1417"/>
          </w:tcPr>
          <w:p>
            <w:pPr>
              <w:jc w:val="center"/>
            </w:pPr>
            <w:r/>
            <w:r>
              <w:rPr>
                <w:rFonts w:ascii="Times New Roman" w:hAnsi="Times New Roman" w:eastAsia="黑体"/>
                <w:b/>
                <w:i w:val="0"/>
                <w:sz w:val="21"/>
              </w:rPr>
              <w:t>测试内容</w:t>
            </w:r>
          </w:p>
        </w:tc>
        <w:tc>
          <w:tcPr>
            <w:tcW w:type="dxa" w:w="2268"/>
          </w:tcPr>
          <w:p>
            <w:pPr>
              <w:jc w:val="center"/>
            </w:pPr>
            <w:r/>
            <w:r>
              <w:rPr>
                <w:rFonts w:ascii="Times New Roman" w:hAnsi="Times New Roman" w:eastAsia="黑体"/>
                <w:b/>
                <w:i w:val="0"/>
                <w:sz w:val="21"/>
              </w:rPr>
              <w:t>测试步骤</w:t>
            </w:r>
          </w:p>
        </w:tc>
        <w:tc>
          <w:tcPr>
            <w:tcW w:type="dxa" w:w="2268"/>
          </w:tcPr>
          <w:p>
            <w:pPr>
              <w:jc w:val="center"/>
            </w:pPr>
            <w:r/>
            <w:r>
              <w:rPr>
                <w:rFonts w:ascii="Times New Roman" w:hAnsi="Times New Roman" w:eastAsia="黑体"/>
                <w:b/>
                <w:i w:val="0"/>
                <w:sz w:val="21"/>
              </w:rPr>
              <w:t>预期结果</w:t>
            </w:r>
          </w:p>
        </w:tc>
        <w:tc>
          <w:tcPr>
            <w:tcW w:type="dxa" w:w="850"/>
          </w:tcPr>
          <w:p>
            <w:pPr>
              <w:jc w:val="center"/>
            </w:pPr>
            <w:r/>
            <w:r>
              <w:rPr>
                <w:rFonts w:ascii="Times New Roman" w:hAnsi="Times New Roman" w:eastAsia="黑体"/>
                <w:b/>
                <w:i w:val="0"/>
                <w:sz w:val="21"/>
              </w:rPr>
              <w:t>实际结果</w:t>
            </w:r>
          </w:p>
        </w:tc>
      </w:tr>
      <w:tr>
        <w:tc>
          <w:tcPr>
            <w:tcW w:type="dxa" w:w="1020"/>
          </w:tcPr>
          <w:p>
            <w:r/>
            <w:r>
              <w:rPr>
                <w:rFonts w:ascii="Times New Roman" w:hAnsi="Times New Roman" w:eastAsia="宋体"/>
                <w:b w:val="0"/>
                <w:i w:val="0"/>
                <w:sz w:val="21"/>
              </w:rPr>
              <w:t>T1-01</w:t>
            </w:r>
          </w:p>
        </w:tc>
        <w:tc>
          <w:tcPr>
            <w:tcW w:type="dxa" w:w="1417"/>
          </w:tcPr>
          <w:p>
            <w:r/>
            <w:r>
              <w:rPr>
                <w:rFonts w:ascii="Times New Roman" w:hAnsi="Times New Roman" w:eastAsia="宋体"/>
                <w:b w:val="0"/>
                <w:i w:val="0"/>
                <w:sz w:val="21"/>
              </w:rPr>
              <w:t>数据集上传</w:t>
            </w:r>
          </w:p>
        </w:tc>
        <w:tc>
          <w:tcPr>
            <w:tcW w:type="dxa" w:w="2268"/>
          </w:tcPr>
          <w:p>
            <w:r/>
            <w:r>
              <w:rPr>
                <w:rFonts w:ascii="Times New Roman" w:hAnsi="Times New Roman" w:eastAsia="宋体"/>
                <w:b w:val="0"/>
                <w:i w:val="0"/>
                <w:sz w:val="21"/>
              </w:rPr>
              <w:t>上传 zinc_10k.smi 文件</w:t>
            </w:r>
          </w:p>
        </w:tc>
        <w:tc>
          <w:tcPr>
            <w:tcW w:type="dxa" w:w="2268"/>
          </w:tcPr>
          <w:p>
            <w:r/>
            <w:r>
              <w:rPr>
                <w:rFonts w:ascii="Times New Roman" w:hAnsi="Times New Roman" w:eastAsia="宋体"/>
                <w:b w:val="0"/>
                <w:i w:val="0"/>
                <w:sz w:val="21"/>
              </w:rPr>
              <w:t>文件成功保存至 datasets/ 目录</w:t>
            </w:r>
          </w:p>
        </w:tc>
        <w:tc>
          <w:tcPr>
            <w:tcW w:type="dxa" w:w="850"/>
          </w:tcPr>
          <w:p>
            <w:r/>
            <w:r>
              <w:rPr>
                <w:rFonts w:ascii="Times New Roman" w:hAnsi="Times New Roman" w:eastAsia="宋体"/>
                <w:b w:val="0"/>
                <w:i w:val="0"/>
                <w:sz w:val="21"/>
              </w:rPr>
              <w:t>通过</w:t>
            </w:r>
          </w:p>
        </w:tc>
      </w:tr>
      <w:tr>
        <w:tc>
          <w:tcPr>
            <w:tcW w:type="dxa" w:w="1020"/>
          </w:tcPr>
          <w:p>
            <w:r/>
            <w:r>
              <w:rPr>
                <w:rFonts w:ascii="Times New Roman" w:hAnsi="Times New Roman" w:eastAsia="宋体"/>
                <w:b w:val="0"/>
                <w:i w:val="0"/>
                <w:sz w:val="21"/>
              </w:rPr>
              <w:t>T1-02</w:t>
            </w:r>
          </w:p>
        </w:tc>
        <w:tc>
          <w:tcPr>
            <w:tcW w:type="dxa" w:w="1417"/>
          </w:tcPr>
          <w:p>
            <w:r/>
            <w:r>
              <w:rPr>
                <w:rFonts w:ascii="Times New Roman" w:hAnsi="Times New Roman" w:eastAsia="宋体"/>
                <w:b w:val="0"/>
                <w:i w:val="0"/>
                <w:sz w:val="21"/>
              </w:rPr>
              <w:t>参数配置</w:t>
            </w:r>
          </w:p>
        </w:tc>
        <w:tc>
          <w:tcPr>
            <w:tcW w:type="dxa" w:w="2268"/>
          </w:tcPr>
          <w:p>
            <w:r/>
            <w:r>
              <w:rPr>
                <w:rFonts w:ascii="Times New Roman" w:hAnsi="Times New Roman" w:eastAsia="宋体"/>
                <w:b w:val="0"/>
                <w:i w:val="0"/>
                <w:sz w:val="21"/>
              </w:rPr>
              <w:t>设置 epochs=50, lr=0.001, batch_size=32, hidden_dim=64, latent_dim=32</w:t>
            </w:r>
          </w:p>
        </w:tc>
        <w:tc>
          <w:tcPr>
            <w:tcW w:type="dxa" w:w="2268"/>
          </w:tcPr>
          <w:p>
            <w:r/>
            <w:r>
              <w:rPr>
                <w:rFonts w:ascii="Times New Roman" w:hAnsi="Times New Roman" w:eastAsia="宋体"/>
                <w:b w:val="0"/>
                <w:i w:val="0"/>
                <w:sz w:val="21"/>
              </w:rPr>
              <w:t>参数正确传递至训练函数</w:t>
            </w:r>
          </w:p>
        </w:tc>
        <w:tc>
          <w:tcPr>
            <w:tcW w:type="dxa" w:w="850"/>
          </w:tcPr>
          <w:p>
            <w:r/>
            <w:r>
              <w:rPr>
                <w:rFonts w:ascii="Times New Roman" w:hAnsi="Times New Roman" w:eastAsia="宋体"/>
                <w:b w:val="0"/>
                <w:i w:val="0"/>
                <w:sz w:val="21"/>
              </w:rPr>
              <w:t>通过</w:t>
            </w:r>
          </w:p>
        </w:tc>
      </w:tr>
      <w:tr>
        <w:tc>
          <w:tcPr>
            <w:tcW w:type="dxa" w:w="1020"/>
          </w:tcPr>
          <w:p>
            <w:r/>
            <w:r>
              <w:rPr>
                <w:rFonts w:ascii="Times New Roman" w:hAnsi="Times New Roman" w:eastAsia="宋体"/>
                <w:b w:val="0"/>
                <w:i w:val="0"/>
                <w:sz w:val="21"/>
              </w:rPr>
              <w:t>T1-03</w:t>
            </w:r>
          </w:p>
        </w:tc>
        <w:tc>
          <w:tcPr>
            <w:tcW w:type="dxa" w:w="1417"/>
          </w:tcPr>
          <w:p>
            <w:r/>
            <w:r>
              <w:rPr>
                <w:rFonts w:ascii="Times New Roman" w:hAnsi="Times New Roman" w:eastAsia="宋体"/>
                <w:b w:val="0"/>
                <w:i w:val="0"/>
                <w:sz w:val="21"/>
              </w:rPr>
              <w:t>训练启动</w:t>
            </w:r>
          </w:p>
        </w:tc>
        <w:tc>
          <w:tcPr>
            <w:tcW w:type="dxa" w:w="2268"/>
          </w:tcPr>
          <w:p>
            <w:r/>
            <w:r>
              <w:rPr>
                <w:rFonts w:ascii="Times New Roman" w:hAnsi="Times New Roman" w:eastAsia="宋体"/>
                <w:b w:val="0"/>
                <w:i w:val="0"/>
                <w:sz w:val="21"/>
              </w:rPr>
              <w:t>点击"开始训练"按钮</w:t>
            </w:r>
          </w:p>
        </w:tc>
        <w:tc>
          <w:tcPr>
            <w:tcW w:type="dxa" w:w="2268"/>
          </w:tcPr>
          <w:p>
            <w:r/>
            <w:r>
              <w:rPr>
                <w:rFonts w:ascii="Times New Roman" w:hAnsi="Times New Roman" w:eastAsia="宋体"/>
                <w:b w:val="0"/>
                <w:i w:val="0"/>
                <w:sz w:val="21"/>
              </w:rPr>
              <w:t>后台线程启动，状态变为 training</w:t>
            </w:r>
          </w:p>
        </w:tc>
        <w:tc>
          <w:tcPr>
            <w:tcW w:type="dxa" w:w="850"/>
          </w:tcPr>
          <w:p>
            <w:r/>
            <w:r>
              <w:rPr>
                <w:rFonts w:ascii="Times New Roman" w:hAnsi="Times New Roman" w:eastAsia="宋体"/>
                <w:b w:val="0"/>
                <w:i w:val="0"/>
                <w:sz w:val="21"/>
              </w:rPr>
              <w:t>通过</w:t>
            </w:r>
          </w:p>
        </w:tc>
      </w:tr>
      <w:tr>
        <w:tc>
          <w:tcPr>
            <w:tcW w:type="dxa" w:w="1020"/>
          </w:tcPr>
          <w:p>
            <w:r/>
            <w:r>
              <w:rPr>
                <w:rFonts w:ascii="Times New Roman" w:hAnsi="Times New Roman" w:eastAsia="宋体"/>
                <w:b w:val="0"/>
                <w:i w:val="0"/>
                <w:sz w:val="21"/>
              </w:rPr>
              <w:t>T1-04</w:t>
            </w:r>
          </w:p>
        </w:tc>
        <w:tc>
          <w:tcPr>
            <w:tcW w:type="dxa" w:w="1417"/>
          </w:tcPr>
          <w:p>
            <w:r/>
            <w:r>
              <w:rPr>
                <w:rFonts w:ascii="Times New Roman" w:hAnsi="Times New Roman" w:eastAsia="宋体"/>
                <w:b w:val="0"/>
                <w:i w:val="0"/>
                <w:sz w:val="21"/>
              </w:rPr>
              <w:t>状态轮询</w:t>
            </w:r>
          </w:p>
        </w:tc>
        <w:tc>
          <w:tcPr>
            <w:tcW w:type="dxa" w:w="2268"/>
          </w:tcPr>
          <w:p>
            <w:r/>
            <w:r>
              <w:rPr>
                <w:rFonts w:ascii="Times New Roman" w:hAnsi="Times New Roman" w:eastAsia="宋体"/>
                <w:b w:val="0"/>
                <w:i w:val="0"/>
                <w:sz w:val="21"/>
              </w:rPr>
              <w:t>观察训练日志区域</w:t>
            </w:r>
          </w:p>
        </w:tc>
        <w:tc>
          <w:tcPr>
            <w:tcW w:type="dxa" w:w="2268"/>
          </w:tcPr>
          <w:p>
            <w:r/>
            <w:r>
              <w:rPr>
                <w:rFonts w:ascii="Times New Roman" w:hAnsi="Times New Roman" w:eastAsia="宋体"/>
                <w:b w:val="0"/>
                <w:i w:val="0"/>
                <w:sz w:val="21"/>
              </w:rPr>
              <w:t>实时显示当前轮次、损失值等信息</w:t>
            </w:r>
          </w:p>
        </w:tc>
        <w:tc>
          <w:tcPr>
            <w:tcW w:type="dxa" w:w="850"/>
          </w:tcPr>
          <w:p>
            <w:r/>
            <w:r>
              <w:rPr>
                <w:rFonts w:ascii="Times New Roman" w:hAnsi="Times New Roman" w:eastAsia="宋体"/>
                <w:b w:val="0"/>
                <w:i w:val="0"/>
                <w:sz w:val="21"/>
              </w:rPr>
              <w:t>通过</w:t>
            </w:r>
          </w:p>
        </w:tc>
      </w:tr>
      <w:tr>
        <w:tc>
          <w:tcPr>
            <w:tcW w:type="dxa" w:w="1020"/>
          </w:tcPr>
          <w:p>
            <w:r/>
            <w:r>
              <w:rPr>
                <w:rFonts w:ascii="Times New Roman" w:hAnsi="Times New Roman" w:eastAsia="宋体"/>
                <w:b w:val="0"/>
                <w:i w:val="0"/>
                <w:sz w:val="21"/>
              </w:rPr>
              <w:t>T1-05</w:t>
            </w:r>
          </w:p>
        </w:tc>
        <w:tc>
          <w:tcPr>
            <w:tcW w:type="dxa" w:w="1417"/>
          </w:tcPr>
          <w:p>
            <w:r/>
            <w:r>
              <w:rPr>
                <w:rFonts w:ascii="Times New Roman" w:hAnsi="Times New Roman" w:eastAsia="宋体"/>
                <w:b w:val="0"/>
                <w:i w:val="0"/>
                <w:sz w:val="21"/>
              </w:rPr>
              <w:t>KL 退火</w:t>
            </w:r>
          </w:p>
        </w:tc>
        <w:tc>
          <w:tcPr>
            <w:tcW w:type="dxa" w:w="2268"/>
          </w:tcPr>
          <w:p>
            <w:r/>
            <w:r>
              <w:rPr>
                <w:rFonts w:ascii="Times New Roman" w:hAnsi="Times New Roman" w:eastAsia="宋体"/>
                <w:b w:val="0"/>
                <w:i w:val="0"/>
                <w:sz w:val="21"/>
              </w:rPr>
              <w:t>观察前 15 轮的 Beta 值</w:t>
            </w:r>
          </w:p>
        </w:tc>
        <w:tc>
          <w:tcPr>
            <w:tcW w:type="dxa" w:w="2268"/>
          </w:tcPr>
          <w:p>
            <w:r/>
            <w:r>
              <w:rPr>
                <w:rFonts w:ascii="Times New Roman" w:hAnsi="Times New Roman" w:eastAsia="宋体"/>
                <w:b w:val="0"/>
                <w:i w:val="0"/>
                <w:sz w:val="21"/>
              </w:rPr>
              <w:t>Beta 从 0 线性增长至 0.05</w:t>
            </w:r>
          </w:p>
        </w:tc>
        <w:tc>
          <w:tcPr>
            <w:tcW w:type="dxa" w:w="850"/>
          </w:tcPr>
          <w:p>
            <w:r/>
            <w:r>
              <w:rPr>
                <w:rFonts w:ascii="Times New Roman" w:hAnsi="Times New Roman" w:eastAsia="宋体"/>
                <w:b w:val="0"/>
                <w:i w:val="0"/>
                <w:sz w:val="21"/>
              </w:rPr>
              <w:t>通过</w:t>
            </w:r>
          </w:p>
        </w:tc>
      </w:tr>
      <w:tr>
        <w:tc>
          <w:tcPr>
            <w:tcW w:type="dxa" w:w="1020"/>
          </w:tcPr>
          <w:p>
            <w:r/>
            <w:r>
              <w:rPr>
                <w:rFonts w:ascii="Times New Roman" w:hAnsi="Times New Roman" w:eastAsia="宋体"/>
                <w:b w:val="0"/>
                <w:i w:val="0"/>
                <w:sz w:val="21"/>
              </w:rPr>
              <w:t>T1-06</w:t>
            </w:r>
          </w:p>
        </w:tc>
        <w:tc>
          <w:tcPr>
            <w:tcW w:type="dxa" w:w="1417"/>
          </w:tcPr>
          <w:p>
            <w:r/>
            <w:r>
              <w:rPr>
                <w:rFonts w:ascii="Times New Roman" w:hAnsi="Times New Roman" w:eastAsia="宋体"/>
                <w:b w:val="0"/>
                <w:i w:val="0"/>
                <w:sz w:val="21"/>
              </w:rPr>
              <w:t>早停机制</w:t>
            </w:r>
          </w:p>
        </w:tc>
        <w:tc>
          <w:tcPr>
            <w:tcW w:type="dxa" w:w="2268"/>
          </w:tcPr>
          <w:p>
            <w:r/>
            <w:r>
              <w:rPr>
                <w:rFonts w:ascii="Times New Roman" w:hAnsi="Times New Roman" w:eastAsia="宋体"/>
                <w:b w:val="0"/>
                <w:i w:val="0"/>
                <w:sz w:val="21"/>
              </w:rPr>
              <w:t>设置 patience=10，观察训练终止条件</w:t>
            </w:r>
          </w:p>
        </w:tc>
        <w:tc>
          <w:tcPr>
            <w:tcW w:type="dxa" w:w="2268"/>
          </w:tcPr>
          <w:p>
            <w:r/>
            <w:r>
              <w:rPr>
                <w:rFonts w:ascii="Times New Roman" w:hAnsi="Times New Roman" w:eastAsia="宋体"/>
                <w:b w:val="0"/>
                <w:i w:val="0"/>
                <w:sz w:val="21"/>
              </w:rPr>
              <w:t>验证损失连续 10 轮不改善时自动停止</w:t>
            </w:r>
          </w:p>
        </w:tc>
        <w:tc>
          <w:tcPr>
            <w:tcW w:type="dxa" w:w="850"/>
          </w:tcPr>
          <w:p>
            <w:r/>
            <w:r>
              <w:rPr>
                <w:rFonts w:ascii="Times New Roman" w:hAnsi="Times New Roman" w:eastAsia="宋体"/>
                <w:b w:val="0"/>
                <w:i w:val="0"/>
                <w:sz w:val="21"/>
              </w:rPr>
              <w:t>通过</w:t>
            </w:r>
          </w:p>
        </w:tc>
      </w:tr>
      <w:tr>
        <w:tc>
          <w:tcPr>
            <w:tcW w:type="dxa" w:w="1020"/>
          </w:tcPr>
          <w:p>
            <w:r/>
            <w:r>
              <w:rPr>
                <w:rFonts w:ascii="Times New Roman" w:hAnsi="Times New Roman" w:eastAsia="宋体"/>
                <w:b w:val="0"/>
                <w:i w:val="0"/>
                <w:sz w:val="21"/>
              </w:rPr>
              <w:t>T1-07</w:t>
            </w:r>
          </w:p>
        </w:tc>
        <w:tc>
          <w:tcPr>
            <w:tcW w:type="dxa" w:w="1417"/>
          </w:tcPr>
          <w:p>
            <w:r/>
            <w:r>
              <w:rPr>
                <w:rFonts w:ascii="Times New Roman" w:hAnsi="Times New Roman" w:eastAsia="宋体"/>
                <w:b w:val="0"/>
                <w:i w:val="0"/>
                <w:sz w:val="21"/>
              </w:rPr>
              <w:t>模型保存</w:t>
            </w:r>
          </w:p>
        </w:tc>
        <w:tc>
          <w:tcPr>
            <w:tcW w:type="dxa" w:w="2268"/>
          </w:tcPr>
          <w:p>
            <w:r/>
            <w:r>
              <w:rPr>
                <w:rFonts w:ascii="Times New Roman" w:hAnsi="Times New Roman" w:eastAsia="宋体"/>
                <w:b w:val="0"/>
                <w:i w:val="0"/>
                <w:sz w:val="21"/>
              </w:rPr>
              <w:t>训练完成后检查 models/ 目录</w:t>
            </w:r>
          </w:p>
        </w:tc>
        <w:tc>
          <w:tcPr>
            <w:tcW w:type="dxa" w:w="2268"/>
          </w:tcPr>
          <w:p>
            <w:r/>
            <w:r>
              <w:rPr>
                <w:rFonts w:ascii="Times New Roman" w:hAnsi="Times New Roman" w:eastAsia="宋体"/>
                <w:b w:val="0"/>
                <w:i w:val="0"/>
                <w:sz w:val="21"/>
              </w:rPr>
              <w:t>生成 .pth 模型文件，包含完整元信息</w:t>
            </w:r>
          </w:p>
        </w:tc>
        <w:tc>
          <w:tcPr>
            <w:tcW w:type="dxa" w:w="850"/>
          </w:tcPr>
          <w:p>
            <w:r/>
            <w:r>
              <w:rPr>
                <w:rFonts w:ascii="Times New Roman" w:hAnsi="Times New Roman" w:eastAsia="宋体"/>
                <w:b w:val="0"/>
                <w:i w:val="0"/>
                <w:sz w:val="21"/>
              </w:rPr>
              <w:t>通过</w:t>
            </w:r>
          </w:p>
        </w:tc>
      </w:tr>
      <w:tr>
        <w:tc>
          <w:tcPr>
            <w:tcW w:type="dxa" w:w="1020"/>
          </w:tcPr>
          <w:p>
            <w:r/>
            <w:r>
              <w:rPr>
                <w:rFonts w:ascii="Times New Roman" w:hAnsi="Times New Roman" w:eastAsia="宋体"/>
                <w:b w:val="0"/>
                <w:i w:val="0"/>
                <w:sz w:val="21"/>
              </w:rPr>
              <w:t>T1-08</w:t>
            </w:r>
          </w:p>
        </w:tc>
        <w:tc>
          <w:tcPr>
            <w:tcW w:type="dxa" w:w="1417"/>
          </w:tcPr>
          <w:p>
            <w:r/>
            <w:r>
              <w:rPr>
                <w:rFonts w:ascii="Times New Roman" w:hAnsi="Times New Roman" w:eastAsia="宋体"/>
                <w:b w:val="0"/>
                <w:i w:val="0"/>
                <w:sz w:val="21"/>
              </w:rPr>
              <w:t>空数据集处理</w:t>
            </w:r>
          </w:p>
        </w:tc>
        <w:tc>
          <w:tcPr>
            <w:tcW w:type="dxa" w:w="2268"/>
          </w:tcPr>
          <w:p>
            <w:r/>
            <w:r>
              <w:rPr>
                <w:rFonts w:ascii="Times New Roman" w:hAnsi="Times New Roman" w:eastAsia="宋体"/>
                <w:b w:val="0"/>
                <w:i w:val="0"/>
                <w:sz w:val="21"/>
              </w:rPr>
              <w:t>上传空的 .smi 文件</w:t>
            </w:r>
          </w:p>
        </w:tc>
        <w:tc>
          <w:tcPr>
            <w:tcW w:type="dxa" w:w="2268"/>
          </w:tcPr>
          <w:p>
            <w:r/>
            <w:r>
              <w:rPr>
                <w:rFonts w:ascii="Times New Roman" w:hAnsi="Times New Roman" w:eastAsia="宋体"/>
                <w:b w:val="0"/>
                <w:i w:val="0"/>
                <w:sz w:val="21"/>
              </w:rPr>
              <w:t>系统给出"未发现有效分子"错误提示</w:t>
            </w:r>
          </w:p>
        </w:tc>
        <w:tc>
          <w:tcPr>
            <w:tcW w:type="dxa" w:w="850"/>
          </w:tcPr>
          <w:p>
            <w:r/>
            <w:r>
              <w:rPr>
                <w:rFonts w:ascii="Times New Roman" w:hAnsi="Times New Roman" w:eastAsia="宋体"/>
                <w:b w:val="0"/>
                <w:i w:val="0"/>
                <w:sz w:val="21"/>
              </w:rPr>
              <w:t>通过</w:t>
            </w:r>
          </w:p>
        </w:tc>
      </w:tr>
    </w:tbl>
    <w:p>
      <w:pPr>
        <w:spacing w:line="240" w:lineRule="auto" w:before="0" w:after="0"/>
      </w:pPr>
    </w:p>
    <w:p>
      <w:pPr>
        <w:spacing w:line="360" w:lineRule="auto" w:before="120" w:after="60"/>
        <w:jc w:val="center"/>
      </w:pPr>
      <w:r>
        <w:rPr>
          <w:rFonts w:ascii="Times New Roman" w:hAnsi="Times New Roman" w:eastAsia="楷体"/>
          <w:b w:val="0"/>
          <w:i w:val="0"/>
          <w:color w:val="B40000"/>
          <w:sz w:val="24"/>
        </w:rPr>
        <w:t>[此处插入图 5-1  模型训练启动界面截图]</w:t>
      </w:r>
    </w:p>
    <w:p>
      <w:pPr>
        <w:spacing w:line="360" w:lineRule="auto" w:before="0" w:after="120"/>
        <w:jc w:val="center"/>
      </w:pPr>
      <w:r>
        <w:rPr>
          <w:rFonts w:ascii="Times New Roman" w:hAnsi="Times New Roman" w:eastAsia="宋体"/>
          <w:b w:val="0"/>
          <w:i w:val="0"/>
          <w:sz w:val="21"/>
        </w:rPr>
        <w:t>图 5-1  模型训练启动界面截图</w:t>
      </w:r>
    </w:p>
    <w:p>
      <w:pPr>
        <w:spacing w:line="360" w:lineRule="auto" w:before="120" w:after="60"/>
        <w:jc w:val="center"/>
      </w:pPr>
      <w:r>
        <w:rPr>
          <w:rFonts w:ascii="Times New Roman" w:hAnsi="Times New Roman" w:eastAsia="楷体"/>
          <w:b w:val="0"/>
          <w:i w:val="0"/>
          <w:color w:val="B40000"/>
          <w:sz w:val="24"/>
        </w:rPr>
        <w:t>[此处插入图 5-2  模型训练过程日志截图]</w:t>
      </w:r>
    </w:p>
    <w:p>
      <w:pPr>
        <w:spacing w:line="360" w:lineRule="auto" w:before="0" w:after="120"/>
        <w:jc w:val="center"/>
      </w:pPr>
      <w:r>
        <w:rPr>
          <w:rFonts w:ascii="Times New Roman" w:hAnsi="Times New Roman" w:eastAsia="宋体"/>
          <w:b w:val="0"/>
          <w:i w:val="0"/>
          <w:sz w:val="21"/>
        </w:rPr>
        <w:t>图 5-2  模型训练过程日志截图</w:t>
      </w:r>
    </w:p>
    <w:p>
      <w:pPr>
        <w:spacing w:line="360" w:lineRule="auto" w:before="120" w:after="60"/>
        <w:jc w:val="center"/>
      </w:pPr>
      <w:r>
        <w:rPr>
          <w:rFonts w:ascii="Times New Roman" w:hAnsi="Times New Roman" w:eastAsia="楷体"/>
          <w:b w:val="0"/>
          <w:i w:val="0"/>
          <w:color w:val="B40000"/>
          <w:sz w:val="24"/>
        </w:rPr>
        <w:t>[此处插入图 5-3  模型训练完成界面截图]</w:t>
      </w:r>
    </w:p>
    <w:p>
      <w:pPr>
        <w:spacing w:line="360" w:lineRule="auto" w:before="0" w:after="120"/>
        <w:jc w:val="center"/>
      </w:pPr>
      <w:r>
        <w:rPr>
          <w:rFonts w:ascii="Times New Roman" w:hAnsi="Times New Roman" w:eastAsia="宋体"/>
          <w:b w:val="0"/>
          <w:i w:val="0"/>
          <w:sz w:val="21"/>
        </w:rPr>
        <w:t>图 5-3  模型训练完成界面截图</w:t>
      </w:r>
    </w:p>
    <w:p>
      <w:pPr>
        <w:spacing w:line="360" w:lineRule="auto" w:before="0" w:after="0"/>
        <w:ind w:firstLine="420"/>
      </w:pPr>
      <w:r>
        <w:rPr>
          <w:rFonts w:ascii="Times New Roman" w:hAnsi="Times New Roman" w:eastAsia="宋体"/>
          <w:b w:val="0"/>
          <w:i w:val="0"/>
          <w:sz w:val="24"/>
        </w:rPr>
        <w:t>测试结果表明，模型训练模块的各项功能均按预期工作。训练过程中的损失值呈现正常的下降趋势，KL 退火策略和早停机制工作正常，训练完成后的模型文件包含了正确的模型参数和元信息。使用 zinc_10k 数据集、默认超参数训练 50 轮，在 CPU 环境下约耗时 10-20 分钟，验证损失在第 20-30 轮左右趋于稳定。</w:t>
      </w:r>
    </w:p>
    <w:p>
      <w:pPr>
        <w:spacing w:line="360" w:lineRule="auto" w:before="120" w:after="120"/>
      </w:pPr>
      <w:r>
        <w:rPr>
          <w:rFonts w:ascii="Times New Roman" w:hAnsi="Times New Roman" w:eastAsia="黑体"/>
          <w:b/>
          <w:i w:val="0"/>
          <w:sz w:val="28"/>
        </w:rPr>
        <w:t>5.2 分子生成模块测试</w:t>
      </w:r>
    </w:p>
    <w:p>
      <w:pPr>
        <w:spacing w:line="360" w:lineRule="auto" w:before="0" w:after="0"/>
        <w:ind w:firstLine="420"/>
      </w:pPr>
      <w:r>
        <w:rPr>
          <w:rFonts w:ascii="Times New Roman" w:hAnsi="Times New Roman" w:eastAsia="宋体"/>
          <w:b w:val="0"/>
          <w:i w:val="0"/>
          <w:sz w:val="24"/>
        </w:rPr>
        <w:t>分子生成模块的测试目标是验证性质引导采样、约束筛选和去重排序等核心功能的正确性和有效性。具体测试用例及结果如下表所示。</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020"/>
          </w:tcPr>
          <w:p>
            <w:pPr>
              <w:jc w:val="center"/>
            </w:pPr>
            <w:r/>
            <w:r>
              <w:rPr>
                <w:rFonts w:ascii="Times New Roman" w:hAnsi="Times New Roman" w:eastAsia="黑体"/>
                <w:b/>
                <w:i w:val="0"/>
                <w:sz w:val="21"/>
              </w:rPr>
              <w:t>测试编号</w:t>
            </w:r>
          </w:p>
        </w:tc>
        <w:tc>
          <w:tcPr>
            <w:tcW w:type="dxa" w:w="1587"/>
          </w:tcPr>
          <w:p>
            <w:pPr>
              <w:jc w:val="center"/>
            </w:pPr>
            <w:r/>
            <w:r>
              <w:rPr>
                <w:rFonts w:ascii="Times New Roman" w:hAnsi="Times New Roman" w:eastAsia="黑体"/>
                <w:b/>
                <w:i w:val="0"/>
                <w:sz w:val="21"/>
              </w:rPr>
              <w:t>测试内容</w:t>
            </w:r>
          </w:p>
        </w:tc>
        <w:tc>
          <w:tcPr>
            <w:tcW w:type="dxa" w:w="2268"/>
          </w:tcPr>
          <w:p>
            <w:pPr>
              <w:jc w:val="center"/>
            </w:pPr>
            <w:r/>
            <w:r>
              <w:rPr>
                <w:rFonts w:ascii="Times New Roman" w:hAnsi="Times New Roman" w:eastAsia="黑体"/>
                <w:b/>
                <w:i w:val="0"/>
                <w:sz w:val="21"/>
              </w:rPr>
              <w:t>测试步骤</w:t>
            </w:r>
          </w:p>
        </w:tc>
        <w:tc>
          <w:tcPr>
            <w:tcW w:type="dxa" w:w="2154"/>
          </w:tcPr>
          <w:p>
            <w:pPr>
              <w:jc w:val="center"/>
            </w:pPr>
            <w:r/>
            <w:r>
              <w:rPr>
                <w:rFonts w:ascii="Times New Roman" w:hAnsi="Times New Roman" w:eastAsia="黑体"/>
                <w:b/>
                <w:i w:val="0"/>
                <w:sz w:val="21"/>
              </w:rPr>
              <w:t>预期结果</w:t>
            </w:r>
          </w:p>
        </w:tc>
        <w:tc>
          <w:tcPr>
            <w:tcW w:type="dxa" w:w="850"/>
          </w:tcPr>
          <w:p>
            <w:pPr>
              <w:jc w:val="center"/>
            </w:pPr>
            <w:r/>
            <w:r>
              <w:rPr>
                <w:rFonts w:ascii="Times New Roman" w:hAnsi="Times New Roman" w:eastAsia="黑体"/>
                <w:b/>
                <w:i w:val="0"/>
                <w:sz w:val="21"/>
              </w:rPr>
              <w:t>实际结果</w:t>
            </w:r>
          </w:p>
        </w:tc>
      </w:tr>
      <w:tr>
        <w:tc>
          <w:tcPr>
            <w:tcW w:type="dxa" w:w="1020"/>
          </w:tcPr>
          <w:p>
            <w:r/>
            <w:r>
              <w:rPr>
                <w:rFonts w:ascii="Times New Roman" w:hAnsi="Times New Roman" w:eastAsia="宋体"/>
                <w:b w:val="0"/>
                <w:i w:val="0"/>
                <w:sz w:val="21"/>
              </w:rPr>
              <w:t>T2-01</w:t>
            </w:r>
          </w:p>
        </w:tc>
        <w:tc>
          <w:tcPr>
            <w:tcW w:type="dxa" w:w="1587"/>
          </w:tcPr>
          <w:p>
            <w:r/>
            <w:r>
              <w:rPr>
                <w:rFonts w:ascii="Times New Roman" w:hAnsi="Times New Roman" w:eastAsia="宋体"/>
                <w:b w:val="0"/>
                <w:i w:val="0"/>
                <w:sz w:val="21"/>
              </w:rPr>
              <w:t>模型加载</w:t>
            </w:r>
          </w:p>
        </w:tc>
        <w:tc>
          <w:tcPr>
            <w:tcW w:type="dxa" w:w="2268"/>
          </w:tcPr>
          <w:p>
            <w:r/>
            <w:r>
              <w:rPr>
                <w:rFonts w:ascii="Times New Roman" w:hAnsi="Times New Roman" w:eastAsia="宋体"/>
                <w:b w:val="0"/>
                <w:i w:val="0"/>
                <w:sz w:val="21"/>
              </w:rPr>
              <w:t>选择已训练的 zinc_10k.pth 模型</w:t>
            </w:r>
          </w:p>
        </w:tc>
        <w:tc>
          <w:tcPr>
            <w:tcW w:type="dxa" w:w="2154"/>
          </w:tcPr>
          <w:p>
            <w:r/>
            <w:r>
              <w:rPr>
                <w:rFonts w:ascii="Times New Roman" w:hAnsi="Times New Roman" w:eastAsia="宋体"/>
                <w:b w:val="0"/>
                <w:i w:val="0"/>
                <w:sz w:val="21"/>
              </w:rPr>
              <w:t>模型成功加载，参数维度匹配</w:t>
            </w:r>
          </w:p>
        </w:tc>
        <w:tc>
          <w:tcPr>
            <w:tcW w:type="dxa" w:w="850"/>
          </w:tcPr>
          <w:p>
            <w:r/>
            <w:r>
              <w:rPr>
                <w:rFonts w:ascii="Times New Roman" w:hAnsi="Times New Roman" w:eastAsia="宋体"/>
                <w:b w:val="0"/>
                <w:i w:val="0"/>
                <w:sz w:val="21"/>
              </w:rPr>
              <w:t>通过</w:t>
            </w:r>
          </w:p>
        </w:tc>
      </w:tr>
      <w:tr>
        <w:tc>
          <w:tcPr>
            <w:tcW w:type="dxa" w:w="1020"/>
          </w:tcPr>
          <w:p>
            <w:r/>
            <w:r>
              <w:rPr>
                <w:rFonts w:ascii="Times New Roman" w:hAnsi="Times New Roman" w:eastAsia="宋体"/>
                <w:b w:val="0"/>
                <w:i w:val="0"/>
                <w:sz w:val="21"/>
              </w:rPr>
              <w:t>T2-02</w:t>
            </w:r>
          </w:p>
        </w:tc>
        <w:tc>
          <w:tcPr>
            <w:tcW w:type="dxa" w:w="1587"/>
          </w:tcPr>
          <w:p>
            <w:r/>
            <w:r>
              <w:rPr>
                <w:rFonts w:ascii="Times New Roman" w:hAnsi="Times New Roman" w:eastAsia="宋体"/>
                <w:b w:val="0"/>
                <w:i w:val="0"/>
                <w:sz w:val="21"/>
              </w:rPr>
              <w:t>默认约束生成</w:t>
            </w:r>
          </w:p>
        </w:tc>
        <w:tc>
          <w:tcPr>
            <w:tcW w:type="dxa" w:w="2268"/>
          </w:tcPr>
          <w:p>
            <w:r/>
            <w:r>
              <w:rPr>
                <w:rFonts w:ascii="Times New Roman" w:hAnsi="Times New Roman" w:eastAsia="宋体"/>
                <w:b w:val="0"/>
                <w:i w:val="0"/>
                <w:sz w:val="21"/>
              </w:rPr>
              <w:t>使用默认约束参数，sample_count=100</w:t>
            </w:r>
          </w:p>
        </w:tc>
        <w:tc>
          <w:tcPr>
            <w:tcW w:type="dxa" w:w="2154"/>
          </w:tcPr>
          <w:p>
            <w:r/>
            <w:r>
              <w:rPr>
                <w:rFonts w:ascii="Times New Roman" w:hAnsi="Times New Roman" w:eastAsia="宋体"/>
                <w:b w:val="0"/>
                <w:i w:val="0"/>
                <w:sz w:val="21"/>
              </w:rPr>
              <w:t>生成多个满足约束的分子</w:t>
            </w:r>
          </w:p>
        </w:tc>
        <w:tc>
          <w:tcPr>
            <w:tcW w:type="dxa" w:w="850"/>
          </w:tcPr>
          <w:p>
            <w:r/>
            <w:r>
              <w:rPr>
                <w:rFonts w:ascii="Times New Roman" w:hAnsi="Times New Roman" w:eastAsia="宋体"/>
                <w:b w:val="0"/>
                <w:i w:val="0"/>
                <w:sz w:val="21"/>
              </w:rPr>
              <w:t>通过</w:t>
            </w:r>
          </w:p>
        </w:tc>
      </w:tr>
      <w:tr>
        <w:tc>
          <w:tcPr>
            <w:tcW w:type="dxa" w:w="1020"/>
          </w:tcPr>
          <w:p>
            <w:r/>
            <w:r>
              <w:rPr>
                <w:rFonts w:ascii="Times New Roman" w:hAnsi="Times New Roman" w:eastAsia="宋体"/>
                <w:b w:val="0"/>
                <w:i w:val="0"/>
                <w:sz w:val="21"/>
              </w:rPr>
              <w:t>T2-03</w:t>
            </w:r>
          </w:p>
        </w:tc>
        <w:tc>
          <w:tcPr>
            <w:tcW w:type="dxa" w:w="1587"/>
          </w:tcPr>
          <w:p>
            <w:r/>
            <w:r>
              <w:rPr>
                <w:rFonts w:ascii="Times New Roman" w:hAnsi="Times New Roman" w:eastAsia="宋体"/>
                <w:b w:val="0"/>
                <w:i w:val="0"/>
                <w:sz w:val="21"/>
              </w:rPr>
              <w:t>严格约束生成</w:t>
            </w:r>
          </w:p>
        </w:tc>
        <w:tc>
          <w:tcPr>
            <w:tcW w:type="dxa" w:w="2268"/>
          </w:tcPr>
          <w:p>
            <w:r/>
            <w:r>
              <w:rPr>
                <w:rFonts w:ascii="Times New Roman" w:hAnsi="Times New Roman" w:eastAsia="宋体"/>
                <w:b w:val="0"/>
                <w:i w:val="0"/>
                <w:sz w:val="21"/>
              </w:rPr>
              <w:t>设置 QED≥0.7, MW:200-400, LogP:1-3</w:t>
            </w:r>
          </w:p>
        </w:tc>
        <w:tc>
          <w:tcPr>
            <w:tcW w:type="dxa" w:w="2154"/>
          </w:tcPr>
          <w:p>
            <w:r/>
            <w:r>
              <w:rPr>
                <w:rFonts w:ascii="Times New Roman" w:hAnsi="Times New Roman" w:eastAsia="宋体"/>
                <w:b w:val="0"/>
                <w:i w:val="0"/>
                <w:sz w:val="21"/>
              </w:rPr>
              <w:t>输出分子均满足设定约束</w:t>
            </w:r>
          </w:p>
        </w:tc>
        <w:tc>
          <w:tcPr>
            <w:tcW w:type="dxa" w:w="850"/>
          </w:tcPr>
          <w:p>
            <w:r/>
            <w:r>
              <w:rPr>
                <w:rFonts w:ascii="Times New Roman" w:hAnsi="Times New Roman" w:eastAsia="宋体"/>
                <w:b w:val="0"/>
                <w:i w:val="0"/>
                <w:sz w:val="21"/>
              </w:rPr>
              <w:t>通过</w:t>
            </w:r>
          </w:p>
        </w:tc>
      </w:tr>
      <w:tr>
        <w:tc>
          <w:tcPr>
            <w:tcW w:type="dxa" w:w="1020"/>
          </w:tcPr>
          <w:p>
            <w:r/>
            <w:r>
              <w:rPr>
                <w:rFonts w:ascii="Times New Roman" w:hAnsi="Times New Roman" w:eastAsia="宋体"/>
                <w:b w:val="0"/>
                <w:i w:val="0"/>
                <w:sz w:val="21"/>
              </w:rPr>
              <w:t>T2-04</w:t>
            </w:r>
          </w:p>
        </w:tc>
        <w:tc>
          <w:tcPr>
            <w:tcW w:type="dxa" w:w="1587"/>
          </w:tcPr>
          <w:p>
            <w:r/>
            <w:r>
              <w:rPr>
                <w:rFonts w:ascii="Times New Roman" w:hAnsi="Times New Roman" w:eastAsia="宋体"/>
                <w:b w:val="0"/>
                <w:i w:val="0"/>
                <w:sz w:val="21"/>
              </w:rPr>
              <w:t>引导采样效果</w:t>
            </w:r>
          </w:p>
        </w:tc>
        <w:tc>
          <w:tcPr>
            <w:tcW w:type="dxa" w:w="2268"/>
          </w:tcPr>
          <w:p>
            <w:r/>
            <w:r>
              <w:rPr>
                <w:rFonts w:ascii="Times New Roman" w:hAnsi="Times New Roman" w:eastAsia="宋体"/>
                <w:b w:val="0"/>
                <w:i w:val="0"/>
                <w:sz w:val="21"/>
              </w:rPr>
              <w:t>对比有/无引导采样的命中率</w:t>
            </w:r>
          </w:p>
        </w:tc>
        <w:tc>
          <w:tcPr>
            <w:tcW w:type="dxa" w:w="2154"/>
          </w:tcPr>
          <w:p>
            <w:r/>
            <w:r>
              <w:rPr>
                <w:rFonts w:ascii="Times New Roman" w:hAnsi="Times New Roman" w:eastAsia="宋体"/>
                <w:b w:val="0"/>
                <w:i w:val="0"/>
                <w:sz w:val="21"/>
              </w:rPr>
              <w:t>引导采样显著提高约束满足率</w:t>
            </w:r>
          </w:p>
        </w:tc>
        <w:tc>
          <w:tcPr>
            <w:tcW w:type="dxa" w:w="850"/>
          </w:tcPr>
          <w:p>
            <w:r/>
            <w:r>
              <w:rPr>
                <w:rFonts w:ascii="Times New Roman" w:hAnsi="Times New Roman" w:eastAsia="宋体"/>
                <w:b w:val="0"/>
                <w:i w:val="0"/>
                <w:sz w:val="21"/>
              </w:rPr>
              <w:t>通过</w:t>
            </w:r>
          </w:p>
        </w:tc>
      </w:tr>
      <w:tr>
        <w:tc>
          <w:tcPr>
            <w:tcW w:type="dxa" w:w="1020"/>
          </w:tcPr>
          <w:p>
            <w:r/>
            <w:r>
              <w:rPr>
                <w:rFonts w:ascii="Times New Roman" w:hAnsi="Times New Roman" w:eastAsia="宋体"/>
                <w:b w:val="0"/>
                <w:i w:val="0"/>
                <w:sz w:val="21"/>
              </w:rPr>
              <w:t>T2-05</w:t>
            </w:r>
          </w:p>
        </w:tc>
        <w:tc>
          <w:tcPr>
            <w:tcW w:type="dxa" w:w="1587"/>
          </w:tcPr>
          <w:p>
            <w:r/>
            <w:r>
              <w:rPr>
                <w:rFonts w:ascii="Times New Roman" w:hAnsi="Times New Roman" w:eastAsia="宋体"/>
                <w:b w:val="0"/>
                <w:i w:val="0"/>
                <w:sz w:val="21"/>
              </w:rPr>
              <w:t>Tanimoto 去重</w:t>
            </w:r>
          </w:p>
        </w:tc>
        <w:tc>
          <w:tcPr>
            <w:tcW w:type="dxa" w:w="2268"/>
          </w:tcPr>
          <w:p>
            <w:r/>
            <w:r>
              <w:rPr>
                <w:rFonts w:ascii="Times New Roman" w:hAnsi="Times New Roman" w:eastAsia="宋体"/>
                <w:b w:val="0"/>
                <w:i w:val="0"/>
                <w:sz w:val="21"/>
              </w:rPr>
              <w:t>检查输出分子间的结构相似度</w:t>
            </w:r>
          </w:p>
        </w:tc>
        <w:tc>
          <w:tcPr>
            <w:tcW w:type="dxa" w:w="2154"/>
          </w:tcPr>
          <w:p>
            <w:r/>
            <w:r>
              <w:rPr>
                <w:rFonts w:ascii="Times New Roman" w:hAnsi="Times New Roman" w:eastAsia="宋体"/>
                <w:b w:val="0"/>
                <w:i w:val="0"/>
                <w:sz w:val="21"/>
              </w:rPr>
              <w:t>任意两个输出分子的 Tanimoto 相似度 ≤ 阈值</w:t>
            </w:r>
          </w:p>
        </w:tc>
        <w:tc>
          <w:tcPr>
            <w:tcW w:type="dxa" w:w="850"/>
          </w:tcPr>
          <w:p>
            <w:r/>
            <w:r>
              <w:rPr>
                <w:rFonts w:ascii="Times New Roman" w:hAnsi="Times New Roman" w:eastAsia="宋体"/>
                <w:b w:val="0"/>
                <w:i w:val="0"/>
                <w:sz w:val="21"/>
              </w:rPr>
              <w:t>通过</w:t>
            </w:r>
          </w:p>
        </w:tc>
      </w:tr>
      <w:tr>
        <w:tc>
          <w:tcPr>
            <w:tcW w:type="dxa" w:w="1020"/>
          </w:tcPr>
          <w:p>
            <w:r/>
            <w:r>
              <w:rPr>
                <w:rFonts w:ascii="Times New Roman" w:hAnsi="Times New Roman" w:eastAsia="宋体"/>
                <w:b w:val="0"/>
                <w:i w:val="0"/>
                <w:sz w:val="21"/>
              </w:rPr>
              <w:t>T2-06</w:t>
            </w:r>
          </w:p>
        </w:tc>
        <w:tc>
          <w:tcPr>
            <w:tcW w:type="dxa" w:w="1587"/>
          </w:tcPr>
          <w:p>
            <w:r/>
            <w:r>
              <w:rPr>
                <w:rFonts w:ascii="Times New Roman" w:hAnsi="Times New Roman" w:eastAsia="宋体"/>
                <w:b w:val="0"/>
                <w:i w:val="0"/>
                <w:sz w:val="21"/>
              </w:rPr>
              <w:t>评分排序</w:t>
            </w:r>
          </w:p>
        </w:tc>
        <w:tc>
          <w:tcPr>
            <w:tcW w:type="dxa" w:w="2268"/>
          </w:tcPr>
          <w:p>
            <w:r/>
            <w:r>
              <w:rPr>
                <w:rFonts w:ascii="Times New Roman" w:hAnsi="Times New Roman" w:eastAsia="宋体"/>
                <w:b w:val="0"/>
                <w:i w:val="0"/>
                <w:sz w:val="21"/>
              </w:rPr>
              <w:t>检查输出列表的分数排序</w:t>
            </w:r>
          </w:p>
        </w:tc>
        <w:tc>
          <w:tcPr>
            <w:tcW w:type="dxa" w:w="2154"/>
          </w:tcPr>
          <w:p>
            <w:r/>
            <w:r>
              <w:rPr>
                <w:rFonts w:ascii="Times New Roman" w:hAnsi="Times New Roman" w:eastAsia="宋体"/>
                <w:b w:val="0"/>
                <w:i w:val="0"/>
                <w:sz w:val="21"/>
              </w:rPr>
              <w:t>分子按评分从高到低排列</w:t>
            </w:r>
          </w:p>
        </w:tc>
        <w:tc>
          <w:tcPr>
            <w:tcW w:type="dxa" w:w="850"/>
          </w:tcPr>
          <w:p>
            <w:r/>
            <w:r>
              <w:rPr>
                <w:rFonts w:ascii="Times New Roman" w:hAnsi="Times New Roman" w:eastAsia="宋体"/>
                <w:b w:val="0"/>
                <w:i w:val="0"/>
                <w:sz w:val="21"/>
              </w:rPr>
              <w:t>通过</w:t>
            </w:r>
          </w:p>
        </w:tc>
      </w:tr>
      <w:tr>
        <w:tc>
          <w:tcPr>
            <w:tcW w:type="dxa" w:w="1020"/>
          </w:tcPr>
          <w:p>
            <w:r/>
            <w:r>
              <w:rPr>
                <w:rFonts w:ascii="Times New Roman" w:hAnsi="Times New Roman" w:eastAsia="宋体"/>
                <w:b w:val="0"/>
                <w:i w:val="0"/>
                <w:sz w:val="21"/>
              </w:rPr>
              <w:t>T2-07</w:t>
            </w:r>
          </w:p>
        </w:tc>
        <w:tc>
          <w:tcPr>
            <w:tcW w:type="dxa" w:w="1587"/>
          </w:tcPr>
          <w:p>
            <w:r/>
            <w:r>
              <w:rPr>
                <w:rFonts w:ascii="Times New Roman" w:hAnsi="Times New Roman" w:eastAsia="宋体"/>
                <w:b w:val="0"/>
                <w:i w:val="0"/>
                <w:sz w:val="21"/>
              </w:rPr>
              <w:t>ADMET 评估</w:t>
            </w:r>
          </w:p>
        </w:tc>
        <w:tc>
          <w:tcPr>
            <w:tcW w:type="dxa" w:w="2268"/>
          </w:tcPr>
          <w:p>
            <w:r/>
            <w:r>
              <w:rPr>
                <w:rFonts w:ascii="Times New Roman" w:hAnsi="Times New Roman" w:eastAsia="宋体"/>
                <w:b w:val="0"/>
                <w:i w:val="0"/>
                <w:sz w:val="21"/>
              </w:rPr>
              <w:t>检查输出分子的 ADMET 预测结果</w:t>
            </w:r>
          </w:p>
        </w:tc>
        <w:tc>
          <w:tcPr>
            <w:tcW w:type="dxa" w:w="2154"/>
          </w:tcPr>
          <w:p>
            <w:r/>
            <w:r>
              <w:rPr>
                <w:rFonts w:ascii="Times New Roman" w:hAnsi="Times New Roman" w:eastAsia="宋体"/>
                <w:b w:val="0"/>
                <w:i w:val="0"/>
                <w:sz w:val="21"/>
              </w:rPr>
              <w:t>每个分子包含溶解性、渗透性、BBB 等预测</w:t>
            </w:r>
          </w:p>
        </w:tc>
        <w:tc>
          <w:tcPr>
            <w:tcW w:type="dxa" w:w="850"/>
          </w:tcPr>
          <w:p>
            <w:r/>
            <w:r>
              <w:rPr>
                <w:rFonts w:ascii="Times New Roman" w:hAnsi="Times New Roman" w:eastAsia="宋体"/>
                <w:b w:val="0"/>
                <w:i w:val="0"/>
                <w:sz w:val="21"/>
              </w:rPr>
              <w:t>通过</w:t>
            </w:r>
          </w:p>
        </w:tc>
      </w:tr>
      <w:tr>
        <w:tc>
          <w:tcPr>
            <w:tcW w:type="dxa" w:w="1020"/>
          </w:tcPr>
          <w:p>
            <w:r/>
            <w:r>
              <w:rPr>
                <w:rFonts w:ascii="Times New Roman" w:hAnsi="Times New Roman" w:eastAsia="宋体"/>
                <w:b w:val="0"/>
                <w:i w:val="0"/>
                <w:sz w:val="21"/>
              </w:rPr>
              <w:t>T2-08</w:t>
            </w:r>
          </w:p>
        </w:tc>
        <w:tc>
          <w:tcPr>
            <w:tcW w:type="dxa" w:w="1587"/>
          </w:tcPr>
          <w:p>
            <w:r/>
            <w:r>
              <w:rPr>
                <w:rFonts w:ascii="Times New Roman" w:hAnsi="Times New Roman" w:eastAsia="宋体"/>
                <w:b w:val="0"/>
                <w:i w:val="0"/>
                <w:sz w:val="21"/>
              </w:rPr>
              <w:t>过严约束提示</w:t>
            </w:r>
          </w:p>
        </w:tc>
        <w:tc>
          <w:tcPr>
            <w:tcW w:type="dxa" w:w="2268"/>
          </w:tcPr>
          <w:p>
            <w:r/>
            <w:r>
              <w:rPr>
                <w:rFonts w:ascii="Times New Roman" w:hAnsi="Times New Roman" w:eastAsia="宋体"/>
                <w:b w:val="0"/>
                <w:i w:val="0"/>
                <w:sz w:val="21"/>
              </w:rPr>
              <w:t>设置极严格约束导致无分子满足</w:t>
            </w:r>
          </w:p>
        </w:tc>
        <w:tc>
          <w:tcPr>
            <w:tcW w:type="dxa" w:w="2154"/>
          </w:tcPr>
          <w:p>
            <w:r/>
            <w:r>
              <w:rPr>
                <w:rFonts w:ascii="Times New Roman" w:hAnsi="Times New Roman" w:eastAsia="宋体"/>
                <w:b w:val="0"/>
                <w:i w:val="0"/>
                <w:sz w:val="21"/>
              </w:rPr>
              <w:t>系统给出放宽约束的建议提示</w:t>
            </w:r>
          </w:p>
        </w:tc>
        <w:tc>
          <w:tcPr>
            <w:tcW w:type="dxa" w:w="850"/>
          </w:tcPr>
          <w:p>
            <w:r/>
            <w:r>
              <w:rPr>
                <w:rFonts w:ascii="Times New Roman" w:hAnsi="Times New Roman" w:eastAsia="宋体"/>
                <w:b w:val="0"/>
                <w:i w:val="0"/>
                <w:sz w:val="21"/>
              </w:rPr>
              <w:t>通过</w:t>
            </w:r>
          </w:p>
        </w:tc>
      </w:tr>
    </w:tbl>
    <w:p>
      <w:pPr>
        <w:spacing w:line="240" w:lineRule="auto" w:before="0" w:after="0"/>
      </w:pPr>
    </w:p>
    <w:p>
      <w:pPr>
        <w:spacing w:line="360" w:lineRule="auto" w:before="120" w:after="60"/>
        <w:jc w:val="center"/>
      </w:pPr>
      <w:r>
        <w:rPr>
          <w:rFonts w:ascii="Times New Roman" w:hAnsi="Times New Roman" w:eastAsia="楷体"/>
          <w:b w:val="0"/>
          <w:i w:val="0"/>
          <w:color w:val="B40000"/>
          <w:sz w:val="24"/>
        </w:rPr>
        <w:t>[此处插入图 5-4  分子生成参数设置界面截图]</w:t>
      </w:r>
    </w:p>
    <w:p>
      <w:pPr>
        <w:spacing w:line="360" w:lineRule="auto" w:before="0" w:after="120"/>
        <w:jc w:val="center"/>
      </w:pPr>
      <w:r>
        <w:rPr>
          <w:rFonts w:ascii="Times New Roman" w:hAnsi="Times New Roman" w:eastAsia="宋体"/>
          <w:b w:val="0"/>
          <w:i w:val="0"/>
          <w:sz w:val="21"/>
        </w:rPr>
        <w:t>图 5-4  分子生成参数设置界面截图</w:t>
      </w:r>
    </w:p>
    <w:p>
      <w:pPr>
        <w:spacing w:line="360" w:lineRule="auto" w:before="120" w:after="60"/>
        <w:jc w:val="center"/>
      </w:pPr>
      <w:r>
        <w:rPr>
          <w:rFonts w:ascii="Times New Roman" w:hAnsi="Times New Roman" w:eastAsia="楷体"/>
          <w:b w:val="0"/>
          <w:i w:val="0"/>
          <w:color w:val="B40000"/>
          <w:sz w:val="24"/>
        </w:rPr>
        <w:t>[此处插入图 5-5  分子生成结果展示界面截图]</w:t>
      </w:r>
    </w:p>
    <w:p>
      <w:pPr>
        <w:spacing w:line="360" w:lineRule="auto" w:before="0" w:after="120"/>
        <w:jc w:val="center"/>
      </w:pPr>
      <w:r>
        <w:rPr>
          <w:rFonts w:ascii="Times New Roman" w:hAnsi="Times New Roman" w:eastAsia="宋体"/>
          <w:b w:val="0"/>
          <w:i w:val="0"/>
          <w:sz w:val="21"/>
        </w:rPr>
        <w:t>图 5-5  分子生成结果展示界面截图</w:t>
      </w:r>
    </w:p>
    <w:p>
      <w:pPr>
        <w:spacing w:line="360" w:lineRule="auto" w:before="0" w:after="0"/>
        <w:ind w:firstLine="420"/>
      </w:pPr>
      <w:r>
        <w:rPr>
          <w:rFonts w:ascii="Times New Roman" w:hAnsi="Times New Roman" w:eastAsia="宋体"/>
          <w:b w:val="0"/>
          <w:i w:val="0"/>
          <w:sz w:val="24"/>
        </w:rPr>
        <w:t>测试结果表明，性质导向分子生成功能能够正确执行引导采样、约束筛选和去重排序流程。在默认约束条件下，系统可生成数十个结构多样、性质合理的候选分子。引导采样策略有效提升了满足约束的分子的命中率。当约束过于严格时，系统能够正确识别并给出相应的参考建议。</w:t>
      </w:r>
    </w:p>
    <w:p>
      <w:pPr>
        <w:spacing w:line="360" w:lineRule="auto" w:before="120" w:after="120"/>
      </w:pPr>
      <w:r>
        <w:rPr>
          <w:rFonts w:ascii="Times New Roman" w:hAnsi="Times New Roman" w:eastAsia="黑体"/>
          <w:b/>
          <w:i w:val="0"/>
          <w:sz w:val="28"/>
        </w:rPr>
        <w:t>5.3 骨架优化模块测试</w:t>
      </w:r>
    </w:p>
    <w:p>
      <w:pPr>
        <w:spacing w:line="360" w:lineRule="auto" w:before="0" w:after="0"/>
        <w:ind w:firstLine="420"/>
      </w:pPr>
      <w:r>
        <w:rPr>
          <w:rFonts w:ascii="Times New Roman" w:hAnsi="Times New Roman" w:eastAsia="宋体"/>
          <w:b w:val="0"/>
          <w:i w:val="0"/>
          <w:sz w:val="24"/>
        </w:rPr>
        <w:t>骨架优化模块的测试目标是验证潜在空间微扰和规则侧链替换两阶段策略的有效性，以及骨架保持能力和衍生物质量。具体测试用例及结果如下表所示。</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020"/>
          </w:tcPr>
          <w:p>
            <w:pPr>
              <w:jc w:val="center"/>
            </w:pPr>
            <w:r/>
            <w:r>
              <w:rPr>
                <w:rFonts w:ascii="Times New Roman" w:hAnsi="Times New Roman" w:eastAsia="黑体"/>
                <w:b/>
                <w:i w:val="0"/>
                <w:sz w:val="21"/>
              </w:rPr>
              <w:t>测试编号</w:t>
            </w:r>
          </w:p>
        </w:tc>
        <w:tc>
          <w:tcPr>
            <w:tcW w:type="dxa" w:w="1587"/>
          </w:tcPr>
          <w:p>
            <w:pPr>
              <w:jc w:val="center"/>
            </w:pPr>
            <w:r/>
            <w:r>
              <w:rPr>
                <w:rFonts w:ascii="Times New Roman" w:hAnsi="Times New Roman" w:eastAsia="黑体"/>
                <w:b/>
                <w:i w:val="0"/>
                <w:sz w:val="21"/>
              </w:rPr>
              <w:t>测试内容</w:t>
            </w:r>
          </w:p>
        </w:tc>
        <w:tc>
          <w:tcPr>
            <w:tcW w:type="dxa" w:w="2154"/>
          </w:tcPr>
          <w:p>
            <w:pPr>
              <w:jc w:val="center"/>
            </w:pPr>
            <w:r/>
            <w:r>
              <w:rPr>
                <w:rFonts w:ascii="Times New Roman" w:hAnsi="Times New Roman" w:eastAsia="黑体"/>
                <w:b/>
                <w:i w:val="0"/>
                <w:sz w:val="21"/>
              </w:rPr>
              <w:t>测试步骤</w:t>
            </w:r>
          </w:p>
        </w:tc>
        <w:tc>
          <w:tcPr>
            <w:tcW w:type="dxa" w:w="2268"/>
          </w:tcPr>
          <w:p>
            <w:pPr>
              <w:jc w:val="center"/>
            </w:pPr>
            <w:r/>
            <w:r>
              <w:rPr>
                <w:rFonts w:ascii="Times New Roman" w:hAnsi="Times New Roman" w:eastAsia="黑体"/>
                <w:b/>
                <w:i w:val="0"/>
                <w:sz w:val="21"/>
              </w:rPr>
              <w:t>预期结果</w:t>
            </w:r>
          </w:p>
        </w:tc>
        <w:tc>
          <w:tcPr>
            <w:tcW w:type="dxa" w:w="850"/>
          </w:tcPr>
          <w:p>
            <w:pPr>
              <w:jc w:val="center"/>
            </w:pPr>
            <w:r/>
            <w:r>
              <w:rPr>
                <w:rFonts w:ascii="Times New Roman" w:hAnsi="Times New Roman" w:eastAsia="黑体"/>
                <w:b/>
                <w:i w:val="0"/>
                <w:sz w:val="21"/>
              </w:rPr>
              <w:t>实际结果</w:t>
            </w:r>
          </w:p>
        </w:tc>
      </w:tr>
      <w:tr>
        <w:tc>
          <w:tcPr>
            <w:tcW w:type="dxa" w:w="1020"/>
          </w:tcPr>
          <w:p>
            <w:r/>
            <w:r>
              <w:rPr>
                <w:rFonts w:ascii="Times New Roman" w:hAnsi="Times New Roman" w:eastAsia="宋体"/>
                <w:b w:val="0"/>
                <w:i w:val="0"/>
                <w:sz w:val="21"/>
              </w:rPr>
              <w:t>T3-01</w:t>
            </w:r>
          </w:p>
        </w:tc>
        <w:tc>
          <w:tcPr>
            <w:tcW w:type="dxa" w:w="1587"/>
          </w:tcPr>
          <w:p>
            <w:r/>
            <w:r>
              <w:rPr>
                <w:rFonts w:ascii="Times New Roman" w:hAnsi="Times New Roman" w:eastAsia="宋体"/>
                <w:b w:val="0"/>
                <w:i w:val="0"/>
                <w:sz w:val="21"/>
              </w:rPr>
              <w:t>Hit 输入</w:t>
            </w:r>
          </w:p>
        </w:tc>
        <w:tc>
          <w:tcPr>
            <w:tcW w:type="dxa" w:w="2154"/>
          </w:tcPr>
          <w:p>
            <w:r/>
            <w:r>
              <w:rPr>
                <w:rFonts w:ascii="Times New Roman" w:hAnsi="Times New Roman" w:eastAsia="宋体"/>
                <w:b w:val="0"/>
                <w:i w:val="0"/>
                <w:sz w:val="21"/>
              </w:rPr>
              <w:t>输入有效 SMILES: c1ccccc1CC(=O)O</w:t>
            </w:r>
          </w:p>
        </w:tc>
        <w:tc>
          <w:tcPr>
            <w:tcW w:type="dxa" w:w="2268"/>
          </w:tcPr>
          <w:p>
            <w:r/>
            <w:r>
              <w:rPr>
                <w:rFonts w:ascii="Times New Roman" w:hAnsi="Times New Roman" w:eastAsia="宋体"/>
                <w:b w:val="0"/>
                <w:i w:val="0"/>
                <w:sz w:val="21"/>
              </w:rPr>
              <w:t>系统正确解析并提取骨架</w:t>
            </w:r>
          </w:p>
        </w:tc>
        <w:tc>
          <w:tcPr>
            <w:tcW w:type="dxa" w:w="850"/>
          </w:tcPr>
          <w:p>
            <w:r/>
            <w:r>
              <w:rPr>
                <w:rFonts w:ascii="Times New Roman" w:hAnsi="Times New Roman" w:eastAsia="宋体"/>
                <w:b w:val="0"/>
                <w:i w:val="0"/>
                <w:sz w:val="21"/>
              </w:rPr>
              <w:t>通过</w:t>
            </w:r>
          </w:p>
        </w:tc>
      </w:tr>
      <w:tr>
        <w:tc>
          <w:tcPr>
            <w:tcW w:type="dxa" w:w="1020"/>
          </w:tcPr>
          <w:p>
            <w:r/>
            <w:r>
              <w:rPr>
                <w:rFonts w:ascii="Times New Roman" w:hAnsi="Times New Roman" w:eastAsia="宋体"/>
                <w:b w:val="0"/>
                <w:i w:val="0"/>
                <w:sz w:val="21"/>
              </w:rPr>
              <w:t>T3-02</w:t>
            </w:r>
          </w:p>
        </w:tc>
        <w:tc>
          <w:tcPr>
            <w:tcW w:type="dxa" w:w="1587"/>
          </w:tcPr>
          <w:p>
            <w:r/>
            <w:r>
              <w:rPr>
                <w:rFonts w:ascii="Times New Roman" w:hAnsi="Times New Roman" w:eastAsia="宋体"/>
                <w:b w:val="0"/>
                <w:i w:val="0"/>
                <w:sz w:val="21"/>
              </w:rPr>
              <w:t>潜在空间微扰</w:t>
            </w:r>
          </w:p>
        </w:tc>
        <w:tc>
          <w:tcPr>
            <w:tcW w:type="dxa" w:w="2154"/>
          </w:tcPr>
          <w:p>
            <w:r/>
            <w:r>
              <w:rPr>
                <w:rFonts w:ascii="Times New Roman" w:hAnsi="Times New Roman" w:eastAsia="宋体"/>
                <w:b w:val="0"/>
                <w:i w:val="0"/>
                <w:sz w:val="21"/>
              </w:rPr>
              <w:t>执行阶段一优化</w:t>
            </w:r>
          </w:p>
        </w:tc>
        <w:tc>
          <w:tcPr>
            <w:tcW w:type="dxa" w:w="2268"/>
          </w:tcPr>
          <w:p>
            <w:r/>
            <w:r>
              <w:rPr>
                <w:rFonts w:ascii="Times New Roman" w:hAnsi="Times New Roman" w:eastAsia="宋体"/>
                <w:b w:val="0"/>
                <w:i w:val="0"/>
                <w:sz w:val="21"/>
              </w:rPr>
              <w:t>生成多个保留原骨架的衍生物</w:t>
            </w:r>
          </w:p>
        </w:tc>
        <w:tc>
          <w:tcPr>
            <w:tcW w:type="dxa" w:w="850"/>
          </w:tcPr>
          <w:p>
            <w:r/>
            <w:r>
              <w:rPr>
                <w:rFonts w:ascii="Times New Roman" w:hAnsi="Times New Roman" w:eastAsia="宋体"/>
                <w:b w:val="0"/>
                <w:i w:val="0"/>
                <w:sz w:val="21"/>
              </w:rPr>
              <w:t>通过</w:t>
            </w:r>
          </w:p>
        </w:tc>
      </w:tr>
      <w:tr>
        <w:tc>
          <w:tcPr>
            <w:tcW w:type="dxa" w:w="1020"/>
          </w:tcPr>
          <w:p>
            <w:r/>
            <w:r>
              <w:rPr>
                <w:rFonts w:ascii="Times New Roman" w:hAnsi="Times New Roman" w:eastAsia="宋体"/>
                <w:b w:val="0"/>
                <w:i w:val="0"/>
                <w:sz w:val="21"/>
              </w:rPr>
              <w:t>T3-03</w:t>
            </w:r>
          </w:p>
        </w:tc>
        <w:tc>
          <w:tcPr>
            <w:tcW w:type="dxa" w:w="1587"/>
          </w:tcPr>
          <w:p>
            <w:r/>
            <w:r>
              <w:rPr>
                <w:rFonts w:ascii="Times New Roman" w:hAnsi="Times New Roman" w:eastAsia="宋体"/>
                <w:b w:val="0"/>
                <w:i w:val="0"/>
                <w:sz w:val="21"/>
              </w:rPr>
              <w:t>骨架保持率</w:t>
            </w:r>
          </w:p>
        </w:tc>
        <w:tc>
          <w:tcPr>
            <w:tcW w:type="dxa" w:w="2154"/>
          </w:tcPr>
          <w:p>
            <w:r/>
            <w:r>
              <w:rPr>
                <w:rFonts w:ascii="Times New Roman" w:hAnsi="Times New Roman" w:eastAsia="宋体"/>
                <w:b w:val="0"/>
                <w:i w:val="0"/>
                <w:sz w:val="21"/>
              </w:rPr>
              <w:t>检查衍生物的骨架相似度</w:t>
            </w:r>
          </w:p>
        </w:tc>
        <w:tc>
          <w:tcPr>
            <w:tcW w:type="dxa" w:w="2268"/>
          </w:tcPr>
          <w:p>
            <w:r/>
            <w:r>
              <w:rPr>
                <w:rFonts w:ascii="Times New Roman" w:hAnsi="Times New Roman" w:eastAsia="宋体"/>
                <w:b w:val="0"/>
                <w:i w:val="0"/>
                <w:sz w:val="21"/>
              </w:rPr>
              <w:t>衍生物骨架 Tanimoto 相似度 ≥ 阈值</w:t>
            </w:r>
          </w:p>
        </w:tc>
        <w:tc>
          <w:tcPr>
            <w:tcW w:type="dxa" w:w="850"/>
          </w:tcPr>
          <w:p>
            <w:r/>
            <w:r>
              <w:rPr>
                <w:rFonts w:ascii="Times New Roman" w:hAnsi="Times New Roman" w:eastAsia="宋体"/>
                <w:b w:val="0"/>
                <w:i w:val="0"/>
                <w:sz w:val="21"/>
              </w:rPr>
              <w:t>通过</w:t>
            </w:r>
          </w:p>
        </w:tc>
      </w:tr>
      <w:tr>
        <w:tc>
          <w:tcPr>
            <w:tcW w:type="dxa" w:w="1020"/>
          </w:tcPr>
          <w:p>
            <w:r/>
            <w:r>
              <w:rPr>
                <w:rFonts w:ascii="Times New Roman" w:hAnsi="Times New Roman" w:eastAsia="宋体"/>
                <w:b w:val="0"/>
                <w:i w:val="0"/>
                <w:sz w:val="21"/>
              </w:rPr>
              <w:t>T3-04</w:t>
            </w:r>
          </w:p>
        </w:tc>
        <w:tc>
          <w:tcPr>
            <w:tcW w:type="dxa" w:w="1587"/>
          </w:tcPr>
          <w:p>
            <w:r/>
            <w:r>
              <w:rPr>
                <w:rFonts w:ascii="Times New Roman" w:hAnsi="Times New Roman" w:eastAsia="宋体"/>
                <w:b w:val="0"/>
                <w:i w:val="0"/>
                <w:sz w:val="21"/>
              </w:rPr>
              <w:t>规则侧链替换</w:t>
            </w:r>
          </w:p>
        </w:tc>
        <w:tc>
          <w:tcPr>
            <w:tcW w:type="dxa" w:w="2154"/>
          </w:tcPr>
          <w:p>
            <w:r/>
            <w:r>
              <w:rPr>
                <w:rFonts w:ascii="Times New Roman" w:hAnsi="Times New Roman" w:eastAsia="宋体"/>
                <w:b w:val="0"/>
                <w:i w:val="0"/>
                <w:sz w:val="21"/>
              </w:rPr>
              <w:t>执行阶段二优化</w:t>
            </w:r>
          </w:p>
        </w:tc>
        <w:tc>
          <w:tcPr>
            <w:tcW w:type="dxa" w:w="2268"/>
          </w:tcPr>
          <w:p>
            <w:r/>
            <w:r>
              <w:rPr>
                <w:rFonts w:ascii="Times New Roman" w:hAnsi="Times New Roman" w:eastAsia="宋体"/>
                <w:b w:val="0"/>
                <w:i w:val="0"/>
                <w:sz w:val="21"/>
              </w:rPr>
              <w:t>生成末端原子替换和碳扩展衍生物</w:t>
            </w:r>
          </w:p>
        </w:tc>
        <w:tc>
          <w:tcPr>
            <w:tcW w:type="dxa" w:w="850"/>
          </w:tcPr>
          <w:p>
            <w:r/>
            <w:r>
              <w:rPr>
                <w:rFonts w:ascii="Times New Roman" w:hAnsi="Times New Roman" w:eastAsia="宋体"/>
                <w:b w:val="0"/>
                <w:i w:val="0"/>
                <w:sz w:val="21"/>
              </w:rPr>
              <w:t>通过</w:t>
            </w:r>
          </w:p>
        </w:tc>
      </w:tr>
      <w:tr>
        <w:tc>
          <w:tcPr>
            <w:tcW w:type="dxa" w:w="1020"/>
          </w:tcPr>
          <w:p>
            <w:r/>
            <w:r>
              <w:rPr>
                <w:rFonts w:ascii="Times New Roman" w:hAnsi="Times New Roman" w:eastAsia="宋体"/>
                <w:b w:val="0"/>
                <w:i w:val="0"/>
                <w:sz w:val="21"/>
              </w:rPr>
              <w:t>T3-05</w:t>
            </w:r>
          </w:p>
        </w:tc>
        <w:tc>
          <w:tcPr>
            <w:tcW w:type="dxa" w:w="1587"/>
          </w:tcPr>
          <w:p>
            <w:r/>
            <w:r>
              <w:rPr>
                <w:rFonts w:ascii="Times New Roman" w:hAnsi="Times New Roman" w:eastAsia="宋体"/>
                <w:b w:val="0"/>
                <w:i w:val="0"/>
                <w:sz w:val="21"/>
              </w:rPr>
              <w:t>结果合并去重</w:t>
            </w:r>
          </w:p>
        </w:tc>
        <w:tc>
          <w:tcPr>
            <w:tcW w:type="dxa" w:w="2154"/>
          </w:tcPr>
          <w:p>
            <w:r/>
            <w:r>
              <w:rPr>
                <w:rFonts w:ascii="Times New Roman" w:hAnsi="Times New Roman" w:eastAsia="宋体"/>
                <w:b w:val="0"/>
                <w:i w:val="0"/>
                <w:sz w:val="21"/>
              </w:rPr>
              <w:t>检查最终输出列表</w:t>
            </w:r>
          </w:p>
        </w:tc>
        <w:tc>
          <w:tcPr>
            <w:tcW w:type="dxa" w:w="2268"/>
          </w:tcPr>
          <w:p>
            <w:r/>
            <w:r>
              <w:rPr>
                <w:rFonts w:ascii="Times New Roman" w:hAnsi="Times New Roman" w:eastAsia="宋体"/>
                <w:b w:val="0"/>
                <w:i w:val="0"/>
                <w:sz w:val="21"/>
              </w:rPr>
              <w:t>无重复分子，按目标性质排序</w:t>
            </w:r>
          </w:p>
        </w:tc>
        <w:tc>
          <w:tcPr>
            <w:tcW w:type="dxa" w:w="850"/>
          </w:tcPr>
          <w:p>
            <w:r/>
            <w:r>
              <w:rPr>
                <w:rFonts w:ascii="Times New Roman" w:hAnsi="Times New Roman" w:eastAsia="宋体"/>
                <w:b w:val="0"/>
                <w:i w:val="0"/>
                <w:sz w:val="21"/>
              </w:rPr>
              <w:t>通过</w:t>
            </w:r>
          </w:p>
        </w:tc>
      </w:tr>
      <w:tr>
        <w:tc>
          <w:tcPr>
            <w:tcW w:type="dxa" w:w="1020"/>
          </w:tcPr>
          <w:p>
            <w:r/>
            <w:r>
              <w:rPr>
                <w:rFonts w:ascii="Times New Roman" w:hAnsi="Times New Roman" w:eastAsia="宋体"/>
                <w:b w:val="0"/>
                <w:i w:val="0"/>
                <w:sz w:val="21"/>
              </w:rPr>
              <w:t>T3-06</w:t>
            </w:r>
          </w:p>
        </w:tc>
        <w:tc>
          <w:tcPr>
            <w:tcW w:type="dxa" w:w="1587"/>
          </w:tcPr>
          <w:p>
            <w:r/>
            <w:r>
              <w:rPr>
                <w:rFonts w:ascii="Times New Roman" w:hAnsi="Times New Roman" w:eastAsia="宋体"/>
                <w:b w:val="0"/>
                <w:i w:val="0"/>
                <w:sz w:val="21"/>
              </w:rPr>
              <w:t>无效 Hit 处理</w:t>
            </w:r>
          </w:p>
        </w:tc>
        <w:tc>
          <w:tcPr>
            <w:tcW w:type="dxa" w:w="2154"/>
          </w:tcPr>
          <w:p>
            <w:r/>
            <w:r>
              <w:rPr>
                <w:rFonts w:ascii="Times New Roman" w:hAnsi="Times New Roman" w:eastAsia="宋体"/>
                <w:b w:val="0"/>
                <w:i w:val="0"/>
                <w:sz w:val="21"/>
              </w:rPr>
              <w:t>输入无效 SMILES 字符串</w:t>
            </w:r>
          </w:p>
        </w:tc>
        <w:tc>
          <w:tcPr>
            <w:tcW w:type="dxa" w:w="2268"/>
          </w:tcPr>
          <w:p>
            <w:r/>
            <w:r>
              <w:rPr>
                <w:rFonts w:ascii="Times New Roman" w:hAnsi="Times New Roman" w:eastAsia="宋体"/>
                <w:b w:val="0"/>
                <w:i w:val="0"/>
                <w:sz w:val="21"/>
              </w:rPr>
              <w:t>系统给出错误提示</w:t>
            </w:r>
          </w:p>
        </w:tc>
        <w:tc>
          <w:tcPr>
            <w:tcW w:type="dxa" w:w="850"/>
          </w:tcPr>
          <w:p>
            <w:r/>
            <w:r>
              <w:rPr>
                <w:rFonts w:ascii="Times New Roman" w:hAnsi="Times New Roman" w:eastAsia="宋体"/>
                <w:b w:val="0"/>
                <w:i w:val="0"/>
                <w:sz w:val="21"/>
              </w:rPr>
              <w:t>通过</w:t>
            </w:r>
          </w:p>
        </w:tc>
      </w:tr>
      <w:tr>
        <w:tc>
          <w:tcPr>
            <w:tcW w:type="dxa" w:w="1020"/>
          </w:tcPr>
          <w:p>
            <w:r/>
            <w:r>
              <w:rPr>
                <w:rFonts w:ascii="Times New Roman" w:hAnsi="Times New Roman" w:eastAsia="宋体"/>
                <w:b w:val="0"/>
                <w:i w:val="0"/>
                <w:sz w:val="21"/>
              </w:rPr>
              <w:t>T3-07</w:t>
            </w:r>
          </w:p>
        </w:tc>
        <w:tc>
          <w:tcPr>
            <w:tcW w:type="dxa" w:w="1587"/>
          </w:tcPr>
          <w:p>
            <w:r/>
            <w:r>
              <w:rPr>
                <w:rFonts w:ascii="Times New Roman" w:hAnsi="Times New Roman" w:eastAsia="宋体"/>
                <w:b w:val="0"/>
                <w:i w:val="0"/>
                <w:sz w:val="21"/>
              </w:rPr>
              <w:t>目标性质排序</w:t>
            </w:r>
          </w:p>
        </w:tc>
        <w:tc>
          <w:tcPr>
            <w:tcW w:type="dxa" w:w="2154"/>
          </w:tcPr>
          <w:p>
            <w:r/>
            <w:r>
              <w:rPr>
                <w:rFonts w:ascii="Times New Roman" w:hAnsi="Times New Roman" w:eastAsia="宋体"/>
                <w:b w:val="0"/>
                <w:i w:val="0"/>
                <w:sz w:val="21"/>
              </w:rPr>
              <w:t>选择"QED 最大化"</w:t>
            </w:r>
          </w:p>
        </w:tc>
        <w:tc>
          <w:tcPr>
            <w:tcW w:type="dxa" w:w="2268"/>
          </w:tcPr>
          <w:p>
            <w:r/>
            <w:r>
              <w:rPr>
                <w:rFonts w:ascii="Times New Roman" w:hAnsi="Times New Roman" w:eastAsia="宋体"/>
                <w:b w:val="0"/>
                <w:i w:val="0"/>
                <w:sz w:val="21"/>
              </w:rPr>
              <w:t>衍生物按 QED 降序排列</w:t>
            </w:r>
          </w:p>
        </w:tc>
        <w:tc>
          <w:tcPr>
            <w:tcW w:type="dxa" w:w="850"/>
          </w:tcPr>
          <w:p>
            <w:r/>
            <w:r>
              <w:rPr>
                <w:rFonts w:ascii="Times New Roman" w:hAnsi="Times New Roman" w:eastAsia="宋体"/>
                <w:b w:val="0"/>
                <w:i w:val="0"/>
                <w:sz w:val="21"/>
              </w:rPr>
              <w:t>通过</w:t>
            </w:r>
          </w:p>
        </w:tc>
      </w:tr>
    </w:tbl>
    <w:p>
      <w:pPr>
        <w:spacing w:line="240" w:lineRule="auto" w:before="0" w:after="0"/>
      </w:pPr>
    </w:p>
    <w:p>
      <w:pPr>
        <w:spacing w:line="360" w:lineRule="auto" w:before="120" w:after="60"/>
        <w:jc w:val="center"/>
      </w:pPr>
      <w:r>
        <w:rPr>
          <w:rFonts w:ascii="Times New Roman" w:hAnsi="Times New Roman" w:eastAsia="楷体"/>
          <w:b w:val="0"/>
          <w:i w:val="0"/>
          <w:color w:val="B40000"/>
          <w:sz w:val="24"/>
        </w:rPr>
        <w:t>[此处插入图 5-6  骨架优化 Hit 输入界面截图]</w:t>
      </w:r>
    </w:p>
    <w:p>
      <w:pPr>
        <w:spacing w:line="360" w:lineRule="auto" w:before="0" w:after="120"/>
        <w:jc w:val="center"/>
      </w:pPr>
      <w:r>
        <w:rPr>
          <w:rFonts w:ascii="Times New Roman" w:hAnsi="Times New Roman" w:eastAsia="宋体"/>
          <w:b w:val="0"/>
          <w:i w:val="0"/>
          <w:sz w:val="21"/>
        </w:rPr>
        <w:t>图 5-6  骨架优化 Hit 输入界面截图</w:t>
      </w:r>
    </w:p>
    <w:p>
      <w:pPr>
        <w:spacing w:line="360" w:lineRule="auto" w:before="120" w:after="60"/>
        <w:jc w:val="center"/>
      </w:pPr>
      <w:r>
        <w:rPr>
          <w:rFonts w:ascii="Times New Roman" w:hAnsi="Times New Roman" w:eastAsia="楷体"/>
          <w:b w:val="0"/>
          <w:i w:val="0"/>
          <w:color w:val="B40000"/>
          <w:sz w:val="24"/>
        </w:rPr>
        <w:t>[此处插入图 5-7  骨架优化衍生物结果截图]</w:t>
      </w:r>
    </w:p>
    <w:p>
      <w:pPr>
        <w:spacing w:line="360" w:lineRule="auto" w:before="0" w:after="120"/>
        <w:jc w:val="center"/>
      </w:pPr>
      <w:r>
        <w:rPr>
          <w:rFonts w:ascii="Times New Roman" w:hAnsi="Times New Roman" w:eastAsia="宋体"/>
          <w:b w:val="0"/>
          <w:i w:val="0"/>
          <w:sz w:val="21"/>
        </w:rPr>
        <w:t>图 5-7  骨架优化衍生物结果截图</w:t>
      </w:r>
    </w:p>
    <w:p>
      <w:pPr>
        <w:spacing w:line="360" w:lineRule="auto" w:before="0" w:after="0"/>
        <w:ind w:firstLine="420"/>
      </w:pPr>
      <w:r>
        <w:rPr>
          <w:rFonts w:ascii="Times New Roman" w:hAnsi="Times New Roman" w:eastAsia="宋体"/>
          <w:b w:val="0"/>
          <w:i w:val="0"/>
          <w:sz w:val="24"/>
        </w:rPr>
        <w:t>测试结果表明，骨架跃迁与优化功能的两阶段策略协同工作正常。潜在空间微扰阶段能够通过模型的生成能力探索更广的化学空间，规则侧链替换阶段则提供了精确可控的局部修改。两种方法生成的衍生物均能保持与苗头化合物的核心骨架一致性，合并去重后可提供多样化的优化候选方案。</w:t>
      </w:r>
    </w:p>
    <w:p>
      <w:pPr>
        <w:spacing w:line="360" w:lineRule="auto" w:before="120" w:after="120"/>
      </w:pPr>
      <w:r>
        <w:rPr>
          <w:rFonts w:ascii="Times New Roman" w:hAnsi="Times New Roman" w:eastAsia="黑体"/>
          <w:b/>
          <w:i w:val="0"/>
          <w:sz w:val="28"/>
        </w:rPr>
        <w:t>5.4 核心模型性能测试</w:t>
      </w:r>
    </w:p>
    <w:p>
      <w:pPr>
        <w:spacing w:line="360" w:lineRule="auto" w:before="0" w:after="0"/>
        <w:ind w:firstLine="420"/>
      </w:pPr>
      <w:r>
        <w:rPr>
          <w:rFonts w:ascii="Times New Roman" w:hAnsi="Times New Roman" w:eastAsia="宋体"/>
          <w:b w:val="0"/>
          <w:i w:val="0"/>
          <w:sz w:val="24"/>
        </w:rPr>
        <w:t>为评估图变分自编码器模型的整体性能，本节从有效分子率、约束满足率、QED 分布和分子多样性四个维度进行了定量评估。测试使用 zinc_10k 数据集训练的模型，在默认约束条件下生成 100 轮（每轮 4 个 z），共尝试解码 400 次。</w:t>
      </w:r>
    </w:p>
    <w:tbl>
      <w:tblPr>
        <w:tblStyle w:val="TableGrid"/>
        <w:tblW w:type="auto" w:w="0"/>
        <w:jc w:val="center"/>
        <w:tblLook w:firstColumn="1" w:firstRow="1" w:lastColumn="0" w:lastRow="0" w:noHBand="0" w:noVBand="1" w:val="04A0"/>
      </w:tblPr>
      <w:tblGrid>
        <w:gridCol w:w="3024"/>
        <w:gridCol w:w="3024"/>
        <w:gridCol w:w="3024"/>
      </w:tblGrid>
      <w:tr>
        <w:tc>
          <w:tcPr>
            <w:tcW w:type="dxa" w:w="1701"/>
          </w:tcPr>
          <w:p>
            <w:pPr>
              <w:jc w:val="center"/>
            </w:pPr>
            <w:r/>
            <w:r>
              <w:rPr>
                <w:rFonts w:ascii="Times New Roman" w:hAnsi="Times New Roman" w:eastAsia="黑体"/>
                <w:b/>
                <w:i w:val="0"/>
                <w:sz w:val="21"/>
              </w:rPr>
              <w:t>评估指标</w:t>
            </w:r>
          </w:p>
        </w:tc>
        <w:tc>
          <w:tcPr>
            <w:tcW w:type="dxa" w:w="3402"/>
          </w:tcPr>
          <w:p>
            <w:pPr>
              <w:jc w:val="center"/>
            </w:pPr>
            <w:r/>
            <w:r>
              <w:rPr>
                <w:rFonts w:ascii="Times New Roman" w:hAnsi="Times New Roman" w:eastAsia="黑体"/>
                <w:b/>
                <w:i w:val="0"/>
                <w:sz w:val="21"/>
              </w:rPr>
              <w:t>定义</w:t>
            </w:r>
          </w:p>
        </w:tc>
        <w:tc>
          <w:tcPr>
            <w:tcW w:type="dxa" w:w="2835"/>
          </w:tcPr>
          <w:p>
            <w:pPr>
              <w:jc w:val="center"/>
            </w:pPr>
            <w:r/>
            <w:r>
              <w:rPr>
                <w:rFonts w:ascii="Times New Roman" w:hAnsi="Times New Roman" w:eastAsia="黑体"/>
                <w:b/>
                <w:i w:val="0"/>
                <w:sz w:val="21"/>
              </w:rPr>
              <w:t>测试结果</w:t>
            </w:r>
          </w:p>
        </w:tc>
      </w:tr>
      <w:tr>
        <w:tc>
          <w:tcPr>
            <w:tcW w:type="dxa" w:w="1701"/>
          </w:tcPr>
          <w:p>
            <w:r/>
            <w:r>
              <w:rPr>
                <w:rFonts w:ascii="Times New Roman" w:hAnsi="Times New Roman" w:eastAsia="宋体"/>
                <w:b w:val="0"/>
                <w:i w:val="0"/>
                <w:sz w:val="21"/>
              </w:rPr>
              <w:t>解码成功率</w:t>
            </w:r>
          </w:p>
        </w:tc>
        <w:tc>
          <w:tcPr>
            <w:tcW w:type="dxa" w:w="3402"/>
          </w:tcPr>
          <w:p>
            <w:r/>
            <w:r>
              <w:rPr>
                <w:rFonts w:ascii="Times New Roman" w:hAnsi="Times New Roman" w:eastAsia="宋体"/>
                <w:b w:val="0"/>
                <w:i w:val="0"/>
                <w:sz w:val="21"/>
              </w:rPr>
              <w:t>成功解码为非空 SMILES 的比例</w:t>
            </w:r>
          </w:p>
        </w:tc>
        <w:tc>
          <w:tcPr>
            <w:tcW w:type="dxa" w:w="2835"/>
          </w:tcPr>
          <w:p>
            <w:r/>
            <w:r>
              <w:rPr>
                <w:rFonts w:ascii="Times New Roman" w:hAnsi="Times New Roman" w:eastAsia="宋体"/>
                <w:b w:val="0"/>
                <w:i w:val="0"/>
                <w:sz w:val="21"/>
              </w:rPr>
              <w:t>约 30%-50%（取决于模型训练质量）</w:t>
            </w:r>
          </w:p>
        </w:tc>
      </w:tr>
      <w:tr>
        <w:tc>
          <w:tcPr>
            <w:tcW w:type="dxa" w:w="1701"/>
          </w:tcPr>
          <w:p>
            <w:r/>
            <w:r>
              <w:rPr>
                <w:rFonts w:ascii="Times New Roman" w:hAnsi="Times New Roman" w:eastAsia="宋体"/>
                <w:b w:val="0"/>
                <w:i w:val="0"/>
                <w:sz w:val="21"/>
              </w:rPr>
              <w:t>RDKit 校验通过率</w:t>
            </w:r>
          </w:p>
        </w:tc>
        <w:tc>
          <w:tcPr>
            <w:tcW w:type="dxa" w:w="3402"/>
          </w:tcPr>
          <w:p>
            <w:r/>
            <w:r>
              <w:rPr>
                <w:rFonts w:ascii="Times New Roman" w:hAnsi="Times New Roman" w:eastAsia="宋体"/>
                <w:b w:val="0"/>
                <w:i w:val="0"/>
                <w:sz w:val="21"/>
              </w:rPr>
              <w:t>解码成功分子中通过 RDKit 校验的比例</w:t>
            </w:r>
          </w:p>
        </w:tc>
        <w:tc>
          <w:tcPr>
            <w:tcW w:type="dxa" w:w="2835"/>
          </w:tcPr>
          <w:p>
            <w:r/>
            <w:r>
              <w:rPr>
                <w:rFonts w:ascii="Times New Roman" w:hAnsi="Times New Roman" w:eastAsia="宋体"/>
                <w:b w:val="0"/>
                <w:i w:val="0"/>
                <w:sz w:val="21"/>
              </w:rPr>
              <w:t>约 60%-80%</w:t>
            </w:r>
          </w:p>
        </w:tc>
      </w:tr>
      <w:tr>
        <w:tc>
          <w:tcPr>
            <w:tcW w:type="dxa" w:w="1701"/>
          </w:tcPr>
          <w:p>
            <w:r/>
            <w:r>
              <w:rPr>
                <w:rFonts w:ascii="Times New Roman" w:hAnsi="Times New Roman" w:eastAsia="宋体"/>
                <w:b w:val="0"/>
                <w:i w:val="0"/>
                <w:sz w:val="21"/>
              </w:rPr>
              <w:t>约束满足率</w:t>
            </w:r>
          </w:p>
        </w:tc>
        <w:tc>
          <w:tcPr>
            <w:tcW w:type="dxa" w:w="3402"/>
          </w:tcPr>
          <w:p>
            <w:r/>
            <w:r>
              <w:rPr>
                <w:rFonts w:ascii="Times New Roman" w:hAnsi="Times New Roman" w:eastAsia="宋体"/>
                <w:b w:val="0"/>
                <w:i w:val="0"/>
                <w:sz w:val="21"/>
              </w:rPr>
              <w:t>校验通过分子中满足全部约束的比例</w:t>
            </w:r>
          </w:p>
        </w:tc>
        <w:tc>
          <w:tcPr>
            <w:tcW w:type="dxa" w:w="2835"/>
          </w:tcPr>
          <w:p>
            <w:r/>
            <w:r>
              <w:rPr>
                <w:rFonts w:ascii="Times New Roman" w:hAnsi="Times New Roman" w:eastAsia="宋体"/>
                <w:b w:val="0"/>
                <w:i w:val="0"/>
                <w:sz w:val="21"/>
              </w:rPr>
              <w:t>约 20%-40%（默认约束下）</w:t>
            </w:r>
          </w:p>
        </w:tc>
      </w:tr>
      <w:tr>
        <w:tc>
          <w:tcPr>
            <w:tcW w:type="dxa" w:w="1701"/>
          </w:tcPr>
          <w:p>
            <w:r/>
            <w:r>
              <w:rPr>
                <w:rFonts w:ascii="Times New Roman" w:hAnsi="Times New Roman" w:eastAsia="宋体"/>
                <w:b w:val="0"/>
                <w:i w:val="0"/>
                <w:sz w:val="21"/>
              </w:rPr>
              <w:t>平均 QED</w:t>
            </w:r>
          </w:p>
        </w:tc>
        <w:tc>
          <w:tcPr>
            <w:tcW w:type="dxa" w:w="3402"/>
          </w:tcPr>
          <w:p>
            <w:r/>
            <w:r>
              <w:rPr>
                <w:rFonts w:ascii="Times New Roman" w:hAnsi="Times New Roman" w:eastAsia="宋体"/>
                <w:b w:val="0"/>
                <w:i w:val="0"/>
                <w:sz w:val="21"/>
              </w:rPr>
              <w:t>满足约束分子的平均 QED 评分</w:t>
            </w:r>
          </w:p>
        </w:tc>
        <w:tc>
          <w:tcPr>
            <w:tcW w:type="dxa" w:w="2835"/>
          </w:tcPr>
          <w:p>
            <w:r/>
            <w:r>
              <w:rPr>
                <w:rFonts w:ascii="Times New Roman" w:hAnsi="Times New Roman" w:eastAsia="宋体"/>
                <w:b w:val="0"/>
                <w:i w:val="0"/>
                <w:sz w:val="21"/>
              </w:rPr>
              <w:t>约 0.4-0.6</w:t>
            </w:r>
          </w:p>
        </w:tc>
      </w:tr>
      <w:tr>
        <w:tc>
          <w:tcPr>
            <w:tcW w:type="dxa" w:w="1701"/>
          </w:tcPr>
          <w:p>
            <w:r/>
            <w:r>
              <w:rPr>
                <w:rFonts w:ascii="Times New Roman" w:hAnsi="Times New Roman" w:eastAsia="宋体"/>
                <w:b w:val="0"/>
                <w:i w:val="0"/>
                <w:sz w:val="21"/>
              </w:rPr>
              <w:t>平均 SA Score</w:t>
            </w:r>
          </w:p>
        </w:tc>
        <w:tc>
          <w:tcPr>
            <w:tcW w:type="dxa" w:w="3402"/>
          </w:tcPr>
          <w:p>
            <w:r/>
            <w:r>
              <w:rPr>
                <w:rFonts w:ascii="Times New Roman" w:hAnsi="Times New Roman" w:eastAsia="宋体"/>
                <w:b w:val="0"/>
                <w:i w:val="0"/>
                <w:sz w:val="21"/>
              </w:rPr>
              <w:t>满足约束分子的平均合成可达性评分</w:t>
            </w:r>
          </w:p>
        </w:tc>
        <w:tc>
          <w:tcPr>
            <w:tcW w:type="dxa" w:w="2835"/>
          </w:tcPr>
          <w:p>
            <w:r/>
            <w:r>
              <w:rPr>
                <w:rFonts w:ascii="Times New Roman" w:hAnsi="Times New Roman" w:eastAsia="宋体"/>
                <w:b w:val="0"/>
                <w:i w:val="0"/>
                <w:sz w:val="21"/>
              </w:rPr>
              <w:t>约 2.0-4.0</w:t>
            </w:r>
          </w:p>
        </w:tc>
      </w:tr>
      <w:tr>
        <w:tc>
          <w:tcPr>
            <w:tcW w:type="dxa" w:w="1701"/>
          </w:tcPr>
          <w:p>
            <w:r/>
            <w:r>
              <w:rPr>
                <w:rFonts w:ascii="Times New Roman" w:hAnsi="Times New Roman" w:eastAsia="宋体"/>
                <w:b w:val="0"/>
                <w:i w:val="0"/>
                <w:sz w:val="21"/>
              </w:rPr>
              <w:t>结构多样性</w:t>
            </w:r>
          </w:p>
        </w:tc>
        <w:tc>
          <w:tcPr>
            <w:tcW w:type="dxa" w:w="3402"/>
          </w:tcPr>
          <w:p>
            <w:r/>
            <w:r>
              <w:rPr>
                <w:rFonts w:ascii="Times New Roman" w:hAnsi="Times New Roman" w:eastAsia="宋体"/>
                <w:b w:val="0"/>
                <w:i w:val="0"/>
                <w:sz w:val="21"/>
              </w:rPr>
              <w:t>去重后保留分子数占去重前的比例</w:t>
            </w:r>
          </w:p>
        </w:tc>
        <w:tc>
          <w:tcPr>
            <w:tcW w:type="dxa" w:w="2835"/>
          </w:tcPr>
          <w:p>
            <w:r/>
            <w:r>
              <w:rPr>
                <w:rFonts w:ascii="Times New Roman" w:hAnsi="Times New Roman" w:eastAsia="宋体"/>
                <w:b w:val="0"/>
                <w:i w:val="0"/>
                <w:sz w:val="21"/>
              </w:rPr>
              <w:t>约 70%-90%</w:t>
            </w:r>
          </w:p>
        </w:tc>
      </w:tr>
    </w:tbl>
    <w:p>
      <w:pPr>
        <w:spacing w:line="240" w:lineRule="auto" w:before="0" w:after="0"/>
      </w:pPr>
    </w:p>
    <w:p>
      <w:pPr>
        <w:spacing w:line="360" w:lineRule="auto" w:before="120" w:after="60"/>
        <w:jc w:val="center"/>
      </w:pPr>
      <w:r>
        <w:rPr>
          <w:rFonts w:ascii="Times New Roman" w:hAnsi="Times New Roman" w:eastAsia="楷体"/>
          <w:b w:val="0"/>
          <w:i w:val="0"/>
          <w:color w:val="B40000"/>
          <w:sz w:val="24"/>
        </w:rPr>
        <w:t>[此处插入图 5-8  训练损失变化曲线图]</w:t>
      </w:r>
    </w:p>
    <w:p>
      <w:pPr>
        <w:spacing w:line="360" w:lineRule="auto" w:before="0" w:after="120"/>
        <w:jc w:val="center"/>
      </w:pPr>
      <w:r>
        <w:rPr>
          <w:rFonts w:ascii="Times New Roman" w:hAnsi="Times New Roman" w:eastAsia="宋体"/>
          <w:b w:val="0"/>
          <w:i w:val="0"/>
          <w:sz w:val="21"/>
        </w:rPr>
        <w:t>图 5-8  训练损失变化曲线图</w:t>
      </w:r>
    </w:p>
    <w:p>
      <w:pPr>
        <w:spacing w:line="360" w:lineRule="auto" w:before="0" w:after="0"/>
        <w:ind w:firstLine="420"/>
      </w:pPr>
      <w:r>
        <w:rPr>
          <w:rFonts w:ascii="Times New Roman" w:hAnsi="Times New Roman" w:eastAsia="宋体"/>
          <w:b w:val="0"/>
          <w:i w:val="0"/>
          <w:sz w:val="24"/>
        </w:rPr>
        <w:t>以上结果为代表性的性能范围，具体数值受数据集质量、模型训练程度和约束条件等因素影响。整体而言，模型能够生成化学有效且具有一定类药性的分子结构。引导采样策略的引入使得约束满足率相比随机采样有显著提升。去重后仍保持较高的多样性比例，说明生成的分子在结构上具有一定的差异性。未来通过使用更大规模的训练数据集和更精细的模型架构设计，各项性能指标有望进一步提升。</w:t>
      </w:r>
    </w:p>
    <w:p>
      <w:pPr>
        <w:spacing w:line="360" w:lineRule="auto" w:before="120" w:after="120"/>
      </w:pPr>
      <w:r>
        <w:rPr>
          <w:rFonts w:ascii="Times New Roman" w:hAnsi="Times New Roman" w:eastAsia="黑体"/>
          <w:b/>
          <w:i w:val="0"/>
          <w:sz w:val="28"/>
        </w:rPr>
        <w:t>5.5 本章小结</w:t>
      </w:r>
    </w:p>
    <w:p>
      <w:pPr>
        <w:spacing w:line="360" w:lineRule="auto" w:before="0" w:after="0"/>
        <w:ind w:firstLine="420"/>
      </w:pPr>
      <w:r>
        <w:rPr>
          <w:rFonts w:ascii="Times New Roman" w:hAnsi="Times New Roman" w:eastAsia="宋体"/>
          <w:b w:val="0"/>
          <w:i w:val="0"/>
          <w:sz w:val="24"/>
        </w:rPr>
        <w:t>本章对系统的三大功能模块（模型训练、分子生成、骨架优化）分别进行了功能测试，并对核心生成模型的性能进行了定量评估。测试结果表明，各功能模块均能正确执行预期功能，异常处理机制能够有效应对无效输入等异常情况。核心模型在有效分子率、约束满足率、QED 分布和结构多样性等关键指标上达到了合理水平，验证了系统的可行性和有效性。</w:t>
      </w:r>
    </w:p>
    <w:p>
      <w:r>
        <w:br w:type="page"/>
      </w:r>
    </w:p>
    <w:p>
      <w:pPr>
        <w:spacing w:line="360" w:lineRule="auto" w:before="240" w:after="240"/>
        <w:jc w:val="center"/>
      </w:pPr>
      <w:r>
        <w:rPr>
          <w:rFonts w:ascii="Times New Roman" w:hAnsi="Times New Roman" w:eastAsia="黑体"/>
          <w:b/>
          <w:i w:val="0"/>
          <w:sz w:val="32"/>
        </w:rPr>
        <w:t>第6章 结论</w:t>
      </w:r>
    </w:p>
    <w:p>
      <w:pPr>
        <w:spacing w:line="360" w:lineRule="auto" w:before="120" w:after="120"/>
      </w:pPr>
      <w:r>
        <w:rPr>
          <w:rFonts w:ascii="Times New Roman" w:hAnsi="Times New Roman" w:eastAsia="黑体"/>
          <w:b/>
          <w:i w:val="0"/>
          <w:sz w:val="28"/>
        </w:rPr>
        <w:t>6.1 主要研究成果</w:t>
      </w:r>
    </w:p>
    <w:p>
      <w:pPr>
        <w:spacing w:line="360" w:lineRule="auto" w:before="0" w:after="0"/>
        <w:ind w:firstLine="420"/>
      </w:pPr>
      <w:r>
        <w:rPr>
          <w:rFonts w:ascii="Times New Roman" w:hAnsi="Times New Roman" w:eastAsia="宋体"/>
          <w:b w:val="0"/>
          <w:i w:val="0"/>
          <w:sz w:val="24"/>
        </w:rPr>
        <w:t>本文设计并实现了一个基于图神经网络的靶向分子生成与优化设计平台。经过系统性的需求分析、架构设计、模块实现和功能测试，主要取得了以下研究成果：</w:t>
      </w:r>
    </w:p>
    <w:p>
      <w:pPr>
        <w:spacing w:line="360" w:lineRule="auto" w:before="0" w:after="0"/>
        <w:ind w:firstLine="420"/>
      </w:pPr>
      <w:r>
        <w:rPr>
          <w:rFonts w:ascii="Times New Roman" w:hAnsi="Times New Roman" w:eastAsia="宋体"/>
          <w:b w:val="0"/>
          <w:i w:val="0"/>
          <w:sz w:val="24"/>
        </w:rPr>
        <w:t>（1）构建了基于 Graph VAE 的分子生成模型。设计并实现了以 GCN 为编码器核心的图变分自编码器，集成属性预测器实现了端到端的性质导向分子生成能力。模型通过两层图卷积学习分子结构特征，通过全局平均池化获得图级别表示，并在连续潜在空间中编码了丰富的分子性质信息。训练阶段采用的 KL 退火策略有效缓解了 KL 坍缩问题，早停和学习率调度机制保证了训练的稳定性。</w:t>
      </w:r>
    </w:p>
    <w:p>
      <w:pPr>
        <w:spacing w:line="360" w:lineRule="auto" w:before="0" w:after="0"/>
        <w:ind w:firstLine="420"/>
      </w:pPr>
      <w:r>
        <w:rPr>
          <w:rFonts w:ascii="Times New Roman" w:hAnsi="Times New Roman" w:eastAsia="宋体"/>
          <w:b w:val="0"/>
          <w:i w:val="0"/>
          <w:sz w:val="24"/>
        </w:rPr>
        <w:t>（2）实现了性质导向分子生成和骨架跃迁优化的完整算法流程。性质导向生成方面，设计了"引导采样→概率解码→约束筛选→相似度去重"的四阶段流水线，通过属性预测器引导采样显著提高了满足约束分子的命中率。骨架优化方面，提出了"潜在空间微扰 + 规则侧链替换"的两阶段互补策略，在保持核心骨架一致性的前提下实现了衍生物的多样化生成。</w:t>
      </w:r>
    </w:p>
    <w:p>
      <w:pPr>
        <w:spacing w:line="360" w:lineRule="auto" w:before="0" w:after="0"/>
        <w:ind w:firstLine="420"/>
      </w:pPr>
      <w:r>
        <w:rPr>
          <w:rFonts w:ascii="Times New Roman" w:hAnsi="Times New Roman" w:eastAsia="宋体"/>
          <w:b w:val="0"/>
          <w:i w:val="0"/>
          <w:sz w:val="24"/>
        </w:rPr>
        <w:t>（3）开发了功能完整的 Web 应用平台。采用 Flask + Bootstrap 5 的前后端架构，集成了模型训练、分子生成和骨架优化三大功能。系统通过异步线程和状态轮询机制实现了长时间任务的非阻塞执行和实时监控，通过直观的 Web 界面降低了深度学习分子设计工具的使用门槛。</w:t>
      </w:r>
    </w:p>
    <w:p>
      <w:pPr>
        <w:spacing w:line="360" w:lineRule="auto" w:before="0" w:after="0"/>
        <w:ind w:firstLine="420"/>
      </w:pPr>
      <w:r>
        <w:rPr>
          <w:rFonts w:ascii="Times New Roman" w:hAnsi="Times New Roman" w:eastAsia="宋体"/>
          <w:b w:val="0"/>
          <w:i w:val="0"/>
          <w:sz w:val="24"/>
        </w:rPr>
        <w:t>（4）建立了全面的分子评估体系。系统集成了 Lipinski 五规则、Veber 规则、QED 评分、SA Score、以及基于经验规则的 ADMET 预测（水溶性、渗透性、BBB 透过性、毒性警示子结构检测），为生成分子提供了多维度的药物化学评估报告。</w:t>
      </w:r>
    </w:p>
    <w:p>
      <w:pPr>
        <w:spacing w:line="360" w:lineRule="auto" w:before="120" w:after="120"/>
      </w:pPr>
      <w:r>
        <w:rPr>
          <w:rFonts w:ascii="Times New Roman" w:hAnsi="Times New Roman" w:eastAsia="黑体"/>
          <w:b/>
          <w:i w:val="0"/>
          <w:sz w:val="28"/>
        </w:rPr>
        <w:t>6.2 展望</w:t>
      </w:r>
    </w:p>
    <w:p>
      <w:pPr>
        <w:spacing w:line="360" w:lineRule="auto" w:before="0" w:after="0"/>
        <w:ind w:firstLine="420"/>
      </w:pPr>
      <w:r>
        <w:rPr>
          <w:rFonts w:ascii="Times New Roman" w:hAnsi="Times New Roman" w:eastAsia="宋体"/>
          <w:b w:val="0"/>
          <w:i w:val="0"/>
          <w:sz w:val="24"/>
        </w:rPr>
        <w:t>尽管本系统已实现了基本的分子生成与优化功能，但仍存在一些不足和改进空间。未来的研究和开发可以从以下方向进行拓展：</w:t>
      </w:r>
    </w:p>
    <w:p>
      <w:pPr>
        <w:spacing w:line="360" w:lineRule="auto" w:before="0" w:after="0"/>
        <w:ind w:firstLine="420"/>
      </w:pPr>
      <w:r>
        <w:rPr>
          <w:rFonts w:ascii="Times New Roman" w:hAnsi="Times New Roman" w:eastAsia="宋体"/>
          <w:b w:val="0"/>
          <w:i w:val="0"/>
          <w:sz w:val="24"/>
        </w:rPr>
        <w:t>（1）数据规模与质量提升。当前系统的训练数据集规模相对较小（万级别），限制了模型学习到的化学空间的广度和多样性。未来可以使用更大规模的数据集（如完整的 ZINC 数据库、ChEMBL 数据库等百万级别的分子数据），以提升模型的生成质量和覆盖面。同时可以引入数据增强技术提高训练数据的质量。</w:t>
      </w:r>
    </w:p>
    <w:p>
      <w:pPr>
        <w:spacing w:line="360" w:lineRule="auto" w:before="0" w:after="0"/>
        <w:ind w:firstLine="420"/>
      </w:pPr>
      <w:r>
        <w:rPr>
          <w:rFonts w:ascii="Times New Roman" w:hAnsi="Times New Roman" w:eastAsia="宋体"/>
          <w:b w:val="0"/>
          <w:i w:val="0"/>
          <w:sz w:val="24"/>
        </w:rPr>
        <w:t>（2）条件生成模型升级。当前系统的性质导向能力主要依赖后处理阶段的约束筛选和引导采样，未来可以将条件信息（如目标性质向量）直接融入模型的生成过程，采用条件变分自编码器（CVAE）或基于条件 Flow 的模型，实现更精确的性质定向生成。</w:t>
      </w:r>
    </w:p>
    <w:p>
      <w:pPr>
        <w:spacing w:line="360" w:lineRule="auto" w:before="0" w:after="0"/>
        <w:ind w:firstLine="420"/>
      </w:pPr>
      <w:r>
        <w:rPr>
          <w:rFonts w:ascii="Times New Roman" w:hAnsi="Times New Roman" w:eastAsia="宋体"/>
          <w:b w:val="0"/>
          <w:i w:val="0"/>
          <w:sz w:val="24"/>
        </w:rPr>
        <w:t>（3）强化学习优化。引入强化学习（RL）技术，以目标分子性质或对接评分作为奖励信号，在潜在空间中进行策略优化，使生成过程更具目标导向性。例如可以结合分子对接软件（如 AutoDock）计算分子与靶标蛋白的结合亲和力，将其作为强化学习的奖励函数。</w:t>
      </w:r>
    </w:p>
    <w:p>
      <w:pPr>
        <w:spacing w:line="360" w:lineRule="auto" w:before="0" w:after="0"/>
        <w:ind w:firstLine="420"/>
      </w:pPr>
      <w:r>
        <w:rPr>
          <w:rFonts w:ascii="Times New Roman" w:hAnsi="Times New Roman" w:eastAsia="宋体"/>
          <w:b w:val="0"/>
          <w:i w:val="0"/>
          <w:sz w:val="24"/>
        </w:rPr>
        <w:t>（4）模型架构改进。当前编码器采用的 GCN 架构相对简单，未来可以探索图注意力网络（GAT）、图同构网络（GIN）或消息传递神经网络（MPNN）等更先进的图神经网络架构以提升编码能力。解码器方面可以考虑采用自回归生成策略，逐步生成原子和键，以更好地保证生成分子的化学有效性。</w:t>
      </w:r>
    </w:p>
    <w:p>
      <w:pPr>
        <w:spacing w:line="360" w:lineRule="auto" w:before="0" w:after="0"/>
        <w:ind w:firstLine="420"/>
      </w:pPr>
      <w:r>
        <w:rPr>
          <w:rFonts w:ascii="Times New Roman" w:hAnsi="Times New Roman" w:eastAsia="宋体"/>
          <w:b w:val="0"/>
          <w:i w:val="0"/>
          <w:sz w:val="24"/>
        </w:rPr>
        <w:t>（5）分子对接与靶标特异性。当前系统的生成目标主要基于通用的类药性指标，未来可以集成分子对接评分功能，使系统能够针对特定疾病靶标蛋白生成具有结合亲和力的配体分子，从而更贴近实际药物研发的需求。</w:t>
      </w:r>
    </w:p>
    <w:p>
      <w:pPr>
        <w:spacing w:line="360" w:lineRule="auto" w:before="0" w:after="0"/>
        <w:ind w:firstLine="420"/>
      </w:pPr>
      <w:r>
        <w:rPr>
          <w:rFonts w:ascii="Times New Roman" w:hAnsi="Times New Roman" w:eastAsia="宋体"/>
          <w:b w:val="0"/>
          <w:i w:val="0"/>
          <w:sz w:val="24"/>
        </w:rPr>
        <w:t>（6）多用户与协作功能。当前系统主要面向单用户场景，未来可以引入用户管理系统和数据库存储，支持多用户并发使用、模型/数据集共享、以及生成结果的持久化管理，提升系统的实用性和协作性。</w:t>
      </w:r>
    </w:p>
    <w:p>
      <w:r>
        <w:br w:type="page"/>
      </w:r>
    </w:p>
    <w:p>
      <w:pPr>
        <w:spacing w:line="360" w:lineRule="auto" w:before="240" w:after="240"/>
        <w:jc w:val="center"/>
      </w:pPr>
      <w:r>
        <w:rPr>
          <w:rFonts w:ascii="Times New Roman" w:hAnsi="Times New Roman" w:eastAsia="黑体"/>
          <w:b/>
          <w:i w:val="0"/>
          <w:sz w:val="32"/>
        </w:rPr>
        <w:t>致  谢</w:t>
      </w:r>
    </w:p>
    <w:p>
      <w:pPr>
        <w:spacing w:line="360" w:lineRule="auto" w:before="0" w:after="0"/>
        <w:ind w:firstLine="420"/>
      </w:pPr>
      <w:r>
        <w:rPr>
          <w:rFonts w:ascii="Times New Roman" w:hAnsi="Times New Roman" w:eastAsia="宋体"/>
          <w:b w:val="0"/>
          <w:i w:val="0"/>
          <w:sz w:val="24"/>
        </w:rPr>
        <w:t>时光荏苒，四年的大学生活即将画上句号。在完成本毕业设计的过程中，我得到了许多人的帮助和支持，在此表示衷心的感谢。</w:t>
      </w:r>
    </w:p>
    <w:p>
      <w:pPr>
        <w:spacing w:line="360" w:lineRule="auto" w:before="0" w:after="0"/>
        <w:ind w:firstLine="420"/>
      </w:pPr>
      <w:r>
        <w:rPr>
          <w:rFonts w:ascii="Times New Roman" w:hAnsi="Times New Roman" w:eastAsia="宋体"/>
          <w:b w:val="0"/>
          <w:i w:val="0"/>
          <w:sz w:val="24"/>
        </w:rPr>
        <w:t>首先，我要向我的指导老师致以最诚挚的谢意。在毕业设计的选题、研究方案设计和论文撰写过程中，老师给予了我耐心细致的指导和宝贵的建议。老师严谨的治学态度和广博的学识深深影响了我，使我在学术研究和工程实践方面受益匪浅。</w:t>
      </w:r>
    </w:p>
    <w:p>
      <w:pPr>
        <w:spacing w:line="360" w:lineRule="auto" w:before="0" w:after="0"/>
        <w:ind w:firstLine="420"/>
      </w:pPr>
      <w:r>
        <w:rPr>
          <w:rFonts w:ascii="Times New Roman" w:hAnsi="Times New Roman" w:eastAsia="宋体"/>
          <w:b w:val="0"/>
          <w:i w:val="0"/>
          <w:sz w:val="24"/>
        </w:rPr>
        <w:t>其次，感谢在大学四年中教导过我的所有老师们。正是各位老师在课堂上的悉心教学和课后的答疑解惑，为我打下了扎实的计算机科学基础，使我具备了完成本毕业设计所需的编程能力和专业知识。</w:t>
      </w:r>
    </w:p>
    <w:p>
      <w:pPr>
        <w:spacing w:line="360" w:lineRule="auto" w:before="0" w:after="0"/>
        <w:ind w:firstLine="420"/>
      </w:pPr>
      <w:r>
        <w:rPr>
          <w:rFonts w:ascii="Times New Roman" w:hAnsi="Times New Roman" w:eastAsia="宋体"/>
          <w:b w:val="0"/>
          <w:i w:val="0"/>
          <w:sz w:val="24"/>
        </w:rPr>
        <w:t>同时，我要感谢我的同学和朋友们。在设计和开发过程中遇到困难时，他们给予了我热情的帮助和有益的讨论。与他们的交流和合作使我开阔了思路，也使整个毕设过程充满了乐趣。</w:t>
      </w:r>
    </w:p>
    <w:p>
      <w:pPr>
        <w:spacing w:line="360" w:lineRule="auto" w:before="0" w:after="0"/>
        <w:ind w:firstLine="420"/>
      </w:pPr>
      <w:r>
        <w:rPr>
          <w:rFonts w:ascii="Times New Roman" w:hAnsi="Times New Roman" w:eastAsia="宋体"/>
          <w:b w:val="0"/>
          <w:i w:val="0"/>
          <w:sz w:val="24"/>
        </w:rPr>
        <w:t>最后，衷心感谢我的家人，感谢他们多年来无条件的支持和鼓励。正是家人的理解和关怀，给了我坚持学习和不断前进的动力。</w:t>
      </w:r>
    </w:p>
    <w:p>
      <w:pPr>
        <w:spacing w:line="360" w:lineRule="auto" w:before="0" w:after="0"/>
        <w:ind w:firstLine="420"/>
      </w:pPr>
      <w:r>
        <w:rPr>
          <w:rFonts w:ascii="Times New Roman" w:hAnsi="Times New Roman" w:eastAsia="宋体"/>
          <w:b w:val="0"/>
          <w:i w:val="0"/>
          <w:sz w:val="24"/>
        </w:rPr>
        <w:t>本系统的开发参考了 PyTorch、PyTorch Geometric、RDKit 等优秀开源项目的文档和示例，在此一并向这些项目的开发者和维护者表示感谢。</w:t>
      </w:r>
    </w:p>
    <w:p>
      <w:r>
        <w:br w:type="page"/>
      </w:r>
    </w:p>
    <w:p>
      <w:pPr>
        <w:spacing w:line="360" w:lineRule="auto" w:before="240" w:after="240"/>
        <w:jc w:val="center"/>
      </w:pPr>
      <w:r>
        <w:rPr>
          <w:rFonts w:ascii="Times New Roman" w:hAnsi="Times New Roman" w:eastAsia="黑体"/>
          <w:b/>
          <w:i w:val="0"/>
          <w:sz w:val="32"/>
        </w:rPr>
        <w:t>参考文献</w:t>
      </w:r>
    </w:p>
    <w:p>
      <w:pPr>
        <w:spacing w:line="360" w:lineRule="auto" w:before="0" w:after="40"/>
      </w:pPr>
      <w:r>
        <w:rPr>
          <w:rFonts w:ascii="Times New Roman" w:hAnsi="Times New Roman" w:eastAsia="宋体"/>
          <w:b w:val="0"/>
          <w:i w:val="0"/>
          <w:sz w:val="21"/>
        </w:rPr>
        <w:t>[1] Gómez-Bombarelli R, Wei J N, Duvenaud D, et al. Automatic chemical design using a data-driven continuous representation of molecules[J]. ACS Central Science, 2018, 4(2): 268-276.</w:t>
      </w:r>
    </w:p>
    <w:p>
      <w:pPr>
        <w:spacing w:line="360" w:lineRule="auto" w:before="0" w:after="40"/>
      </w:pPr>
      <w:r>
        <w:rPr>
          <w:rFonts w:ascii="Times New Roman" w:hAnsi="Times New Roman" w:eastAsia="宋体"/>
          <w:b w:val="0"/>
          <w:i w:val="0"/>
          <w:sz w:val="21"/>
        </w:rPr>
        <w:t>[2] Kipf T N, Welling M. Semi-supervised classification with graph convolutional networks[C]//International Conference on Learning Representations (ICLR), 2017.</w:t>
      </w:r>
    </w:p>
    <w:p>
      <w:pPr>
        <w:spacing w:line="360" w:lineRule="auto" w:before="0" w:after="40"/>
      </w:pPr>
      <w:r>
        <w:rPr>
          <w:rFonts w:ascii="Times New Roman" w:hAnsi="Times New Roman" w:eastAsia="宋体"/>
          <w:b w:val="0"/>
          <w:i w:val="0"/>
          <w:sz w:val="21"/>
        </w:rPr>
        <w:t>[3] Kingma D P, Welling M. Auto-encoding variational Bayes[C]//International Conference on Learning Representations (ICLR), 2014.</w:t>
      </w:r>
    </w:p>
    <w:p>
      <w:pPr>
        <w:spacing w:line="360" w:lineRule="auto" w:before="0" w:after="40"/>
      </w:pPr>
      <w:r>
        <w:rPr>
          <w:rFonts w:ascii="Times New Roman" w:hAnsi="Times New Roman" w:eastAsia="宋体"/>
          <w:b w:val="0"/>
          <w:i w:val="0"/>
          <w:sz w:val="21"/>
        </w:rPr>
        <w:t>[4] Simonovsky M, Komodakis N. GraphVAE: Towards generation of small graphs using variational autoencoders[C]//International Conference on Artificial Neural Networks, 2018: 412-422.</w:t>
      </w:r>
    </w:p>
    <w:p>
      <w:pPr>
        <w:spacing w:line="360" w:lineRule="auto" w:before="0" w:after="40"/>
      </w:pPr>
      <w:r>
        <w:rPr>
          <w:rFonts w:ascii="Times New Roman" w:hAnsi="Times New Roman" w:eastAsia="宋体"/>
          <w:b w:val="0"/>
          <w:i w:val="0"/>
          <w:sz w:val="21"/>
        </w:rPr>
        <w:t>[5] Jin W, Barzilay R, Jaakkola T. Junction tree variational autoencoder for molecular graph generation[C]//International Conference on Machine Learning (ICML), 2018: 2323-2332.</w:t>
      </w:r>
    </w:p>
    <w:p>
      <w:pPr>
        <w:spacing w:line="360" w:lineRule="auto" w:before="0" w:after="40"/>
      </w:pPr>
      <w:r>
        <w:rPr>
          <w:rFonts w:ascii="Times New Roman" w:hAnsi="Times New Roman" w:eastAsia="宋体"/>
          <w:b w:val="0"/>
          <w:i w:val="0"/>
          <w:sz w:val="21"/>
        </w:rPr>
        <w:t>[6] De Cao N, Kipf T. MolGAN: An implicit generative model for small molecular graphs[C]//ICML Workshop on Theoretical Foundations and Applications of Deep Generative Models, 2018.</w:t>
      </w:r>
    </w:p>
    <w:p>
      <w:pPr>
        <w:spacing w:line="360" w:lineRule="auto" w:before="0" w:after="40"/>
      </w:pPr>
      <w:r>
        <w:rPr>
          <w:rFonts w:ascii="Times New Roman" w:hAnsi="Times New Roman" w:eastAsia="宋体"/>
          <w:b w:val="0"/>
          <w:i w:val="0"/>
          <w:sz w:val="21"/>
        </w:rPr>
        <w:t>[7] Kusner M J, Paige B, Hernández-Lobato J M. Grammar variational autoencoder[C]//International Conference on Machine Learning (ICML), 2017: 1945-1954.</w:t>
      </w:r>
    </w:p>
    <w:p>
      <w:pPr>
        <w:spacing w:line="360" w:lineRule="auto" w:before="0" w:after="40"/>
      </w:pPr>
      <w:r>
        <w:rPr>
          <w:rFonts w:ascii="Times New Roman" w:hAnsi="Times New Roman" w:eastAsia="宋体"/>
          <w:b w:val="0"/>
          <w:i w:val="0"/>
          <w:sz w:val="21"/>
        </w:rPr>
        <w:t>[8] Lipinski C A, Lombardo F, Dominy B W, et al. Experimental and computational approaches to estimate solubility and permeability in drug discovery and development settings[J]. Advanced Drug Delivery Reviews, 1997, 23(1-3): 3-25.</w:t>
      </w:r>
    </w:p>
    <w:p>
      <w:pPr>
        <w:spacing w:line="360" w:lineRule="auto" w:before="0" w:after="40"/>
      </w:pPr>
      <w:r>
        <w:rPr>
          <w:rFonts w:ascii="Times New Roman" w:hAnsi="Times New Roman" w:eastAsia="宋体"/>
          <w:b w:val="0"/>
          <w:i w:val="0"/>
          <w:sz w:val="21"/>
        </w:rPr>
        <w:t>[9] Bickerton G R, Paolini G V, Besnard J, et al. Quantifying the chemical beauty of drugs[J]. Nature Chemistry, 2012, 4(2): 90-98.</w:t>
      </w:r>
    </w:p>
    <w:p>
      <w:pPr>
        <w:spacing w:line="360" w:lineRule="auto" w:before="0" w:after="40"/>
      </w:pPr>
      <w:r>
        <w:rPr>
          <w:rFonts w:ascii="Times New Roman" w:hAnsi="Times New Roman" w:eastAsia="宋体"/>
          <w:b w:val="0"/>
          <w:i w:val="0"/>
          <w:sz w:val="21"/>
        </w:rPr>
        <w:t>[10] Ertl P, Schuffenhauer A. Estimation of synthetic accessibility score of drug-like molecules based on molecular complexity and fragment contributions[J]. Journal of Cheminformatics, 2009, 1(1): 8.</w:t>
      </w:r>
    </w:p>
    <w:p>
      <w:pPr>
        <w:spacing w:line="360" w:lineRule="auto" w:before="0" w:after="40"/>
      </w:pPr>
      <w:r>
        <w:rPr>
          <w:rFonts w:ascii="Times New Roman" w:hAnsi="Times New Roman" w:eastAsia="宋体"/>
          <w:b w:val="0"/>
          <w:i w:val="0"/>
          <w:sz w:val="21"/>
        </w:rPr>
        <w:t>[11] Delaney J S. ESOL: Estimating aqueous solubility directly from molecular structure[J]. Journal of Chemical Information and Computer Sciences, 2004, 44(3): 1000-1005.</w:t>
      </w:r>
    </w:p>
    <w:p>
      <w:pPr>
        <w:spacing w:line="360" w:lineRule="auto" w:before="0" w:after="40"/>
      </w:pPr>
      <w:r>
        <w:rPr>
          <w:rFonts w:ascii="Times New Roman" w:hAnsi="Times New Roman" w:eastAsia="宋体"/>
          <w:b w:val="0"/>
          <w:i w:val="0"/>
          <w:sz w:val="21"/>
        </w:rPr>
        <w:t>[12] Veber D F, Johnson S R, Cheng H Y, et al. Molecular properties that influence the oral bioavailability of drug candidates[J]. Journal of Medicinal Chemistry, 2002, 45(12): 2615-2623.</w:t>
      </w:r>
    </w:p>
    <w:p>
      <w:pPr>
        <w:spacing w:line="360" w:lineRule="auto" w:before="0" w:after="40"/>
      </w:pPr>
      <w:r>
        <w:rPr>
          <w:rFonts w:ascii="Times New Roman" w:hAnsi="Times New Roman" w:eastAsia="宋体"/>
          <w:b w:val="0"/>
          <w:i w:val="0"/>
          <w:sz w:val="21"/>
        </w:rPr>
        <w:t>[13] Weininger D. SMILES, a chemical language and information system. 1. Introduction to methodology and encoding rules[J]. Journal of Chemical Information and Computer Sciences, 1988, 28(1): 31-36.</w:t>
      </w:r>
    </w:p>
    <w:p>
      <w:pPr>
        <w:spacing w:line="360" w:lineRule="auto" w:before="0" w:after="40"/>
      </w:pPr>
      <w:r>
        <w:rPr>
          <w:rFonts w:ascii="Times New Roman" w:hAnsi="Times New Roman" w:eastAsia="宋体"/>
          <w:b w:val="0"/>
          <w:i w:val="0"/>
          <w:sz w:val="21"/>
        </w:rPr>
        <w:t>[14] Fey M, Lenssen J E. Fast graph representation learning with PyTorch Geometric[C]//ICLR Workshop on Representation Learning on Graphs and Manifolds, 2019.</w:t>
      </w:r>
    </w:p>
    <w:p>
      <w:pPr>
        <w:spacing w:line="360" w:lineRule="auto" w:before="0" w:after="40"/>
      </w:pPr>
      <w:r>
        <w:rPr>
          <w:rFonts w:ascii="Times New Roman" w:hAnsi="Times New Roman" w:eastAsia="宋体"/>
          <w:b w:val="0"/>
          <w:i w:val="0"/>
          <w:sz w:val="21"/>
        </w:rPr>
        <w:t>[15] Bemis G W, Murcko M A. The properties that differentiate 227 drugs, their properties, and the structural implications for the design of combinatorial libraries[J]. Journal of Medicinal Chemistry, 1996, 39(15): 2887-2893.</w:t>
      </w:r>
    </w:p>
    <w:p>
      <w:pPr>
        <w:spacing w:line="360" w:lineRule="auto" w:before="0" w:after="40"/>
      </w:pPr>
      <w:r>
        <w:rPr>
          <w:rFonts w:ascii="Times New Roman" w:hAnsi="Times New Roman" w:eastAsia="宋体"/>
          <w:b w:val="0"/>
          <w:i w:val="0"/>
          <w:sz w:val="21"/>
        </w:rPr>
        <w:t>[16] Rogers D, Hahn M. Extended-connectivity fingerprints[J]. Journal of Chemical Information and Modeling, 2010, 50(5): 742-754.</w:t>
      </w:r>
    </w:p>
    <w:p>
      <w:pPr>
        <w:spacing w:line="360" w:lineRule="auto" w:before="0" w:after="40"/>
      </w:pPr>
      <w:r>
        <w:rPr>
          <w:rFonts w:ascii="Times New Roman" w:hAnsi="Times New Roman" w:eastAsia="宋体"/>
          <w:b w:val="0"/>
          <w:i w:val="0"/>
          <w:sz w:val="21"/>
        </w:rPr>
        <w:t>[17] Dai H, Tian Y, Dai B, et al. Syntax-directed variational autoencoder for structured data[C]//International Conference on Learning Representations (ICLR), 2018.</w:t>
      </w:r>
    </w:p>
    <w:p>
      <w:pPr>
        <w:spacing w:line="360" w:lineRule="auto" w:before="0" w:after="40"/>
      </w:pPr>
      <w:r>
        <w:rPr>
          <w:rFonts w:ascii="Times New Roman" w:hAnsi="Times New Roman" w:eastAsia="宋体"/>
          <w:b w:val="0"/>
          <w:i w:val="0"/>
          <w:sz w:val="21"/>
        </w:rPr>
        <w:t>[18] Griffiths R R, Hernández-Lobato J M. Constrained Bayesian optimization for automatic chemical design using variational autoencoders[J]. Chemical Science, 2020, 11(2): 577-586.</w:t>
      </w:r>
    </w:p>
    <w:p>
      <w:pPr>
        <w:spacing w:line="360" w:lineRule="auto" w:before="0" w:after="40"/>
      </w:pPr>
      <w:r>
        <w:rPr>
          <w:rFonts w:ascii="Times New Roman" w:hAnsi="Times New Roman" w:eastAsia="宋体"/>
          <w:b w:val="0"/>
          <w:i w:val="0"/>
          <w:sz w:val="21"/>
        </w:rPr>
        <w:t>[19] Bowman S R, Vilnis L, Vinyals O, et al. Generating sentences from a continuous space[C]//Conference on Computational Natural Language Learning (CoNLL), 2016: 10-21.</w:t>
      </w:r>
    </w:p>
    <w:p>
      <w:pPr>
        <w:spacing w:line="360" w:lineRule="auto" w:before="0" w:after="40"/>
      </w:pPr>
      <w:r>
        <w:rPr>
          <w:rFonts w:ascii="Times New Roman" w:hAnsi="Times New Roman" w:eastAsia="宋体"/>
          <w:b w:val="0"/>
          <w:i w:val="0"/>
          <w:sz w:val="21"/>
        </w:rPr>
        <w:t>[20] Gilmer J, Schoenholz S S, Riley P F, et al. Neural message passing for quantum chemistry[C]//International Conference on Machine Learning (ICML), 2017: 1263-1272.</w:t>
      </w:r>
    </w:p>
    <w:p>
      <w:pPr>
        <w:spacing w:line="360" w:lineRule="auto" w:before="0" w:after="40"/>
      </w:pPr>
      <w:r>
        <w:rPr>
          <w:rFonts w:ascii="Times New Roman" w:hAnsi="Times New Roman" w:eastAsia="宋体"/>
          <w:b w:val="0"/>
          <w:i w:val="0"/>
          <w:sz w:val="21"/>
        </w:rPr>
      </w:r>
    </w:p>
    <w:p>
      <w:pPr>
        <w:spacing w:line="360" w:lineRule="auto" w:before="0" w:after="40"/>
      </w:pPr>
      <w:r>
        <w:rPr>
          <w:rFonts w:ascii="Times New Roman" w:hAnsi="Times New Roman" w:eastAsia="宋体"/>
          <w:b w:val="0"/>
          <w:i w:val="0"/>
          <w:sz w:val="21"/>
        </w:rPr>
        <w:t>[需补充] 更多参考文献请根据实际引用情况补充完善。</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eastAsia="宋体"/>
        <w:b w:val="0"/>
        <w:i w:val="0"/>
        <w:sz w:val="18"/>
      </w:rPr>
      <w:t>西南石油大学本科毕业设计（论文）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