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定位卡技术要求</w:t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定位卡</w:t>
      </w:r>
      <w:r>
        <w:rPr>
          <w:rFonts w:eastAsia="等线" w:ascii="Arial" w:cs="Arial" w:hAnsi="Arial"/>
          <w:sz w:val="22"/>
        </w:rPr>
        <w:t>技术要求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090"/>
        <w:gridCol w:w="81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项目名称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具体配置信息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数量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有源</w:t>
            </w:r>
            <w:r>
              <w:rPr>
                <w:rFonts w:eastAsia="等线" w:ascii="Arial" w:cs="Arial" w:hAnsi="Arial"/>
                <w:color w:val="1f2329"/>
                <w:sz w:val="22"/>
              </w:rPr>
              <w:t>定位卡</w:t>
            </w:r>
          </w:p>
        </w:tc>
        <w:tc>
          <w:tcPr>
            <w:tcW w:w="6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支持协议：</w:t>
            </w:r>
            <w:r>
              <w:rPr>
                <w:rFonts w:eastAsia="等线" w:ascii="Arial" w:cs="Arial" w:hAnsi="Arial"/>
                <w:sz w:val="22"/>
              </w:rPr>
              <w:t>Bluetooth BLE 4.2</w:t>
            </w:r>
            <w:r>
              <w:rPr>
                <w:rFonts w:eastAsia="等线" w:ascii="Arial" w:cs="Arial" w:hAnsi="Arial"/>
                <w:sz w:val="22"/>
              </w:rPr>
              <w:t>或</w:t>
            </w:r>
            <w:r>
              <w:rPr>
                <w:rFonts w:eastAsia="等线" w:ascii="Arial" w:cs="Arial" w:hAnsi="Arial"/>
                <w:sz w:val="22"/>
              </w:rPr>
              <w:t>以上，苹果公司标准iBeacon协议，</w:t>
            </w:r>
            <w:r>
              <w:rPr>
                <w:rFonts w:eastAsia="等线" w:ascii="Arial" w:cs="Arial" w:hAnsi="Arial"/>
                <w:sz w:val="22"/>
              </w:rPr>
              <w:t>Ble</w:t>
            </w:r>
            <w:r>
              <w:rPr>
                <w:rFonts w:eastAsia="等线" w:ascii="Arial" w:cs="Arial" w:hAnsi="Arial"/>
                <w:sz w:val="22"/>
              </w:rPr>
              <w:t>私有协议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供电方式：</w:t>
            </w:r>
            <w:r>
              <w:rPr>
                <w:rFonts w:eastAsia="等线" w:ascii="Arial" w:cs="Arial" w:hAnsi="Arial"/>
                <w:sz w:val="22"/>
              </w:rPr>
              <w:t>3000mAh 防爆可充电锂电池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充电方式：</w:t>
            </w:r>
            <w:r>
              <w:rPr>
                <w:rFonts w:eastAsia="等线" w:ascii="Arial" w:cs="Arial" w:hAnsi="Arial"/>
                <w:sz w:val="22"/>
              </w:rPr>
              <w:t>Type-c充电；充电规格5V/1A ；充电时间&lt;=2.5小时</w:t>
            </w:r>
            <w:r>
              <w:rPr>
                <w:rFonts w:eastAsia="等线" w:ascii="Arial" w:cs="Arial" w:hAnsi="Arial"/>
                <w:sz w:val="22"/>
              </w:rPr>
              <w:t>，内置过压</w:t>
            </w:r>
            <w:r>
              <w:rPr>
                <w:rFonts w:eastAsia="等线" w:ascii="Arial" w:cs="Arial" w:hAnsi="Arial"/>
                <w:sz w:val="22"/>
              </w:rPr>
              <w:t>(电压范围5~24V)、过流、过温、防反接保护电路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外形尺寸:&lt;= 96mmx63mmx10mm (</w:t>
            </w:r>
            <w:r>
              <w:rPr>
                <w:rFonts w:eastAsia="等线" w:ascii="Arial" w:cs="Arial" w:hAnsi="Arial"/>
                <w:sz w:val="22"/>
              </w:rPr>
              <w:t>LxWxH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重量:&lt;=80克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版本升级：</w:t>
            </w:r>
            <w:r>
              <w:rPr>
                <w:rFonts w:eastAsia="等线" w:ascii="Arial" w:cs="Arial" w:hAnsi="Arial"/>
                <w:sz w:val="22"/>
              </w:rPr>
              <w:t xml:space="preserve">OTA升级， </w:t>
            </w:r>
            <w:r>
              <w:rPr>
                <w:rFonts w:eastAsia="等线" w:ascii="Arial" w:cs="Arial" w:hAnsi="Arial"/>
                <w:sz w:val="22"/>
              </w:rPr>
              <w:t>JLink</w:t>
            </w:r>
            <w:r>
              <w:rPr>
                <w:rFonts w:eastAsia="等线" w:ascii="Arial" w:cs="Arial" w:hAnsi="Arial"/>
                <w:sz w:val="22"/>
              </w:rPr>
              <w:t>升级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通信距离</w:t>
            </w:r>
            <w:r>
              <w:rPr>
                <w:rFonts w:eastAsia="等线" w:ascii="Arial" w:cs="Arial" w:hAnsi="Arial"/>
                <w:sz w:val="22"/>
              </w:rPr>
              <w:t>:&gt;=300m;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运动检测：内置运动传感器，支持动静判断、静止告警（可配置）</w:t>
            </w:r>
            <w:r>
              <w:rPr>
                <w:rFonts w:eastAsia="等线" w:ascii="Arial" w:cs="Arial" w:hAnsi="Arial"/>
                <w:sz w:val="22"/>
              </w:rPr>
              <w:t>;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卫星</w:t>
            </w:r>
            <w:r>
              <w:rPr>
                <w:rFonts w:eastAsia="等线" w:ascii="Arial" w:cs="Arial" w:hAnsi="Arial"/>
                <w:sz w:val="22"/>
              </w:rPr>
              <w:t>:采用</w:t>
            </w:r>
            <w:r>
              <w:rPr>
                <w:rFonts w:eastAsia="等线" w:ascii="Arial" w:cs="Arial" w:hAnsi="Arial"/>
                <w:sz w:val="22"/>
              </w:rPr>
              <w:t>支持</w:t>
            </w:r>
            <w:r>
              <w:rPr>
                <w:rFonts w:eastAsia="等线" w:ascii="Arial" w:cs="Arial" w:hAnsi="Arial"/>
                <w:sz w:val="22"/>
              </w:rPr>
              <w:t>北斗 B1</w:t>
            </w:r>
            <w:r>
              <w:rPr>
                <w:rFonts w:eastAsia="等线" w:ascii="Arial" w:cs="Arial" w:hAnsi="Arial"/>
                <w:sz w:val="22"/>
              </w:rPr>
              <w:t>、</w:t>
            </w:r>
            <w:r>
              <w:rPr>
                <w:rFonts w:eastAsia="等线" w:ascii="Arial" w:cs="Arial" w:hAnsi="Arial"/>
                <w:sz w:val="22"/>
              </w:rPr>
              <w:t>GPS L1多频多模芯片;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连续工作时长</w:t>
            </w:r>
            <w:r>
              <w:rPr>
                <w:rFonts w:eastAsia="等线" w:ascii="Arial" w:cs="Arial" w:hAnsi="Arial"/>
                <w:sz w:val="22"/>
              </w:rPr>
              <w:t>:&gt;=80h;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通讯技术</w:t>
            </w:r>
            <w:r>
              <w:rPr>
                <w:rFonts w:eastAsia="等线" w:ascii="Arial" w:cs="Arial" w:hAnsi="Arial"/>
                <w:sz w:val="22"/>
              </w:rPr>
              <w:t xml:space="preserve">:LPWAN技术， </w:t>
            </w:r>
            <w:r>
              <w:rPr>
                <w:rFonts w:eastAsia="等线" w:ascii="Arial" w:cs="Arial" w:hAnsi="Arial"/>
                <w:sz w:val="22"/>
              </w:rPr>
              <w:t>LoraWAN</w:t>
            </w:r>
            <w:r>
              <w:rPr>
                <w:rFonts w:eastAsia="等线" w:ascii="Arial" w:cs="Arial" w:hAnsi="Arial"/>
                <w:sz w:val="22"/>
              </w:rPr>
              <w:t>（</w:t>
            </w:r>
            <w:r>
              <w:rPr>
                <w:rFonts w:eastAsia="等线" w:ascii="Arial" w:cs="Arial" w:hAnsi="Arial"/>
                <w:sz w:val="22"/>
              </w:rPr>
              <w:t>470</w:t>
            </w:r>
            <w:r>
              <w:rPr>
                <w:rFonts w:eastAsia="等线" w:ascii="Arial" w:cs="Arial" w:hAnsi="Arial"/>
                <w:sz w:val="22"/>
              </w:rPr>
              <w:t>频段）</w:t>
            </w:r>
            <w:r>
              <w:rPr>
                <w:rFonts w:eastAsia="等线" w:ascii="Arial" w:cs="Arial" w:hAnsi="Arial"/>
                <w:sz w:val="22"/>
              </w:rPr>
              <w:t>;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佩戴方式</w:t>
            </w:r>
            <w:r>
              <w:rPr>
                <w:rFonts w:eastAsia="等线" w:ascii="Arial" w:cs="Arial" w:hAnsi="Arial"/>
                <w:sz w:val="22"/>
              </w:rPr>
              <w:t>：</w:t>
            </w:r>
            <w:r>
              <w:rPr>
                <w:rFonts w:eastAsia="等线" w:ascii="Arial" w:cs="Arial" w:hAnsi="Arial"/>
                <w:sz w:val="22"/>
              </w:rPr>
              <w:t>与</w:t>
            </w:r>
            <w:r>
              <w:rPr>
                <w:rFonts w:eastAsia="等线" w:ascii="Arial" w:cs="Arial" w:hAnsi="Arial"/>
                <w:sz w:val="22"/>
              </w:rPr>
              <w:t>现有安全帽有机结合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</w:rPr>
              <w:t>不易脱落，且不改变现有安全帽</w:t>
            </w:r>
            <w:r>
              <w:rPr>
                <w:rFonts w:eastAsia="等线" w:ascii="Arial" w:cs="Arial" w:hAnsi="Arial"/>
                <w:sz w:val="22"/>
              </w:rPr>
              <w:t>结构；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主要功能</w:t>
            </w:r>
            <w:r>
              <w:rPr>
                <w:rFonts w:eastAsia="等线" w:ascii="Arial" w:cs="Arial" w:hAnsi="Arial"/>
                <w:sz w:val="22"/>
              </w:rPr>
              <w:t>:远距离通信，</w:t>
            </w:r>
            <w:r>
              <w:rPr>
                <w:rFonts w:eastAsia="等线" w:ascii="Arial" w:cs="Arial" w:hAnsi="Arial"/>
                <w:sz w:val="22"/>
              </w:rPr>
              <w:t>低功耗</w:t>
            </w:r>
            <w:r>
              <w:rPr>
                <w:rFonts w:eastAsia="等线" w:ascii="Arial" w:cs="Arial" w:hAnsi="Arial"/>
                <w:sz w:val="22"/>
              </w:rPr>
              <w:t>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1f2329"/>
                <w:sz w:val="22"/>
              </w:rPr>
              <w:t>1</w:t>
            </w:r>
            <w:r>
              <w:rPr>
                <w:rFonts w:eastAsia="等线" w:ascii="Arial" w:cs="Arial" w:hAnsi="Arial"/>
                <w:color w:val="1f2329"/>
                <w:sz w:val="22"/>
              </w:rPr>
              <w:t>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前期产品样式：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33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11252">
    <w:lvl>
      <w:numFmt w:val="bullet"/>
      <w:suff w:val="tab"/>
      <w:lvlText w:val="•"/>
      <w:rPr>
        <w:color w:val="3370ff"/>
      </w:rPr>
    </w:lvl>
  </w:abstractNum>
  <w:abstractNum w:abstractNumId="611253">
    <w:lvl>
      <w:numFmt w:val="bullet"/>
      <w:suff w:val="tab"/>
      <w:lvlText w:val="•"/>
      <w:rPr>
        <w:color w:val="3370ff"/>
      </w:rPr>
    </w:lvl>
  </w:abstractNum>
  <w:abstractNum w:abstractNumId="611254">
    <w:lvl>
      <w:numFmt w:val="bullet"/>
      <w:suff w:val="tab"/>
      <w:lvlText w:val="•"/>
      <w:rPr>
        <w:color w:val="3370ff"/>
      </w:rPr>
    </w:lvl>
  </w:abstractNum>
  <w:abstractNum w:abstractNumId="611255">
    <w:lvl>
      <w:numFmt w:val="bullet"/>
      <w:suff w:val="tab"/>
      <w:lvlText w:val="•"/>
      <w:rPr>
        <w:color w:val="3370ff"/>
      </w:rPr>
    </w:lvl>
  </w:abstractNum>
  <w:abstractNum w:abstractNumId="611256">
    <w:lvl>
      <w:numFmt w:val="bullet"/>
      <w:suff w:val="tab"/>
      <w:lvlText w:val="•"/>
      <w:rPr>
        <w:color w:val="3370ff"/>
      </w:rPr>
    </w:lvl>
  </w:abstractNum>
  <w:abstractNum w:abstractNumId="611257">
    <w:lvl>
      <w:numFmt w:val="bullet"/>
      <w:suff w:val="tab"/>
      <w:lvlText w:val="•"/>
      <w:rPr>
        <w:color w:val="3370ff"/>
      </w:rPr>
    </w:lvl>
  </w:abstractNum>
  <w:abstractNum w:abstractNumId="611258">
    <w:lvl>
      <w:numFmt w:val="bullet"/>
      <w:suff w:val="tab"/>
      <w:lvlText w:val="•"/>
      <w:rPr>
        <w:color w:val="3370ff"/>
      </w:rPr>
    </w:lvl>
  </w:abstractNum>
  <w:abstractNum w:abstractNumId="611259">
    <w:lvl>
      <w:numFmt w:val="bullet"/>
      <w:suff w:val="tab"/>
      <w:lvlText w:val="•"/>
      <w:rPr>
        <w:color w:val="3370ff"/>
      </w:rPr>
    </w:lvl>
  </w:abstractNum>
  <w:abstractNum w:abstractNumId="611260">
    <w:lvl>
      <w:numFmt w:val="bullet"/>
      <w:suff w:val="tab"/>
      <w:lvlText w:val="•"/>
      <w:rPr>
        <w:color w:val="3370ff"/>
      </w:rPr>
    </w:lvl>
  </w:abstractNum>
  <w:abstractNum w:abstractNumId="611261">
    <w:lvl>
      <w:numFmt w:val="bullet"/>
      <w:suff w:val="tab"/>
      <w:lvlText w:val="•"/>
      <w:rPr>
        <w:color w:val="3370ff"/>
      </w:rPr>
    </w:lvl>
  </w:abstractNum>
  <w:abstractNum w:abstractNumId="611262">
    <w:lvl>
      <w:numFmt w:val="bullet"/>
      <w:suff w:val="tab"/>
      <w:lvlText w:val="•"/>
      <w:rPr>
        <w:color w:val="3370ff"/>
      </w:rPr>
    </w:lvl>
  </w:abstractNum>
  <w:abstractNum w:abstractNumId="611263">
    <w:lvl>
      <w:numFmt w:val="bullet"/>
      <w:suff w:val="tab"/>
      <w:lvlText w:val="•"/>
      <w:rPr>
        <w:color w:val="3370ff"/>
      </w:rPr>
    </w:lvl>
  </w:abstractNum>
  <w:abstractNum w:abstractNumId="611264">
    <w:lvl>
      <w:numFmt w:val="bullet"/>
      <w:suff w:val="tab"/>
      <w:lvlText w:val="•"/>
      <w:rPr>
        <w:color w:val="3370ff"/>
      </w:rPr>
    </w:lvl>
  </w:abstractNum>
  <w:num w:numId="1">
    <w:abstractNumId w:val="611252"/>
  </w:num>
  <w:num w:numId="2">
    <w:abstractNumId w:val="611253"/>
  </w:num>
  <w:num w:numId="3">
    <w:abstractNumId w:val="611254"/>
  </w:num>
  <w:num w:numId="4">
    <w:abstractNumId w:val="611255"/>
  </w:num>
  <w:num w:numId="5">
    <w:abstractNumId w:val="611256"/>
  </w:num>
  <w:num w:numId="6">
    <w:abstractNumId w:val="611257"/>
  </w:num>
  <w:num w:numId="7">
    <w:abstractNumId w:val="611258"/>
  </w:num>
  <w:num w:numId="8">
    <w:abstractNumId w:val="611259"/>
  </w:num>
  <w:num w:numId="9">
    <w:abstractNumId w:val="611260"/>
  </w:num>
  <w:num w:numId="10">
    <w:abstractNumId w:val="611261"/>
  </w:num>
  <w:num w:numId="11">
    <w:abstractNumId w:val="611262"/>
  </w:num>
  <w:num w:numId="12">
    <w:abstractNumId w:val="611263"/>
  </w:num>
  <w:num w:numId="13">
    <w:abstractNumId w:val="6112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jpe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2026-04-06T02:14:26Z</dcterms:created>
  <dc:creator>Apache POI</dc:creator>
</cp:coreProperties>
</file>