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B2B85" w14:textId="77777777" w:rsidR="000A02A7" w:rsidRPr="006D221B" w:rsidRDefault="000A02A7" w:rsidP="000A02A7">
      <w:pPr>
        <w:rPr>
          <w:rFonts w:ascii="Aptos" w:hAnsi="Aptos"/>
        </w:rPr>
      </w:pPr>
      <w:r w:rsidRPr="006D221B">
        <w:rPr>
          <w:rFonts w:ascii="Aptos" w:hAnsi="Aptos"/>
        </w:rPr>
        <w:t>Figure 1. Model Schematic</w:t>
      </w:r>
    </w:p>
    <w:p w14:paraId="5C26C2F0" w14:textId="727EE135" w:rsidR="00083AB3" w:rsidRPr="006D221B" w:rsidRDefault="000A02A7">
      <w:pPr>
        <w:rPr>
          <w:rFonts w:ascii="Aptos" w:hAnsi="Aptos"/>
        </w:rPr>
      </w:pPr>
      <w:r w:rsidRPr="006D221B">
        <w:rPr>
          <w:rFonts w:ascii="Aptos" w:hAnsi="Aptos"/>
          <w:noProof/>
        </w:rPr>
        <w:drawing>
          <wp:inline distT="0" distB="0" distL="0" distR="0" wp14:anchorId="0892A7A4" wp14:editId="7D35FBF1">
            <wp:extent cx="5178582" cy="3500886"/>
            <wp:effectExtent l="0" t="0" r="3175" b="4445"/>
            <wp:docPr id="336465726" name="Picture 1" descr="A diagram of a diagram with Ice hockey rink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5726" name="Picture 1" descr="A diagram of a diagram with Ice hockey rink in the background&#10;&#10;AI-generated content may be incorrect."/>
                    <pic:cNvPicPr/>
                  </pic:nvPicPr>
                  <pic:blipFill rotWithShape="1">
                    <a:blip r:embed="rId4"/>
                    <a:srcRect t="5134" r="5590" b="1333"/>
                    <a:stretch/>
                  </pic:blipFill>
                  <pic:spPr bwMode="auto">
                    <a:xfrm>
                      <a:off x="0" y="0"/>
                      <a:ext cx="5251667" cy="3550294"/>
                    </a:xfrm>
                    <a:prstGeom prst="rect">
                      <a:avLst/>
                    </a:prstGeom>
                    <a:ln>
                      <a:noFill/>
                    </a:ln>
                    <a:extLst>
                      <a:ext uri="{53640926-AAD7-44D8-BBD7-CCE9431645EC}">
                        <a14:shadowObscured xmlns:a14="http://schemas.microsoft.com/office/drawing/2010/main"/>
                      </a:ext>
                    </a:extLst>
                  </pic:spPr>
                </pic:pic>
              </a:graphicData>
            </a:graphic>
          </wp:inline>
        </w:drawing>
      </w:r>
    </w:p>
    <w:p w14:paraId="19E4A83E" w14:textId="4BB1F609" w:rsidR="00C43667" w:rsidRPr="006D221B" w:rsidRDefault="003E5284">
      <w:pPr>
        <w:rPr>
          <w:rFonts w:ascii="Aptos" w:hAnsi="Aptos"/>
        </w:rPr>
      </w:pPr>
      <w:r w:rsidRPr="006D221B">
        <w:rPr>
          <w:rFonts w:ascii="Aptos" w:hAnsi="Aptos"/>
        </w:rPr>
        <w:t xml:space="preserve">Table 1. Model </w:t>
      </w:r>
      <w:r w:rsidR="00C43667" w:rsidRPr="006D221B">
        <w:rPr>
          <w:rFonts w:ascii="Aptos" w:hAnsi="Aptos"/>
        </w:rPr>
        <w:t>variables with base-case values and ranges used in one-way sensitivity analysis</w:t>
      </w:r>
    </w:p>
    <w:tbl>
      <w:tblPr>
        <w:tblW w:w="9355" w:type="dxa"/>
        <w:tblLayout w:type="fixed"/>
        <w:tblLook w:val="04A0" w:firstRow="1" w:lastRow="0" w:firstColumn="1" w:lastColumn="0" w:noHBand="0" w:noVBand="1"/>
      </w:tblPr>
      <w:tblGrid>
        <w:gridCol w:w="2009"/>
        <w:gridCol w:w="5276"/>
        <w:gridCol w:w="2070"/>
      </w:tblGrid>
      <w:tr w:rsidR="00E9042A" w:rsidRPr="00E9042A" w14:paraId="6D27B3D3" w14:textId="77777777" w:rsidTr="00AF7231">
        <w:trPr>
          <w:trHeight w:val="320"/>
        </w:trPr>
        <w:tc>
          <w:tcPr>
            <w:tcW w:w="20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9ED54" w14:textId="77777777" w:rsidR="00E9042A" w:rsidRPr="00E9042A" w:rsidRDefault="00E9042A" w:rsidP="00AF7231">
            <w:pPr>
              <w:rPr>
                <w:rFonts w:ascii="Aptos" w:hAnsi="Aptos"/>
                <w:b/>
                <w:bCs/>
                <w:color w:val="000000"/>
                <w:sz w:val="18"/>
                <w:szCs w:val="18"/>
              </w:rPr>
            </w:pPr>
            <w:r w:rsidRPr="00E9042A">
              <w:rPr>
                <w:rFonts w:ascii="Aptos" w:hAnsi="Aptos"/>
                <w:b/>
                <w:bCs/>
                <w:color w:val="000000"/>
                <w:sz w:val="18"/>
                <w:szCs w:val="18"/>
              </w:rPr>
              <w:t>Parameter</w:t>
            </w:r>
          </w:p>
        </w:tc>
        <w:tc>
          <w:tcPr>
            <w:tcW w:w="5276" w:type="dxa"/>
            <w:tcBorders>
              <w:top w:val="single" w:sz="4" w:space="0" w:color="auto"/>
              <w:left w:val="nil"/>
              <w:bottom w:val="single" w:sz="4" w:space="0" w:color="auto"/>
              <w:right w:val="single" w:sz="4" w:space="0" w:color="auto"/>
            </w:tcBorders>
            <w:shd w:val="clear" w:color="auto" w:fill="auto"/>
            <w:vAlign w:val="center"/>
            <w:hideMark/>
          </w:tcPr>
          <w:p w14:paraId="41626FA8" w14:textId="77777777"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Input</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14:paraId="78624616" w14:textId="77777777"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Source</w:t>
            </w:r>
          </w:p>
        </w:tc>
      </w:tr>
      <w:tr w:rsidR="00E9042A" w:rsidRPr="00E9042A" w14:paraId="03CC570C" w14:textId="77777777" w:rsidTr="00AF7231">
        <w:trPr>
          <w:trHeight w:val="84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272A8CD5"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Mean Age</w:t>
            </w:r>
          </w:p>
        </w:tc>
        <w:tc>
          <w:tcPr>
            <w:tcW w:w="5276" w:type="dxa"/>
            <w:tcBorders>
              <w:top w:val="nil"/>
              <w:left w:val="nil"/>
              <w:bottom w:val="single" w:sz="4" w:space="0" w:color="auto"/>
              <w:right w:val="single" w:sz="4" w:space="0" w:color="auto"/>
            </w:tcBorders>
            <w:shd w:val="clear" w:color="auto" w:fill="auto"/>
            <w:vAlign w:val="center"/>
            <w:hideMark/>
          </w:tcPr>
          <w:p w14:paraId="26697F81"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29</w:t>
            </w:r>
          </w:p>
        </w:tc>
        <w:tc>
          <w:tcPr>
            <w:tcW w:w="2070" w:type="dxa"/>
            <w:tcBorders>
              <w:top w:val="nil"/>
              <w:left w:val="nil"/>
              <w:bottom w:val="single" w:sz="4" w:space="0" w:color="auto"/>
              <w:right w:val="single" w:sz="4" w:space="0" w:color="auto"/>
            </w:tcBorders>
            <w:shd w:val="clear" w:color="auto" w:fill="auto"/>
            <w:vAlign w:val="center"/>
            <w:hideMark/>
          </w:tcPr>
          <w:p w14:paraId="384D2D37" w14:textId="77777777"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2021 birth rate, National population by age distribution</w:t>
            </w:r>
          </w:p>
        </w:tc>
      </w:tr>
      <w:tr w:rsidR="00E9042A" w:rsidRPr="00E9042A" w14:paraId="46BF8135"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51342673"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Mean BMI (SD)</w:t>
            </w:r>
          </w:p>
        </w:tc>
        <w:tc>
          <w:tcPr>
            <w:tcW w:w="5276" w:type="dxa"/>
            <w:tcBorders>
              <w:top w:val="nil"/>
              <w:left w:val="nil"/>
              <w:bottom w:val="single" w:sz="4" w:space="0" w:color="auto"/>
              <w:right w:val="single" w:sz="4" w:space="0" w:color="auto"/>
            </w:tcBorders>
            <w:shd w:val="clear" w:color="auto" w:fill="auto"/>
            <w:vAlign w:val="center"/>
            <w:hideMark/>
          </w:tcPr>
          <w:p w14:paraId="58B3E15E"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37.92 kg/m^2 (5.76)</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07D9B9F4" w14:textId="673616C6"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CONQUER</w:t>
            </w:r>
            <w:r w:rsidR="00742F81" w:rsidRPr="006D221B">
              <w:rPr>
                <w:rFonts w:ascii="Aptos" w:hAnsi="Aptos"/>
                <w:color w:val="000000"/>
                <w:sz w:val="18"/>
                <w:szCs w:val="18"/>
              </w:rPr>
              <w:fldChar w:fldCharType="begin"/>
            </w:r>
            <w:r w:rsidR="00742F81" w:rsidRPr="006D221B">
              <w:rPr>
                <w:rFonts w:ascii="Aptos" w:hAnsi="Aptos"/>
                <w:color w:val="000000"/>
                <w:sz w:val="18"/>
                <w:szCs w:val="18"/>
              </w:rPr>
              <w:instrText xml:space="preserve"> ADDIN ZOTERO_ITEM CSL_CITATION {"citationID":"jRb9VYID","properties":{"formattedCitation":"\\super 1\\nosupersub{}","plainCitation":"1","noteIndex":0},"citationItems":[{"id":120,"uris":["http://zotero.org/users/15157634/items/6TY4NDE7"],"itemData":{"id":120,"type":"article-journal","abstract":"Background Obesity is associated with a reduction in life expectancy and an increase in mortality from cardiovascular diseases, cancer, and other causes. We therefore assessed the e</w:instrText>
            </w:r>
            <w:r w:rsidR="00742F81" w:rsidRPr="006D221B">
              <w:rPr>
                <w:rFonts w:ascii="Cambria Math" w:hAnsi="Cambria Math" w:cs="Cambria Math"/>
                <w:color w:val="000000"/>
                <w:sz w:val="18"/>
                <w:szCs w:val="18"/>
              </w:rPr>
              <w:instrText>ﬃ</w:instrText>
            </w:r>
            <w:r w:rsidR="00742F81" w:rsidRPr="006D221B">
              <w:rPr>
                <w:rFonts w:ascii="Aptos" w:hAnsi="Aptos"/>
                <w:color w:val="000000"/>
                <w:sz w:val="18"/>
                <w:szCs w:val="18"/>
              </w:rPr>
              <w:instrText xml:space="preserve">cacy and safety of two doses of phentermine plus topiramate controlled-release combination as an adjunct to diet and lifestyle modiﬁcation for weight loss and metabolic risk reduction in individuals who were overweight and obese, with two or more risk factors.","container-title":"The Lancet","DOI":"10.1016/S0140-6736(11)60205-5","ISSN":"01406736","issue":"9774","journalAbbreviation":"The Lancet","language":"en","license":"https://www.elsevier.com/tdm/userlicense/1.0/","page":"1341-1352","source":"DOI.org (Crossref)","title":"Effects of low-dose, controlled-release, phentermine plus topiramate combination on weight and associated comorbidities in overweight and obese adults (CONQUER): a randomised, placebo-controlled, phase 3 trial","title-short":"Effects of low-dose, controlled-release, phentermine plus topiramate combination on weight and associated comorbidities in overweight and obese adults (CONQUER)","volume":"377","author":[{"family":"Gadde","given":"Kishore M"},{"family":"Allison","given":"David B"},{"family":"Ryan","given":"Donna H"},{"family":"Peterson","given":"Craig A"},{"family":"Troupin","given":"Barbara"},{"family":"Schwiers","given":"Michael L"},{"family":"Day","given":"Wesley W"}],"issued":{"date-parts":[["2011",4]]}}}],"schema":"https://github.com/citation-style-language/schema/raw/master/csl-citation.json"} </w:instrText>
            </w:r>
            <w:r w:rsidR="00742F81" w:rsidRPr="006D221B">
              <w:rPr>
                <w:rFonts w:ascii="Aptos" w:hAnsi="Aptos"/>
                <w:color w:val="000000"/>
                <w:sz w:val="18"/>
                <w:szCs w:val="18"/>
              </w:rPr>
              <w:fldChar w:fldCharType="separate"/>
            </w:r>
            <w:r w:rsidR="00742F81" w:rsidRPr="006D221B">
              <w:rPr>
                <w:rFonts w:ascii="Aptos" w:hAnsi="Aptos"/>
                <w:color w:val="000000"/>
                <w:sz w:val="18"/>
                <w:vertAlign w:val="superscript"/>
              </w:rPr>
              <w:t>1</w:t>
            </w:r>
            <w:r w:rsidR="00742F81" w:rsidRPr="006D221B">
              <w:rPr>
                <w:rFonts w:ascii="Aptos" w:hAnsi="Aptos"/>
                <w:color w:val="000000"/>
                <w:sz w:val="18"/>
                <w:szCs w:val="18"/>
              </w:rPr>
              <w:fldChar w:fldCharType="end"/>
            </w:r>
            <w:r w:rsidRPr="00E9042A">
              <w:rPr>
                <w:rFonts w:ascii="Aptos" w:hAnsi="Aptos"/>
                <w:color w:val="000000"/>
                <w:sz w:val="18"/>
                <w:szCs w:val="18"/>
              </w:rPr>
              <w:t>, EQUIP</w:t>
            </w:r>
            <w:r w:rsidR="00CD173E" w:rsidRPr="006D221B">
              <w:rPr>
                <w:rFonts w:ascii="Aptos" w:hAnsi="Aptos"/>
                <w:color w:val="000000"/>
                <w:sz w:val="18"/>
                <w:szCs w:val="18"/>
              </w:rPr>
              <w:fldChar w:fldCharType="begin"/>
            </w:r>
            <w:r w:rsidR="00CD173E" w:rsidRPr="006D221B">
              <w:rPr>
                <w:rFonts w:ascii="Aptos" w:hAnsi="Aptos"/>
                <w:color w:val="000000"/>
                <w:sz w:val="18"/>
                <w:szCs w:val="18"/>
              </w:rPr>
              <w:instrText xml:space="preserve"> ADDIN ZOTERO_ITEM CSL_CITATION {"citationID":"2PMPjA4V","properties":{"formattedCitation":"\\super 2\\nosupersub{}","plainCitation":"2","noteIndex":0},"citationItems":[{"id":122,"uris":["http://zotero.org/users/15157634/items/8MM9X64Z"],"itemData":{"id":122,"type":"article-journal","abstract":"A 56</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week randomized controlled trial was conducted to evaluate safety and efficacy of a controlled</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release combination of phentermine and topiramate (PHEN/TPM CR) for weight loss (WL) and metabolic improvements. Men and women with class II and III obesity (BMI ≥ 35 kg/m\n              2\n              ) were randomized to placebo, PHEN/TPM CR 3.75/23 mg, or PHEN/TPM CR 15/92 mg, added to a reduced</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energy diet. Primary end points were percent WL and proportions of patients achieving 5% WL. Secondary end points included waist circumference (WC), systolic and diastolic blood pressure (BP), fasting glucose, and lipid measures. In the primary analysis (randomized patients with at least one postbaseline weight measurement who took at least one dose of assigned drug or placebo), patients in the placebo, 3.75/23, and 15/92 groups lost 1.6%, 5.1%, and 10.9% of baseline body weight (BW), respectively, at 56 weeks (\n              P\n              &lt; 0.0001). In categorical analysis, 17.3% of placebo patients, 44.9% of 3.75/23 patients, and 66.7% of 15/92 patients, lost at least 5% of baseline BW at 56 weeks (\n              P\n              &lt; 0.0001). The 15/92 group had significantly greater changes relative to placebo for WC, systolic and diastolic BP, fasting glucose, triglycerides, total cholesterol, low</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density lipoprotein (LDL), and high</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density lipoprotein (HDL). The most common adverse events were paresthesia, dry mouth, constipation, dysgeusia, and insomnia. Dropout rate from the study was 47.1% for placebo patients, 39.0% for 3.75/23 patients, and 33.6% of 15/92 patients. PHEN/TPM CR demonstrated dose</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dependent effects on weight and metabolic variables in the direction expected to be beneficial with no evidence of serious adverse events induced by treatment.","container-title":"Obesity","DOI":"10.1038/oby.2011.330","ISSN":"1930-7381, 1930-739X","issue":"2","journalAbbreviation":"Obesity","language":"en","page":"330-342","source":"DOI.org (Crossref)","title":"Controlled</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Release Phentermine/Topiramate in Severely Obese Adults: A Randomized Controlled Trial (EQUIP)","title-short":"Controlled</w:instrText>
            </w:r>
            <w:r w:rsidR="00CD173E" w:rsidRPr="006D221B">
              <w:rPr>
                <w:rFonts w:ascii="Cambria Math" w:hAnsi="Cambria Math" w:cs="Cambria Math"/>
                <w:color w:val="000000"/>
                <w:sz w:val="18"/>
                <w:szCs w:val="18"/>
              </w:rPr>
              <w:instrText>‐</w:instrText>
            </w:r>
            <w:r w:rsidR="00CD173E" w:rsidRPr="006D221B">
              <w:rPr>
                <w:rFonts w:ascii="Aptos" w:hAnsi="Aptos"/>
                <w:color w:val="000000"/>
                <w:sz w:val="18"/>
                <w:szCs w:val="18"/>
              </w:rPr>
              <w:instrText xml:space="preserve">Release Phentermine/Topiramate in Severely Obese Adults","volume":"20","author":[{"family":"Allison","given":"David B."},{"family":"Gadde","given":"Kishore M."},{"family":"Garvey","given":"William Timothy"},{"family":"Peterson","given":"Craig A."},{"family":"Schwiers","given":"Michael L."},{"family":"Najarian","given":"Thomas"},{"family":"Tam","given":"Peter Y."},{"family":"Troupin","given":"Barbara"},{"family":"Day","given":"Wesley W."}],"issued":{"date-parts":[["2012",2]]}}}],"schema":"https://github.com/citation-style-language/schema/raw/master/csl-citation.json"} </w:instrText>
            </w:r>
            <w:r w:rsidR="00CD173E" w:rsidRPr="006D221B">
              <w:rPr>
                <w:rFonts w:ascii="Aptos" w:hAnsi="Aptos"/>
                <w:color w:val="000000"/>
                <w:sz w:val="18"/>
                <w:szCs w:val="18"/>
              </w:rPr>
              <w:fldChar w:fldCharType="separate"/>
            </w:r>
            <w:r w:rsidR="00CD173E" w:rsidRPr="006D221B">
              <w:rPr>
                <w:rFonts w:ascii="Aptos" w:hAnsi="Aptos"/>
                <w:color w:val="000000"/>
                <w:sz w:val="18"/>
                <w:vertAlign w:val="superscript"/>
              </w:rPr>
              <w:t>2</w:t>
            </w:r>
            <w:r w:rsidR="00CD173E" w:rsidRPr="006D221B">
              <w:rPr>
                <w:rFonts w:ascii="Aptos" w:hAnsi="Aptos"/>
                <w:color w:val="000000"/>
                <w:sz w:val="18"/>
                <w:szCs w:val="18"/>
              </w:rPr>
              <w:fldChar w:fldCharType="end"/>
            </w:r>
            <w:r w:rsidRPr="00E9042A">
              <w:rPr>
                <w:rFonts w:ascii="Aptos" w:hAnsi="Aptos"/>
                <w:color w:val="000000"/>
                <w:sz w:val="18"/>
                <w:szCs w:val="18"/>
              </w:rPr>
              <w:t>, COR-I</w:t>
            </w:r>
            <w:r w:rsidR="00485429" w:rsidRPr="006D221B">
              <w:rPr>
                <w:rFonts w:ascii="Aptos" w:hAnsi="Aptos"/>
                <w:color w:val="000000"/>
                <w:sz w:val="18"/>
                <w:szCs w:val="18"/>
              </w:rPr>
              <w:fldChar w:fldCharType="begin"/>
            </w:r>
            <w:r w:rsidR="00485429" w:rsidRPr="006D221B">
              <w:rPr>
                <w:rFonts w:ascii="Aptos" w:hAnsi="Aptos"/>
                <w:color w:val="000000"/>
                <w:sz w:val="18"/>
                <w:szCs w:val="18"/>
              </w:rPr>
              <w:instrText xml:space="preserve"> ADDIN ZOTERO_ITEM CSL_CITATION {"citationID":"dzWhoQRn","properties":{"formattedCitation":"\\super 3\\nosupersub{}","plainCitation":"3","noteIndex":0},"citationItems":[{"id":123,"uris":["http://zotero.org/users/15157634/items/9NX4RR5W"],"itemData":{"id":123,"type":"article-journal","abstract":"Background\nDespite increasing public health concerns regarding obesity, few safe and effective drug treatments are available. Combination treatment with sustained-release naltrexone and bupropion was developed to produce complementary actions in CNS pathways regulating bodyweight. The Contrave Obesity Research I (COR-I) study assessed the effect of such treatment on bodyweight in overweight and obese participants.\nMethods\nMen and women aged 18–65 years who had a body-mass index (BMI) of 30–45 kg/m2 and uncomplicated obesity or BMI 27–45 kg/m2 with dyslipidaemia or hypertension were eligible for enrolment in this randomised, double-blind, placebo-controlled, phase 3 trial undertaken at 34 sites in the USA. Participants were prescribed mild hypocaloric diet and exercise and were randomly assigned in a 1:1:1 ratio to receive sustained-release naltrexone 32 mg per day plus sustained-release bupropion 360 mg per day combined in fixed-dose tablets (also known as NB32), sustained-release naltrexone 16 mg per day plus sustained-release bupropion 360 mg per day combined in fixed-dose tablets (also known as NB16), or matching placebo twice a day, given orally for 56 weeks. The trial included a 3-week dose escalation. Randomisation was done by use of a centralised, computer-generated, web-based system and was stratified by study centre. Co-primary efficacy endpoints at 56 weeks were percentage change in bodyweight and proportion of participants who achieved a decrease in bodyweight of 5% or more. The primary analysis included all randomised participants with a baseline weight measurement and a post-baseline weight measurement while on study drug (last observation carried forward). This study is registered with ClinicalTrials.gov, number NCT00532779.\nFindings\n1742 participants were enrolled and randomised to double-blind treatment (naltrexone 32 mg plus bupropion, n=583; naltrexone 16 mg plus bupropion, n=578; placebo, n=581). 870 (50%) participants completed 56 weeks of treatment (n=296; n=284; n=290, respectively) and 1453 (83%) were included in the primary analysis (n=471; n=471; n=511). Mean change in bodyweight was −1·3% (SE 0·3) in the placebo group, −6·1% (0·3) in the naltrexone 32 mg plus bupropion group (p&lt;0·0001 vs placebo) and −5·0% (0·3) in the naltrexone 16 mg plus bupropion group (p&lt;0·0001 vs placebo). 84 (16%) participants assigned to placebo had a decrease in bodyweight of 5% or more compared with 226 (48%) assigned to naltrexone 32 mg plus bupropion (p&lt;0·0001 vs placebo) and 186 (39%) assigned to naltrexone 16 mg plus bupropion (p&lt;0·0001 vs placebo). The most frequent adverse event in participants assigned to combination treatment was nausea (naltrexone 32 mg plus bupropion, 171 participants [29·8%]; naltrexone 16 mg plus bupropion, 155 [27·2%]; placebo, 30 [5·3%]). Headache, constipation, dizziness, vomiting, and dry mouth were also more frequent in the naltrexone plus bupropion groups than in the placebo group. A transient increase of around 1·5 mm</w:instrText>
            </w:r>
            <w:r w:rsidR="00485429" w:rsidRPr="006D221B">
              <w:rPr>
                <w:rFonts w:ascii="Arial" w:hAnsi="Arial" w:cs="Arial"/>
                <w:color w:val="000000"/>
                <w:sz w:val="18"/>
                <w:szCs w:val="18"/>
              </w:rPr>
              <w:instrText> </w:instrText>
            </w:r>
            <w:r w:rsidR="00485429" w:rsidRPr="006D221B">
              <w:rPr>
                <w:rFonts w:ascii="Aptos" w:hAnsi="Aptos"/>
                <w:color w:val="000000"/>
                <w:sz w:val="18"/>
                <w:szCs w:val="18"/>
              </w:rPr>
              <w:instrText>Hg in mean systolic and diastolic blood pressure was followed by a reduction of around 1 mm</w:instrText>
            </w:r>
            <w:r w:rsidR="00485429" w:rsidRPr="006D221B">
              <w:rPr>
                <w:rFonts w:ascii="Arial" w:hAnsi="Arial" w:cs="Arial"/>
                <w:color w:val="000000"/>
                <w:sz w:val="18"/>
                <w:szCs w:val="18"/>
              </w:rPr>
              <w:instrText> </w:instrText>
            </w:r>
            <w:r w:rsidR="00485429" w:rsidRPr="006D221B">
              <w:rPr>
                <w:rFonts w:ascii="Aptos" w:hAnsi="Aptos"/>
                <w:color w:val="000000"/>
                <w:sz w:val="18"/>
                <w:szCs w:val="18"/>
              </w:rPr>
              <w:instrText xml:space="preserve">Hg below baseline in the naltrexone plus bupropion groups. Combination treatment was not associated with increased depression or suicidality events compared with placebo.\nInterpretation\nA sustained-release combination of naltrexone plus bupropion could be a useful therapeutic option for treatment of obesity.\nFunding\nOrexigen Therapeutics.","container-title":"The Lancet","DOI":"10.1016/S0140-6736(10)60888-4","ISSN":"0140-6736","issue":"9741","journalAbbreviation":"The Lancet","page":"595-605","source":"ScienceDirect","title":"Effect of naltrexone plus bupropion on weight loss in overweight and obese adults (COR-I): a multicentre, randomised, double-blind, placebo-controlled, phase 3 trial","title-short":"Effect of naltrexone plus bupropion on weight loss in overweight and obese adults (COR-I)","volume":"376","author":[{"family":"Greenway","given":"Frank L"},{"family":"Fujioka","given":"Ken"},{"family":"Plodkowski","given":"Raymond A"},{"family":"Mudaliar","given":"Sunder"},{"family":"Guttadauria","given":"Maria"},{"family":"Erickson","given":"Janelle"},{"family":"Kim","given":"Dennis D"},{"family":"Dunayevich","given":"Eduardo"}],"issued":{"date-parts":[["2010",8,21]]}}}],"schema":"https://github.com/citation-style-language/schema/raw/master/csl-citation.json"} </w:instrText>
            </w:r>
            <w:r w:rsidR="00485429" w:rsidRPr="006D221B">
              <w:rPr>
                <w:rFonts w:ascii="Aptos" w:hAnsi="Aptos"/>
                <w:color w:val="000000"/>
                <w:sz w:val="18"/>
                <w:szCs w:val="18"/>
              </w:rPr>
              <w:fldChar w:fldCharType="separate"/>
            </w:r>
            <w:r w:rsidR="00485429" w:rsidRPr="006D221B">
              <w:rPr>
                <w:rFonts w:ascii="Aptos" w:hAnsi="Aptos"/>
                <w:color w:val="000000"/>
                <w:sz w:val="18"/>
                <w:vertAlign w:val="superscript"/>
              </w:rPr>
              <w:t>3</w:t>
            </w:r>
            <w:r w:rsidR="00485429" w:rsidRPr="006D221B">
              <w:rPr>
                <w:rFonts w:ascii="Aptos" w:hAnsi="Aptos"/>
                <w:color w:val="000000"/>
                <w:sz w:val="18"/>
                <w:szCs w:val="18"/>
              </w:rPr>
              <w:fldChar w:fldCharType="end"/>
            </w:r>
            <w:r w:rsidRPr="00E9042A">
              <w:rPr>
                <w:rFonts w:ascii="Aptos" w:hAnsi="Aptos"/>
                <w:color w:val="000000"/>
                <w:sz w:val="18"/>
                <w:szCs w:val="18"/>
              </w:rPr>
              <w:t>, SCALE</w:t>
            </w:r>
            <w:r w:rsidR="00957D9F" w:rsidRPr="006D221B">
              <w:rPr>
                <w:rFonts w:ascii="Aptos" w:hAnsi="Aptos"/>
                <w:color w:val="000000"/>
                <w:sz w:val="18"/>
                <w:szCs w:val="18"/>
              </w:rPr>
              <w:fldChar w:fldCharType="begin"/>
            </w:r>
            <w:r w:rsidR="00957D9F" w:rsidRPr="006D221B">
              <w:rPr>
                <w:rFonts w:ascii="Aptos" w:hAnsi="Aptos"/>
                <w:color w:val="000000"/>
                <w:sz w:val="18"/>
                <w:szCs w:val="18"/>
              </w:rPr>
              <w:instrText xml:space="preserve"> ADDIN ZOTERO_ITEM CSL_CITATION {"citationID":"j9JiKYdZ","properties":{"formattedCitation":"\\super 4\\nosupersub{}","plainCitation":"4","noteIndex":0},"citationItems":[{"id":124,"uris":["http://zotero.org/users/15157634/items/8YBM2X47"],"itemData":{"id":124,"type":"article-journal","container-title":"New England Journal of Medicine","DOI":"10.1056/NEJMoa1411892","ISSN":"0028-4793, 1533-4406","issue":"1","journalAbbreviation":"N Engl J Med","language":"en","page":"11-22","source":"DOI.org (Crossref)","title":"A Randomized, Controlled Trial of 3.0 mg of Liraglutide in Weight Management","volume":"373","author":[{"family":"Pi-Sunyer","given":"Xavier"},{"family":"Astrup","given":"Arne"},{"family":"Fujioka","given":"Ken"},{"family":"Greenway","given":"Frank"},{"family":"Halpern","given":"Alfredo"},{"family":"Krempf","given":"Michel"},{"family":"Lau","given":"David C.W."},{"family":"Le Roux","given":"Carel W."},{"family":"Violante Ortiz","given":"Rafael"},{"family":"Jensen","given":"Christine Bjørn"},{"family":"Wilding","given":"John P.H."}],"issued":{"date-parts":[["2015",7,2]]}}}],"schema":"https://github.com/citation-style-language/schema/raw/master/csl-citation.json"} </w:instrText>
            </w:r>
            <w:r w:rsidR="00957D9F" w:rsidRPr="006D221B">
              <w:rPr>
                <w:rFonts w:ascii="Aptos" w:hAnsi="Aptos"/>
                <w:color w:val="000000"/>
                <w:sz w:val="18"/>
                <w:szCs w:val="18"/>
              </w:rPr>
              <w:fldChar w:fldCharType="separate"/>
            </w:r>
            <w:r w:rsidR="00957D9F" w:rsidRPr="006D221B">
              <w:rPr>
                <w:rFonts w:ascii="Aptos" w:hAnsi="Aptos"/>
                <w:color w:val="000000"/>
                <w:sz w:val="18"/>
                <w:vertAlign w:val="superscript"/>
              </w:rPr>
              <w:t>4</w:t>
            </w:r>
            <w:r w:rsidR="00957D9F" w:rsidRPr="006D221B">
              <w:rPr>
                <w:rFonts w:ascii="Aptos" w:hAnsi="Aptos"/>
                <w:color w:val="000000"/>
                <w:sz w:val="18"/>
                <w:szCs w:val="18"/>
              </w:rPr>
              <w:fldChar w:fldCharType="end"/>
            </w:r>
            <w:r w:rsidRPr="00E9042A">
              <w:rPr>
                <w:rFonts w:ascii="Aptos" w:hAnsi="Aptos"/>
                <w:color w:val="000000"/>
                <w:sz w:val="18"/>
                <w:szCs w:val="18"/>
              </w:rPr>
              <w:t>, STEP 1</w:t>
            </w:r>
            <w:r w:rsidR="00245C96" w:rsidRPr="006D221B">
              <w:rPr>
                <w:rFonts w:ascii="Aptos" w:hAnsi="Aptos"/>
                <w:color w:val="000000"/>
                <w:sz w:val="18"/>
                <w:szCs w:val="18"/>
              </w:rPr>
              <w:fldChar w:fldCharType="begin"/>
            </w:r>
            <w:r w:rsidR="00245C96" w:rsidRPr="006D221B">
              <w:rPr>
                <w:rFonts w:ascii="Aptos" w:hAnsi="Aptos"/>
                <w:color w:val="000000"/>
                <w:sz w:val="18"/>
                <w:szCs w:val="18"/>
              </w:rPr>
              <w:instrText xml:space="preserve"> ADDIN ZOTERO_ITEM CSL_CITATION {"citationID":"uWNP45ha","properties":{"formattedCitation":"\\super 5\\nosupersub{}","plainCitation":"5","noteIndex":0},"citationItems":[{"id":127,"uris":["http://zotero.org/users/15157634/items/ZJZXB2GY"],"itemData":{"id":127,"type":"article-journal","container-title":"New England Journal of Medicine","DOI":"10.1056/NEJMoa2032183","ISSN":"0028-4793, 1533-4406","issue":"11","journalAbbreviation":"N Engl J Med","language":"en","license":"http://www.nejmgroup.org/legal/terms-of-use.htm","page":"989-1002","source":"DOI.org (Crossref)","title":"Once-Weekly Semaglutide in Adults with Overweight or Obesity","volume":"384","author":[{"family":"Wilding","given":"John P.H."},{"family":"Batterham","given":"Rachel L."},{"family":"Calanna","given":"Salvatore"},{"family":"Davies","given":"Melanie"},{"family":"Van Gaal","given":"Luc F."},{"family":"Lingvay","given":"Ildiko"},{"family":"McGowan","given":"Barbara M."},{"family":"Rosenstock","given":"Julio"},{"family":"Tran","given":"Marie T.D."},{"family":"Wadden","given":"Thomas A."},{"family":"Wharton","given":"Sean"},{"family":"Yokote","given":"Koutaro"},{"family":"Zeuthen","given":"Niels"},{"family":"Kushner","given":"Robert F."}],"issued":{"date-parts":[["2021",3,18]]}}}],"schema":"https://github.com/citation-style-language/schema/raw/master/csl-citation.json"} </w:instrText>
            </w:r>
            <w:r w:rsidR="00245C96" w:rsidRPr="006D221B">
              <w:rPr>
                <w:rFonts w:ascii="Aptos" w:hAnsi="Aptos"/>
                <w:color w:val="000000"/>
                <w:sz w:val="18"/>
                <w:szCs w:val="18"/>
              </w:rPr>
              <w:fldChar w:fldCharType="separate"/>
            </w:r>
            <w:r w:rsidR="00245C96" w:rsidRPr="006D221B">
              <w:rPr>
                <w:rFonts w:ascii="Aptos" w:hAnsi="Aptos"/>
                <w:color w:val="000000"/>
                <w:sz w:val="18"/>
                <w:vertAlign w:val="superscript"/>
              </w:rPr>
              <w:t>5</w:t>
            </w:r>
            <w:r w:rsidR="00245C96" w:rsidRPr="006D221B">
              <w:rPr>
                <w:rFonts w:ascii="Aptos" w:hAnsi="Aptos"/>
                <w:color w:val="000000"/>
                <w:sz w:val="18"/>
                <w:szCs w:val="18"/>
              </w:rPr>
              <w:fldChar w:fldCharType="end"/>
            </w:r>
            <w:r w:rsidRPr="00E9042A">
              <w:rPr>
                <w:rFonts w:ascii="Aptos" w:hAnsi="Aptos"/>
                <w:color w:val="000000"/>
                <w:sz w:val="18"/>
                <w:szCs w:val="18"/>
              </w:rPr>
              <w:t>, STEP 8</w:t>
            </w:r>
            <w:r w:rsidR="004E4CE8" w:rsidRPr="006D221B">
              <w:rPr>
                <w:rFonts w:ascii="Aptos" w:hAnsi="Aptos"/>
                <w:color w:val="000000"/>
                <w:sz w:val="18"/>
                <w:szCs w:val="18"/>
              </w:rPr>
              <w:fldChar w:fldCharType="begin"/>
            </w:r>
            <w:r w:rsidR="00742F81" w:rsidRPr="006D221B">
              <w:rPr>
                <w:rFonts w:ascii="Aptos" w:hAnsi="Aptos"/>
                <w:color w:val="000000"/>
                <w:sz w:val="18"/>
                <w:szCs w:val="18"/>
              </w:rPr>
              <w:instrText xml:space="preserve"> ADDIN ZOTERO_ITEM CSL_CITATION {"citationID":"bK6ntQJx","properties":{"formattedCitation":"\\super 6\\nosupersub{}","plainCitation":"6","noteIndex":0},"citationItems":[{"id":129,"uris":["http://zotero.org/users/15157634/items/SEUVZRBJ"],"itemData":{"id":129,"type":"article-journal","abstract":"Phase 3 trials have not compared semaglutide and liraglutide, glucagon-like peptide-1 analogues available for weight management.To compare the efficacy and adverse event profiles of once-weekly subcutaneous semaglutide, 2.4 mg, vs once-daily subcutaneous liraglutide, 3.0 mg (both with diet and physical activity), in people with overweight or obesity.Randomized, open-label, 68-week, phase 3b trial conducted at 19 US sites from September 2019 (enrollment: September 11-November 26) to May 2021 (end of follow-up: May 11) in adults with body mass index of 30 or greater or 27 or greater with 1 or more weight-related comorbidities, without diabetes (N</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338).Participants were randomized (3:1:3:1) to receive once-weekly subcutaneous semaglutide, 2.4 mg (16-week escalation; n</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126), or matching placebo, or once-daily subcutaneous liraglutide, 3.0 mg (4-week escalation; n</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127), or matching placebo, plus diet and physical activity. Participants unable to tolerate 2.4 mg of semaglutide could receive 1.7 mg; participants unable to tolerate 3.0 mg of liraglutide discontinued treatment and could restart the 4-week titration. Placebo groups were pooled (n</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85).The primary end point was percentage change in body weight, and confirmatory secondary end points were achievement of 10% or more, 15% or more, and 20% or more weight loss, assessed for semaglutide vs liraglutide at week 68. Semaglutide vs liraglutide comparisons were open-label, with active treatment groups double-blinded against matched placebo groups. Comparisons of active treatments vs pooled placebo were supportive secondary end points.Of 338 randomized participants (mean [SD] age, 49 [13] years; 265 women [78.4%]; mean [SD] body weight, 104.5 [23.8] kg; mean [SD] body mass index, 37.5 [6.8]), 319 (94.4%) completed the trial, and 271 (80.2%) completed treatment. The mean weight change from baseline was –15.8% with semaglutide vs –6.4% with liraglutide (difference, –9.4 percentage points [95% CI, –12.0 to –6.8]; P</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&amp;lt;</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.001); weight change with pooled placebo was –1.9%. Participants had significantly greater odds of achieving 10% or more, 15% or more, and 20% or more weight loss with semaglutide vs liraglutide (70.9% of participants vs 25.6% [odds ratio, 6.3 {95% CI, 3.5 to 11.2}], 55.6% vs 12.0% [odds ratio, 7.9 {95% CI, 4.1 to 15.4}], and 38.5% vs 6.0% [odds ratio, 8.2 {95% CI, 3.5 to 19.1}], respectively; all P</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&amp;lt;</w:instrText>
            </w:r>
            <w:r w:rsidR="00742F81" w:rsidRPr="006D221B">
              <w:rPr>
                <w:rFonts w:ascii="Arial" w:hAnsi="Arial" w:cs="Arial"/>
                <w:color w:val="000000"/>
                <w:sz w:val="18"/>
                <w:szCs w:val="18"/>
              </w:rPr>
              <w:instrText> </w:instrText>
            </w:r>
            <w:r w:rsidR="00742F81" w:rsidRPr="006D221B">
              <w:rPr>
                <w:rFonts w:ascii="Aptos" w:hAnsi="Aptos"/>
                <w:color w:val="000000"/>
                <w:sz w:val="18"/>
                <w:szCs w:val="18"/>
              </w:rPr>
              <w:instrText xml:space="preserve">.001). Proportions of participants discontinuing treatment for any reason were 13.5% with semaglutide and 27.6% with liraglutide. Gastrointestinal adverse events were reported by 84.1% with semaglutide and 82.7% with liraglutide.Among adults with overweight or obesity without diabetes, once-weekly subcutaneous semaglutide compared with once-daily subcutaneous liraglutide, added to counseling for diet and physical activity, resulted in significantly greater weight loss at 68 weeks.ClinicalTrials.gov Identifier: NCT04074161","container-title":"JAMA","DOI":"10.1001/jama.2021.23619","ISSN":"0098-7484","issue":"2","journalAbbreviation":"JAMA","page":"138-150","source":"Silverchair","title":"Effect of Weekly Subcutaneous Semaglutide vs Daily Liraglutide on Body Weight in Adults With Overweight or Obesity Without Diabetes: The STEP 8 Randomized Clinical Trial","title-short":"Effect of Weekly Subcutaneous Semaglutide vs Daily Liraglutide on Body Weight in Adults With Overweight or Obesity Without Diabetes","volume":"327","author":[{"family":"Rubino","given":"Domenica M."},{"family":"Greenway","given":"Frank L."},{"family":"Khalid","given":"Usman"},{"family":"O’Neil","given":"Patrick M."},{"family":"Rosenstock","given":"Julio"},{"family":"Sørrig","given":"Rasmus"},{"family":"Wadden","given":"Thomas A."},{"family":"Wizert","given":"Alicja"},{"family":"Garvey","given":"W. Timothy"},{"literal":"STEP 8 Investigators"}],"issued":{"date-parts":[["2022",1,11]]}}}],"schema":"https://github.com/citation-style-language/schema/raw/master/csl-citation.json"} </w:instrText>
            </w:r>
            <w:r w:rsidR="004E4CE8" w:rsidRPr="006D221B">
              <w:rPr>
                <w:rFonts w:ascii="Aptos" w:hAnsi="Aptos"/>
                <w:color w:val="000000"/>
                <w:sz w:val="18"/>
                <w:szCs w:val="18"/>
              </w:rPr>
              <w:fldChar w:fldCharType="separate"/>
            </w:r>
            <w:r w:rsidR="00742F81" w:rsidRPr="006D221B">
              <w:rPr>
                <w:rFonts w:ascii="Aptos" w:hAnsi="Aptos"/>
                <w:color w:val="000000"/>
                <w:sz w:val="18"/>
                <w:vertAlign w:val="superscript"/>
              </w:rPr>
              <w:t>6</w:t>
            </w:r>
            <w:r w:rsidR="004E4CE8" w:rsidRPr="006D221B">
              <w:rPr>
                <w:rFonts w:ascii="Aptos" w:hAnsi="Aptos"/>
                <w:color w:val="000000"/>
                <w:sz w:val="18"/>
                <w:szCs w:val="18"/>
              </w:rPr>
              <w:fldChar w:fldCharType="end"/>
            </w:r>
            <w:r w:rsidR="004E4CE8" w:rsidRPr="006D221B">
              <w:rPr>
                <w:rFonts w:ascii="Aptos" w:hAnsi="Aptos"/>
                <w:color w:val="000000"/>
                <w:sz w:val="18"/>
                <w:szCs w:val="18"/>
              </w:rPr>
              <w:t xml:space="preserve">, </w:t>
            </w:r>
          </w:p>
        </w:tc>
      </w:tr>
      <w:tr w:rsidR="00E9042A" w:rsidRPr="00E9042A" w14:paraId="3AFC1E0B"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3BCCB79B"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Mean systolic BP (SD)</w:t>
            </w:r>
          </w:p>
        </w:tc>
        <w:tc>
          <w:tcPr>
            <w:tcW w:w="5276" w:type="dxa"/>
            <w:tcBorders>
              <w:top w:val="nil"/>
              <w:left w:val="nil"/>
              <w:bottom w:val="single" w:sz="4" w:space="0" w:color="auto"/>
              <w:right w:val="single" w:sz="4" w:space="0" w:color="auto"/>
            </w:tcBorders>
            <w:shd w:val="clear" w:color="auto" w:fill="auto"/>
            <w:vAlign w:val="center"/>
            <w:hideMark/>
          </w:tcPr>
          <w:p w14:paraId="37AC779F"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124.11mmHg (12.71)</w:t>
            </w:r>
          </w:p>
        </w:tc>
        <w:tc>
          <w:tcPr>
            <w:tcW w:w="2070" w:type="dxa"/>
            <w:vMerge/>
            <w:tcBorders>
              <w:top w:val="nil"/>
              <w:left w:val="single" w:sz="4" w:space="0" w:color="auto"/>
              <w:bottom w:val="single" w:sz="4" w:space="0" w:color="auto"/>
              <w:right w:val="single" w:sz="4" w:space="0" w:color="auto"/>
            </w:tcBorders>
            <w:vAlign w:val="center"/>
            <w:hideMark/>
          </w:tcPr>
          <w:p w14:paraId="6E75DF15" w14:textId="77777777" w:rsidR="00E9042A" w:rsidRPr="00E9042A" w:rsidRDefault="00E9042A" w:rsidP="00AF7231">
            <w:pPr>
              <w:jc w:val="center"/>
              <w:rPr>
                <w:rFonts w:ascii="Aptos" w:hAnsi="Aptos"/>
                <w:color w:val="000000"/>
                <w:sz w:val="18"/>
                <w:szCs w:val="18"/>
              </w:rPr>
            </w:pPr>
          </w:p>
        </w:tc>
      </w:tr>
      <w:tr w:rsidR="00E9042A" w:rsidRPr="00E9042A" w14:paraId="029282AA"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751957BF"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Diagnosis of T2DM</w:t>
            </w:r>
          </w:p>
        </w:tc>
        <w:tc>
          <w:tcPr>
            <w:tcW w:w="5276" w:type="dxa"/>
            <w:tcBorders>
              <w:top w:val="nil"/>
              <w:left w:val="nil"/>
              <w:bottom w:val="single" w:sz="4" w:space="0" w:color="auto"/>
              <w:right w:val="single" w:sz="4" w:space="0" w:color="auto"/>
            </w:tcBorders>
            <w:shd w:val="clear" w:color="auto" w:fill="auto"/>
            <w:vAlign w:val="center"/>
            <w:hideMark/>
          </w:tcPr>
          <w:p w14:paraId="68482CBA"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w:t>
            </w:r>
          </w:p>
        </w:tc>
        <w:tc>
          <w:tcPr>
            <w:tcW w:w="2070" w:type="dxa"/>
            <w:tcBorders>
              <w:top w:val="nil"/>
              <w:left w:val="nil"/>
              <w:bottom w:val="single" w:sz="4" w:space="0" w:color="auto"/>
              <w:right w:val="single" w:sz="4" w:space="0" w:color="auto"/>
            </w:tcBorders>
            <w:shd w:val="clear" w:color="auto" w:fill="auto"/>
            <w:vAlign w:val="center"/>
            <w:hideMark/>
          </w:tcPr>
          <w:p w14:paraId="33E8BC74" w14:textId="77777777"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Assumption</w:t>
            </w:r>
          </w:p>
        </w:tc>
      </w:tr>
      <w:tr w:rsidR="00E9042A" w:rsidRPr="00E9042A" w14:paraId="60620CB6"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9AB630A"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Prevalence of Smoking 3m pp</w:t>
            </w:r>
          </w:p>
        </w:tc>
        <w:tc>
          <w:tcPr>
            <w:tcW w:w="5276" w:type="dxa"/>
            <w:tcBorders>
              <w:top w:val="nil"/>
              <w:left w:val="nil"/>
              <w:bottom w:val="single" w:sz="4" w:space="0" w:color="auto"/>
              <w:right w:val="single" w:sz="4" w:space="0" w:color="auto"/>
            </w:tcBorders>
            <w:shd w:val="clear" w:color="auto" w:fill="auto"/>
            <w:vAlign w:val="center"/>
            <w:hideMark/>
          </w:tcPr>
          <w:p w14:paraId="4F0341B6"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0.07</w:t>
            </w:r>
          </w:p>
        </w:tc>
        <w:tc>
          <w:tcPr>
            <w:tcW w:w="2070" w:type="dxa"/>
            <w:tcBorders>
              <w:top w:val="nil"/>
              <w:left w:val="nil"/>
              <w:bottom w:val="single" w:sz="4" w:space="0" w:color="auto"/>
              <w:right w:val="single" w:sz="4" w:space="0" w:color="auto"/>
            </w:tcBorders>
            <w:shd w:val="clear" w:color="auto" w:fill="auto"/>
            <w:vAlign w:val="center"/>
            <w:hideMark/>
          </w:tcPr>
          <w:p w14:paraId="4AFCD41C" w14:textId="42BC2849"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Allen et al. 2025</w:t>
            </w:r>
            <w:r w:rsidR="008C5F4E" w:rsidRPr="006D221B">
              <w:rPr>
                <w:rFonts w:ascii="Aptos" w:hAnsi="Aptos"/>
                <w:color w:val="000000"/>
                <w:sz w:val="18"/>
                <w:szCs w:val="18"/>
              </w:rPr>
              <w:fldChar w:fldCharType="begin"/>
            </w:r>
            <w:r w:rsidR="009F5818" w:rsidRPr="006D221B">
              <w:rPr>
                <w:rFonts w:ascii="Aptos" w:hAnsi="Aptos"/>
                <w:color w:val="000000"/>
                <w:sz w:val="18"/>
                <w:szCs w:val="18"/>
              </w:rPr>
              <w:instrText xml:space="preserve"> ADDIN ZOTERO_ITEM CSL_CITATION {"citationID":"CxoPNAeZ","properties":{"formattedCitation":"\\super 7\\nosupersub{}","plainCitation":"7","noteIndex":0},"citationItems":[{"id":131,"uris":["http://zotero.org/users/15157634/items/MZWFUD8P"],"itemData":{"id":131,"type":"article-journal","container-title":"JAMA Network Open","DOI":"10.1001/jamanetworkopen.2024.54974","ISSN":"2574-3805","issue":"1","journalAbbreviation":"JAMA Network Open","page":"e2454974","source":"Silverchair","title":"Perinatal Smoking Patterns From Preconception to 1-Year Post Partum","volume":"8","author":[{"family":"Allen","given":"Heidi"},{"family":"Daw","given":"Jamie"}],"issued":{"date-parts":[["2025",1,17]]}}}],"schema":"https://github.com/citation-style-language/schema/raw/master/csl-citation.json"} </w:instrText>
            </w:r>
            <w:r w:rsidR="008C5F4E" w:rsidRPr="006D221B">
              <w:rPr>
                <w:rFonts w:ascii="Aptos" w:hAnsi="Aptos"/>
                <w:color w:val="000000"/>
                <w:sz w:val="18"/>
                <w:szCs w:val="18"/>
              </w:rPr>
              <w:fldChar w:fldCharType="separate"/>
            </w:r>
            <w:r w:rsidR="009F5818" w:rsidRPr="006D221B">
              <w:rPr>
                <w:rFonts w:ascii="Aptos" w:hAnsi="Aptos"/>
                <w:color w:val="000000"/>
                <w:sz w:val="18"/>
                <w:vertAlign w:val="superscript"/>
              </w:rPr>
              <w:t>7</w:t>
            </w:r>
            <w:r w:rsidR="008C5F4E" w:rsidRPr="006D221B">
              <w:rPr>
                <w:rFonts w:ascii="Aptos" w:hAnsi="Aptos"/>
                <w:color w:val="000000"/>
                <w:sz w:val="18"/>
                <w:szCs w:val="18"/>
              </w:rPr>
              <w:fldChar w:fldCharType="end"/>
            </w:r>
          </w:p>
        </w:tc>
      </w:tr>
      <w:tr w:rsidR="00E9042A" w:rsidRPr="00E9042A" w14:paraId="75C8230A" w14:textId="77777777" w:rsidTr="00AF7231">
        <w:trPr>
          <w:trHeight w:val="3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C8E9A74" w14:textId="77777777"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Starting Prevalence</w:t>
            </w:r>
          </w:p>
        </w:tc>
      </w:tr>
      <w:tr w:rsidR="00E9042A" w:rsidRPr="00E9042A" w14:paraId="506701BE"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19F51ABD"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probability of starting healthy</w:t>
            </w:r>
          </w:p>
        </w:tc>
        <w:tc>
          <w:tcPr>
            <w:tcW w:w="5276" w:type="dxa"/>
            <w:tcBorders>
              <w:top w:val="nil"/>
              <w:left w:val="nil"/>
              <w:bottom w:val="single" w:sz="4" w:space="0" w:color="auto"/>
              <w:right w:val="single" w:sz="4" w:space="0" w:color="auto"/>
            </w:tcBorders>
            <w:shd w:val="clear" w:color="auto" w:fill="auto"/>
            <w:vAlign w:val="center"/>
            <w:hideMark/>
          </w:tcPr>
          <w:p w14:paraId="6B0F91E9"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1-p_htn-p_cvd</w:t>
            </w:r>
          </w:p>
        </w:tc>
        <w:tc>
          <w:tcPr>
            <w:tcW w:w="2070" w:type="dxa"/>
            <w:tcBorders>
              <w:top w:val="nil"/>
              <w:left w:val="nil"/>
              <w:bottom w:val="single" w:sz="4" w:space="0" w:color="auto"/>
              <w:right w:val="single" w:sz="4" w:space="0" w:color="auto"/>
            </w:tcBorders>
            <w:shd w:val="clear" w:color="auto" w:fill="auto"/>
            <w:vAlign w:val="center"/>
            <w:hideMark/>
          </w:tcPr>
          <w:p w14:paraId="4F5D7BE6" w14:textId="4501BE8F" w:rsidR="00E9042A" w:rsidRPr="00E9042A" w:rsidRDefault="00E9042A" w:rsidP="00AF7231">
            <w:pPr>
              <w:jc w:val="center"/>
              <w:rPr>
                <w:rFonts w:ascii="Aptos" w:hAnsi="Aptos"/>
                <w:color w:val="000000"/>
                <w:sz w:val="18"/>
                <w:szCs w:val="18"/>
              </w:rPr>
            </w:pPr>
          </w:p>
        </w:tc>
      </w:tr>
      <w:tr w:rsidR="00E9042A" w:rsidRPr="00E9042A" w14:paraId="640368CB"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1ABAB20A"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Age-adjusted prevalence of HTN among women in US in 2017-2020 (4year)</w:t>
            </w:r>
          </w:p>
        </w:tc>
        <w:tc>
          <w:tcPr>
            <w:tcW w:w="5276" w:type="dxa"/>
            <w:tcBorders>
              <w:top w:val="nil"/>
              <w:left w:val="nil"/>
              <w:bottom w:val="single" w:sz="4" w:space="0" w:color="auto"/>
              <w:right w:val="single" w:sz="4" w:space="0" w:color="auto"/>
            </w:tcBorders>
            <w:shd w:val="clear" w:color="auto" w:fill="auto"/>
            <w:vAlign w:val="center"/>
            <w:hideMark/>
          </w:tcPr>
          <w:p w14:paraId="074CDF36"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0.467</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2B1BC939" w14:textId="57F02BE6"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Martin et al. 2025</w:t>
            </w:r>
            <w:r w:rsidR="009F5818" w:rsidRPr="006D221B">
              <w:rPr>
                <w:rFonts w:ascii="Aptos" w:hAnsi="Aptos"/>
                <w:color w:val="000000"/>
                <w:sz w:val="18"/>
                <w:szCs w:val="18"/>
              </w:rPr>
              <w:fldChar w:fldCharType="begin"/>
            </w:r>
            <w:r w:rsidR="009F5818" w:rsidRPr="006D221B">
              <w:rPr>
                <w:rFonts w:ascii="Aptos" w:hAnsi="Aptos"/>
                <w:color w:val="000000"/>
                <w:sz w:val="18"/>
                <w:szCs w:val="18"/>
              </w:rPr>
              <w:instrText xml:space="preserve"> ADDIN ZOTERO_ITEM CSL_CITATION {"citationID":"kRNw1DGC","properties":{"formattedCitation":"\\super 8\\nosupersub{}","plainCitation":"8","noteIndex":0},"citationItems":[{"id":104,"uris":["http://zotero.org/users/15157634/items/EJS2L7DR"],"itemData":{"id":104,"type":"article-journal","abstract":"BACKGROUND:The American Heart Association (AHA), in conjunction with the National Institutes of Health, annually reports the most up-to-date statistics related to heart disease, stroke, and cardiovascular risk factors, including core health behaviors (smoking, physical activity, nutrition, sleep, and obesity) and health factors (cholesterol, blood pressure, glucose control, and metabolic syndrome) that contribute to cardiovascular health. The AHA Heart Disease and Stroke Statistical Update presents the latest data on a range of major clinical heart and circulatory disease conditions (including stroke, brain health, complications of pregnancy, kidney disease, congenital heart disease, rhythm disorders, sudden cardiac arrest, subclinical atherosclerosis, coronary heart disease, cardiomyopathy, heart failure, valvular disease, venous thromboembolism, and peripheral artery disease) and the associated outcomes (including quality of care, procedures, and economic costs).METHODS:The AHA, through its Epidemiology and Prevention Statistics Committee, continuously monitors and evaluates sources of data on heart disease and stroke in the United States and globally to provide the most current information available in the annual Statistical Update with review of published literature through the year before writing. The 2025 AHA Statistical Update is the product of a full year’s worth of effort in 2024 by dedicated volunteer clinicians and scientists, committed government professionals, and AHA staff members. This year’s edition includes a continued focus on health equity across several key domains and enhanced global data that reflect improved methods and incorporation of ≈3000 new data sources since last year’s Statistical Update.RESULTS:Each of the chapters in the Statistical Update focuses on a different topic related to heart disease and stroke statistics.CONCLUSIONS:The Statistical Update represents a critical resource for the lay public, policymakers, media professionals, clinicians, health care administrators, researchers, health advocates, and others seeking the best available data on these factors and conditions.","container-title":"Circulation","DOI":"10.1161/CIR.0000000000001303","issue":"8","note":"publisher: American Heart Association","page":"e41-e660","source":"ahajournals.org (Atypon)","title":"2025 Heart Disease and Stroke Statistics: A Report of US and Global Data From the American Heart Association","title-short":"2025 Heart Disease and Stroke Statistics","volume":"151","author":[{"family":"Martin","given":"Seth S."},{"family":"Aday","given":"Aaron W."},{"family":"Allen","given":"Norrina B."},{"family":"Almarzooq","given":"Zaid I."},{"family":"Anderson","given":"Cheryl A.M."},{"family":"Arora","given":"Pankaj"},{"family":"Avery","given":"Christy L."},{"family":"Baker-Smith","given":"Carissa M."},{"family":"Bansal","given":"Nisha"},{"family":"Beaton","given":"Andrea Z."},{"family":"Commodore-Mensah","given":"Yvonne"},{"family":"Currie","given":"Maria E."},{"family":"Elkind","given":"Mitchell S.V."},{"family":"Fan","given":"Wenjun"},{"family":"Generoso","given":"Giuliano"},{"family":"Gibbs","given":"Bethany Barone"},{"family":"Heard","given":"Debra G."},{"family":"Hiremath","given":"Swapnil"},{"family":"Johansen","given":"Michelle C."},{"family":"Kazi","given":"Dhruv S."},{"family":"Ko","given":"Darae"},{"family":"Leppert","given":"Michelle H."},{"family":"Magnani","given":"Jared W."},{"family":"Michos","given":"Erin D."},{"family":"Mussolino","given":"Michael E."},{"family":"Parikh","given":"Nisha I."},{"family":"Perman","given":"Sarah M."},{"family":"Rezk-Hanna","given":"Mary"},{"family":"Roth","given":"Gregory A."},{"family":"Shah","given":"Nilay S."},{"family":"Springer","given":"Mellanie V."},{"family":"St-Onge","given":"Marie-Pierre"},{"family":"Thacker","given":"Evan L."},{"family":"Urbut","given":"Sarah M."},{"family":"Van Spall","given":"Harriette G.C."},{"family":"Voeks","given":"Jenifer H."},{"family":"Whelton","given":"Seamus P."},{"family":"Wong","given":"Nathan D."},{"family":"Wong","given":"Sally S."},{"family":"Yaffe","given":"Kristine"},{"family":"Palaniappan","given":"Latha P."},{"literal":"on behalf of the American Heart Association Council on Epidemiology and Prevention Statistics Committee and Stroke Statistics Committee"}],"issued":{"date-parts":[["2025",2,25]]}}}],"schema":"https://github.com/citation-style-language/schema/raw/master/csl-citation.json"} </w:instrText>
            </w:r>
            <w:r w:rsidR="009F5818" w:rsidRPr="006D221B">
              <w:rPr>
                <w:rFonts w:ascii="Aptos" w:hAnsi="Aptos"/>
                <w:color w:val="000000"/>
                <w:sz w:val="18"/>
                <w:szCs w:val="18"/>
              </w:rPr>
              <w:fldChar w:fldCharType="separate"/>
            </w:r>
            <w:r w:rsidR="009F5818" w:rsidRPr="006D221B">
              <w:rPr>
                <w:rFonts w:ascii="Aptos" w:hAnsi="Aptos"/>
                <w:color w:val="000000"/>
                <w:sz w:val="18"/>
                <w:vertAlign w:val="superscript"/>
              </w:rPr>
              <w:t>8</w:t>
            </w:r>
            <w:r w:rsidR="009F5818" w:rsidRPr="006D221B">
              <w:rPr>
                <w:rFonts w:ascii="Aptos" w:hAnsi="Aptos"/>
                <w:color w:val="000000"/>
                <w:sz w:val="18"/>
                <w:szCs w:val="18"/>
              </w:rPr>
              <w:fldChar w:fldCharType="end"/>
            </w:r>
          </w:p>
        </w:tc>
      </w:tr>
      <w:tr w:rsidR="00E9042A" w:rsidRPr="00E9042A" w14:paraId="7BCF442C"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71D832D2"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Prevalence of CVD excluding HTN overall, 2017-2020 NHANES (4year)</w:t>
            </w:r>
          </w:p>
        </w:tc>
        <w:tc>
          <w:tcPr>
            <w:tcW w:w="5276" w:type="dxa"/>
            <w:tcBorders>
              <w:top w:val="nil"/>
              <w:left w:val="nil"/>
              <w:bottom w:val="single" w:sz="4" w:space="0" w:color="auto"/>
              <w:right w:val="single" w:sz="4" w:space="0" w:color="auto"/>
            </w:tcBorders>
            <w:shd w:val="clear" w:color="auto" w:fill="auto"/>
            <w:vAlign w:val="center"/>
            <w:hideMark/>
          </w:tcPr>
          <w:p w14:paraId="0E22A4E4"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0.099</w:t>
            </w:r>
          </w:p>
        </w:tc>
        <w:tc>
          <w:tcPr>
            <w:tcW w:w="2070" w:type="dxa"/>
            <w:vMerge/>
            <w:tcBorders>
              <w:top w:val="nil"/>
              <w:left w:val="single" w:sz="4" w:space="0" w:color="auto"/>
              <w:bottom w:val="single" w:sz="4" w:space="0" w:color="auto"/>
              <w:right w:val="single" w:sz="4" w:space="0" w:color="auto"/>
            </w:tcBorders>
            <w:vAlign w:val="center"/>
            <w:hideMark/>
          </w:tcPr>
          <w:p w14:paraId="621C8961" w14:textId="77777777" w:rsidR="00E9042A" w:rsidRPr="00E9042A" w:rsidRDefault="00E9042A" w:rsidP="00AF7231">
            <w:pPr>
              <w:jc w:val="center"/>
              <w:rPr>
                <w:rFonts w:ascii="Aptos" w:hAnsi="Aptos"/>
                <w:color w:val="000000"/>
                <w:sz w:val="18"/>
                <w:szCs w:val="18"/>
              </w:rPr>
            </w:pPr>
          </w:p>
        </w:tc>
      </w:tr>
      <w:tr w:rsidR="00E9042A" w:rsidRPr="00E9042A" w14:paraId="5022E5A6" w14:textId="77777777" w:rsidTr="00AF7231">
        <w:trPr>
          <w:trHeight w:val="3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9774870" w14:textId="21C07772"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Disease Attributable Mortality Rate</w:t>
            </w:r>
          </w:p>
        </w:tc>
      </w:tr>
      <w:tr w:rsidR="00E9042A" w:rsidRPr="00E9042A" w14:paraId="2808837E"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65D0FFE6"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 xml:space="preserve">Age-adjusted mortality rate attributable to CVD (include </w:t>
            </w:r>
            <w:proofErr w:type="spellStart"/>
            <w:r w:rsidRPr="00E9042A">
              <w:rPr>
                <w:rFonts w:ascii="Aptos" w:hAnsi="Aptos"/>
                <w:color w:val="000000"/>
                <w:sz w:val="18"/>
                <w:szCs w:val="18"/>
              </w:rPr>
              <w:t>htn</w:t>
            </w:r>
            <w:proofErr w:type="spellEnd"/>
            <w:r w:rsidRPr="00E9042A">
              <w:rPr>
                <w:rFonts w:ascii="Aptos" w:hAnsi="Aptos"/>
                <w:color w:val="000000"/>
                <w:sz w:val="18"/>
                <w:szCs w:val="18"/>
              </w:rPr>
              <w:t xml:space="preserve">), </w:t>
            </w:r>
            <w:r w:rsidRPr="00E9042A">
              <w:rPr>
                <w:rFonts w:ascii="Aptos" w:hAnsi="Aptos"/>
                <w:color w:val="000000"/>
                <w:sz w:val="18"/>
                <w:szCs w:val="18"/>
              </w:rPr>
              <w:lastRenderedPageBreak/>
              <w:t>female, 2022 (per 100,000)</w:t>
            </w:r>
          </w:p>
        </w:tc>
        <w:tc>
          <w:tcPr>
            <w:tcW w:w="5276" w:type="dxa"/>
            <w:tcBorders>
              <w:top w:val="nil"/>
              <w:left w:val="nil"/>
              <w:bottom w:val="single" w:sz="4" w:space="0" w:color="auto"/>
              <w:right w:val="single" w:sz="4" w:space="0" w:color="auto"/>
            </w:tcBorders>
            <w:shd w:val="clear" w:color="auto" w:fill="auto"/>
            <w:vAlign w:val="center"/>
            <w:hideMark/>
          </w:tcPr>
          <w:p w14:paraId="1DF5F84B"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lastRenderedPageBreak/>
              <w:t>183.1 (182.6–183.7)</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004311A4" w14:textId="6D71D1DD"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Martin et al. 2025</w:t>
            </w:r>
            <w:r w:rsidR="009F5818" w:rsidRPr="006D221B">
              <w:rPr>
                <w:rFonts w:ascii="Aptos" w:hAnsi="Aptos"/>
                <w:color w:val="000000"/>
                <w:sz w:val="18"/>
                <w:szCs w:val="18"/>
              </w:rPr>
              <w:fldChar w:fldCharType="begin"/>
            </w:r>
            <w:r w:rsidR="00155732" w:rsidRPr="006D221B">
              <w:rPr>
                <w:rFonts w:ascii="Aptos" w:hAnsi="Aptos"/>
                <w:color w:val="000000"/>
                <w:sz w:val="18"/>
                <w:szCs w:val="18"/>
              </w:rPr>
              <w:instrText xml:space="preserve"> ADDIN ZOTERO_ITEM CSL_CITATION {"citationID":"PabXxHJe","properties":{"formattedCitation":"\\super 8\\nosupersub{}","plainCitation":"8","noteIndex":0},"citationItems":[{"id":104,"uris":["http://zotero.org/users/15157634/items/EJS2L7DR"],"itemData":{"id":104,"type":"article-journal","abstract":"BACKGROUND:The American Heart Association (AHA), in conjunction with the National Institutes of Health, annually reports the most up-to-date statistics related to heart disease, stroke, and cardiovascular risk factors, including core health behaviors (smoking, physical activity, nutrition, sleep, and obesity) and health factors (cholesterol, blood pressure, glucose control, and metabolic syndrome) that contribute to cardiovascular health. The AHA Heart Disease and Stroke Statistical Update presents the latest data on a range of major clinical heart and circulatory disease conditions (including stroke, brain health, complications of pregnancy, kidney disease, congenital heart disease, rhythm disorders, sudden cardiac arrest, subclinical atherosclerosis, coronary heart disease, cardiomyopathy, heart failure, valvular disease, venous thromboembolism, and peripheral artery disease) and the associated outcomes (including quality of care, procedures, and economic costs).METHODS:The AHA, through its Epidemiology and Prevention Statistics Committee, continuously monitors and evaluates sources of data on heart disease and stroke in the United States and globally to provide the most current information available in the annual Statistical Update with review of published literature through the year before writing. The 2025 AHA Statistical Update is the product of a full year’s worth of effort in 2024 by dedicated volunteer clinicians and scientists, committed government professionals, and AHA staff members. This year’s edition includes a continued focus on health equity across several key domains and enhanced global data that reflect improved methods and incorporation of ≈3000 new data sources since last year’s Statistical Update.RESULTS:Each of the chapters in the Statistical Update focuses on a different topic related to heart disease and stroke statistics.CONCLUSIONS:The Statistical Update represents a critical resource for the lay public, policymakers, media professionals, clinicians, health care administrators, researchers, health advocates, and others seeking the best available data on these factors and conditions.","container-title":"Circulation","DOI":"10.1161/CIR.0000000000001303","issue":"8","note":"publisher: American Heart Association","page":"e41-e660","source":"ahajournals.org (Atypon)","title":"2025 Heart Disease and Stroke Statistics: A Report of US and Global Data From the American Heart Association","title-short":"2025 Heart Disease and Stroke Statistics","volume":"151","author":[{"family":"Martin","given":"Seth S."},{"family":"Aday","given":"Aaron W."},{"family":"Allen","given":"Norrina B."},{"family":"Almarzooq","given":"Zaid I."},{"family":"Anderson","given":"Cheryl A.M."},{"family":"Arora","given":"Pankaj"},{"family":"Avery","given":"Christy L."},{"family":"Baker-Smith","given":"Carissa M."},{"family":"Bansal","given":"Nisha"},{"family":"Beaton","given":"Andrea Z."},{"family":"Commodore-Mensah","given":"Yvonne"},{"family":"Currie","given":"Maria E."},{"family":"Elkind","given":"Mitchell S.V."},{"family":"Fan","given":"Wenjun"},{"family":"Generoso","given":"Giuliano"},{"family":"Gibbs","given":"Bethany Barone"},{"family":"Heard","given":"Debra G."},{"family":"Hiremath","given":"Swapnil"},{"family":"Johansen","given":"Michelle C."},{"family":"Kazi","given":"Dhruv S."},{"family":"Ko","given":"Darae"},{"family":"Leppert","given":"Michelle H."},{"family":"Magnani","given":"Jared W."},{"family":"Michos","given":"Erin D."},{"family":"Mussolino","given":"Michael E."},{"family":"Parikh","given":"Nisha I."},{"family":"Perman","given":"Sarah M."},{"family":"Rezk-Hanna","given":"Mary"},{"family":"Roth","given":"Gregory A."},{"family":"Shah","given":"Nilay S."},{"family":"Springer","given":"Mellanie V."},{"family":"St-Onge","given":"Marie-Pierre"},{"family":"Thacker","given":"Evan L."},{"family":"Urbut","given":"Sarah M."},{"family":"Van Spall","given":"Harriette G.C."},{"family":"Voeks","given":"Jenifer H."},{"family":"Whelton","given":"Seamus P."},{"family":"Wong","given":"Nathan D."},{"family":"Wong","given":"Sally S."},{"family":"Yaffe","given":"Kristine"},{"family":"Palaniappan","given":"Latha P."},{"literal":"on behalf of the American Heart Association Council on Epidemiology and Prevention Statistics Committee and Stroke Statistics Committee"}],"issued":{"date-parts":[["2025",2,25]]}}}],"schema":"https://github.com/citation-style-language/schema/raw/master/csl-citation.json"} </w:instrText>
            </w:r>
            <w:r w:rsidR="009F5818" w:rsidRPr="006D221B">
              <w:rPr>
                <w:rFonts w:ascii="Aptos" w:hAnsi="Aptos"/>
                <w:color w:val="000000"/>
                <w:sz w:val="18"/>
                <w:szCs w:val="18"/>
              </w:rPr>
              <w:fldChar w:fldCharType="separate"/>
            </w:r>
            <w:r w:rsidR="00155732" w:rsidRPr="006D221B">
              <w:rPr>
                <w:rFonts w:ascii="Aptos" w:hAnsi="Aptos"/>
                <w:color w:val="000000"/>
                <w:sz w:val="18"/>
                <w:vertAlign w:val="superscript"/>
              </w:rPr>
              <w:t>8</w:t>
            </w:r>
            <w:r w:rsidR="009F5818" w:rsidRPr="006D221B">
              <w:rPr>
                <w:rFonts w:ascii="Aptos" w:hAnsi="Aptos"/>
                <w:color w:val="000000"/>
                <w:sz w:val="18"/>
                <w:szCs w:val="18"/>
              </w:rPr>
              <w:fldChar w:fldCharType="end"/>
            </w:r>
          </w:p>
        </w:tc>
      </w:tr>
      <w:tr w:rsidR="00E9042A" w:rsidRPr="00E9042A" w14:paraId="18E96927"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69A9341E"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Age-adjusted mortality rate attributable primarily to HBP, female, 2022 (per 100,000)</w:t>
            </w:r>
          </w:p>
        </w:tc>
        <w:tc>
          <w:tcPr>
            <w:tcW w:w="5276" w:type="dxa"/>
            <w:tcBorders>
              <w:top w:val="nil"/>
              <w:left w:val="nil"/>
              <w:bottom w:val="single" w:sz="4" w:space="0" w:color="auto"/>
              <w:right w:val="single" w:sz="4" w:space="0" w:color="auto"/>
            </w:tcBorders>
            <w:shd w:val="clear" w:color="auto" w:fill="auto"/>
            <w:vAlign w:val="center"/>
            <w:hideMark/>
          </w:tcPr>
          <w:p w14:paraId="1B4145BB"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27.6 (27.4–27.8)</w:t>
            </w:r>
          </w:p>
        </w:tc>
        <w:tc>
          <w:tcPr>
            <w:tcW w:w="2070" w:type="dxa"/>
            <w:vMerge/>
            <w:tcBorders>
              <w:top w:val="nil"/>
              <w:left w:val="single" w:sz="4" w:space="0" w:color="auto"/>
              <w:bottom w:val="single" w:sz="4" w:space="0" w:color="auto"/>
              <w:right w:val="single" w:sz="4" w:space="0" w:color="auto"/>
            </w:tcBorders>
            <w:vAlign w:val="center"/>
            <w:hideMark/>
          </w:tcPr>
          <w:p w14:paraId="321CE0D0" w14:textId="77777777" w:rsidR="00E9042A" w:rsidRPr="00E9042A" w:rsidRDefault="00E9042A" w:rsidP="00AF7231">
            <w:pPr>
              <w:jc w:val="center"/>
              <w:rPr>
                <w:rFonts w:ascii="Aptos" w:hAnsi="Aptos"/>
                <w:color w:val="000000"/>
                <w:sz w:val="18"/>
                <w:szCs w:val="18"/>
              </w:rPr>
            </w:pPr>
          </w:p>
        </w:tc>
      </w:tr>
      <w:tr w:rsidR="00E9042A" w:rsidRPr="00E9042A" w14:paraId="3276993D"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D73AB9F"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Age-adjusted mortality rate attributable to diabetes, female, 2022 (per 100,000)</w:t>
            </w:r>
          </w:p>
        </w:tc>
        <w:tc>
          <w:tcPr>
            <w:tcW w:w="5276" w:type="dxa"/>
            <w:tcBorders>
              <w:top w:val="nil"/>
              <w:left w:val="nil"/>
              <w:bottom w:val="single" w:sz="4" w:space="0" w:color="auto"/>
              <w:right w:val="single" w:sz="4" w:space="0" w:color="auto"/>
            </w:tcBorders>
            <w:shd w:val="clear" w:color="auto" w:fill="auto"/>
            <w:vAlign w:val="center"/>
            <w:hideMark/>
          </w:tcPr>
          <w:p w14:paraId="698BE447"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18.8 (18.6–18.9)</w:t>
            </w:r>
          </w:p>
        </w:tc>
        <w:tc>
          <w:tcPr>
            <w:tcW w:w="2070" w:type="dxa"/>
            <w:vMerge/>
            <w:tcBorders>
              <w:top w:val="nil"/>
              <w:left w:val="single" w:sz="4" w:space="0" w:color="auto"/>
              <w:bottom w:val="single" w:sz="4" w:space="0" w:color="auto"/>
              <w:right w:val="single" w:sz="4" w:space="0" w:color="auto"/>
            </w:tcBorders>
            <w:vAlign w:val="center"/>
            <w:hideMark/>
          </w:tcPr>
          <w:p w14:paraId="36C158C0" w14:textId="77777777" w:rsidR="00E9042A" w:rsidRPr="00E9042A" w:rsidRDefault="00E9042A" w:rsidP="00AF7231">
            <w:pPr>
              <w:jc w:val="center"/>
              <w:rPr>
                <w:rFonts w:ascii="Aptos" w:hAnsi="Aptos"/>
                <w:color w:val="000000"/>
                <w:sz w:val="18"/>
                <w:szCs w:val="18"/>
              </w:rPr>
            </w:pPr>
          </w:p>
        </w:tc>
      </w:tr>
      <w:tr w:rsidR="00E9042A" w:rsidRPr="00E9042A" w14:paraId="09922708" w14:textId="77777777" w:rsidTr="00AF7231">
        <w:trPr>
          <w:trHeight w:val="3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AE18AB0" w14:textId="77777777"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Absolute difference in % weight change</w:t>
            </w:r>
          </w:p>
        </w:tc>
      </w:tr>
      <w:tr w:rsidR="00E9042A" w:rsidRPr="00E9042A" w14:paraId="1DCE0965"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6F00E03"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Mean (95% CI) diff in kg weight change LST</w:t>
            </w:r>
          </w:p>
        </w:tc>
        <w:tc>
          <w:tcPr>
            <w:tcW w:w="5276" w:type="dxa"/>
            <w:tcBorders>
              <w:top w:val="nil"/>
              <w:left w:val="nil"/>
              <w:bottom w:val="single" w:sz="4" w:space="0" w:color="auto"/>
              <w:right w:val="single" w:sz="4" w:space="0" w:color="auto"/>
            </w:tcBorders>
            <w:shd w:val="clear" w:color="auto" w:fill="auto"/>
            <w:vAlign w:val="center"/>
            <w:hideMark/>
          </w:tcPr>
          <w:p w14:paraId="02565419"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w:t>
            </w:r>
          </w:p>
        </w:tc>
        <w:tc>
          <w:tcPr>
            <w:tcW w:w="2070" w:type="dxa"/>
            <w:tcBorders>
              <w:top w:val="nil"/>
              <w:left w:val="nil"/>
              <w:bottom w:val="single" w:sz="4" w:space="0" w:color="auto"/>
              <w:right w:val="single" w:sz="4" w:space="0" w:color="auto"/>
            </w:tcBorders>
            <w:shd w:val="clear" w:color="auto" w:fill="auto"/>
            <w:vAlign w:val="center"/>
            <w:hideMark/>
          </w:tcPr>
          <w:p w14:paraId="44E4EFBD" w14:textId="77777777"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Assumption</w:t>
            </w:r>
          </w:p>
        </w:tc>
      </w:tr>
      <w:tr w:rsidR="00E9042A" w:rsidRPr="00E9042A" w14:paraId="66C1A127"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044B291C"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Absolute diff in % weight change SEM vs. LST</w:t>
            </w:r>
          </w:p>
        </w:tc>
        <w:tc>
          <w:tcPr>
            <w:tcW w:w="5276" w:type="dxa"/>
            <w:tcBorders>
              <w:top w:val="nil"/>
              <w:left w:val="nil"/>
              <w:bottom w:val="single" w:sz="4" w:space="0" w:color="auto"/>
              <w:right w:val="single" w:sz="4" w:space="0" w:color="auto"/>
            </w:tcBorders>
            <w:shd w:val="clear" w:color="auto" w:fill="auto"/>
            <w:vAlign w:val="center"/>
            <w:hideMark/>
          </w:tcPr>
          <w:p w14:paraId="5274BA3D"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-0.137</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6319904C" w14:textId="11BC58A0"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ICER REPORT 2022</w:t>
            </w:r>
            <w:r w:rsidR="00573178" w:rsidRPr="006D221B">
              <w:rPr>
                <w:rFonts w:ascii="Aptos" w:hAnsi="Aptos"/>
                <w:color w:val="000000"/>
                <w:sz w:val="18"/>
                <w:szCs w:val="18"/>
              </w:rPr>
              <w:fldChar w:fldCharType="begin"/>
            </w:r>
            <w:r w:rsidR="007B0DB2" w:rsidRPr="006D221B">
              <w:rPr>
                <w:rFonts w:ascii="Aptos" w:hAnsi="Aptos"/>
                <w:color w:val="000000"/>
                <w:sz w:val="18"/>
                <w:szCs w:val="18"/>
              </w:rPr>
              <w:instrText xml:space="preserve"> ADDIN ZOTERO_ITEM CSL_CITATION {"citationID":"hAn9iL1g","properties":{"formattedCitation":"\\super 9\\nosupersub{}","plainCitation":"9","noteIndex":0},"citationItems":[{"id":135,"uris":["http://zotero.org/users/15157634/items/PWD7RXD8"],"itemData":{"id":135,"type":"article-journal","container-title":"Journal of Managed Care &amp; Specialty Pharmacy","DOI":"10.18553/jmcp.2023.29.5.569","ISSN":"2376-0540, 2376-1032","issue":"5","journalAbbreviation":"JMCP","language":"en","page":"569-575","source":"DOI.org (Crossref)","title":"Medications for obesity management: Effectiveness and value: A summary from the Institute for Clinical and Economic Review’s New England Comparative Effectiveness Public Advisory Council","title-short":"Medications for obesity management","volume":"29","author":[{"family":"Atlas","given":"Steven J"},{"family":"Kim","given":"Kibum"},{"family":"Nhan","given":"Emily"},{"family":"Touchette","given":"Daniel R"},{"family":"Moradi","given":"Ashton"},{"family":"Agboola","given":"Foluso"},{"family":"Rind","given":"David M"},{"family":"Beaudoin","given":"Francesca L"},{"family":"Pearson","given":"Steven D"}],"issued":{"date-parts":[["2023",5]]}}}],"schema":"https://github.com/citation-style-language/schema/raw/master/csl-citation.json"} </w:instrText>
            </w:r>
            <w:r w:rsidR="00573178" w:rsidRPr="006D221B">
              <w:rPr>
                <w:rFonts w:ascii="Aptos" w:hAnsi="Aptos"/>
                <w:color w:val="000000"/>
                <w:sz w:val="18"/>
                <w:szCs w:val="18"/>
              </w:rPr>
              <w:fldChar w:fldCharType="separate"/>
            </w:r>
            <w:r w:rsidR="007B0DB2" w:rsidRPr="006D221B">
              <w:rPr>
                <w:rFonts w:ascii="Aptos" w:hAnsi="Aptos"/>
                <w:color w:val="000000"/>
                <w:sz w:val="18"/>
                <w:vertAlign w:val="superscript"/>
              </w:rPr>
              <w:t>9</w:t>
            </w:r>
            <w:r w:rsidR="00573178" w:rsidRPr="006D221B">
              <w:rPr>
                <w:rFonts w:ascii="Aptos" w:hAnsi="Aptos"/>
                <w:color w:val="000000"/>
                <w:sz w:val="18"/>
                <w:szCs w:val="18"/>
              </w:rPr>
              <w:fldChar w:fldCharType="end"/>
            </w:r>
          </w:p>
        </w:tc>
      </w:tr>
      <w:tr w:rsidR="00E9042A" w:rsidRPr="00E9042A" w14:paraId="635F50B4"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2D504470"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Absolute diff in % weight change LIR vs. LST</w:t>
            </w:r>
          </w:p>
        </w:tc>
        <w:tc>
          <w:tcPr>
            <w:tcW w:w="5276" w:type="dxa"/>
            <w:tcBorders>
              <w:top w:val="nil"/>
              <w:left w:val="nil"/>
              <w:bottom w:val="single" w:sz="4" w:space="0" w:color="auto"/>
              <w:right w:val="single" w:sz="4" w:space="0" w:color="auto"/>
            </w:tcBorders>
            <w:shd w:val="clear" w:color="auto" w:fill="auto"/>
            <w:vAlign w:val="center"/>
            <w:hideMark/>
          </w:tcPr>
          <w:p w14:paraId="7B5E4C68"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-0.05</w:t>
            </w:r>
          </w:p>
        </w:tc>
        <w:tc>
          <w:tcPr>
            <w:tcW w:w="2070" w:type="dxa"/>
            <w:vMerge/>
            <w:tcBorders>
              <w:top w:val="nil"/>
              <w:left w:val="single" w:sz="4" w:space="0" w:color="auto"/>
              <w:bottom w:val="single" w:sz="4" w:space="0" w:color="auto"/>
              <w:right w:val="single" w:sz="4" w:space="0" w:color="auto"/>
            </w:tcBorders>
            <w:vAlign w:val="center"/>
            <w:hideMark/>
          </w:tcPr>
          <w:p w14:paraId="6BA63C2C" w14:textId="77777777" w:rsidR="00E9042A" w:rsidRPr="00E9042A" w:rsidRDefault="00E9042A" w:rsidP="00AF7231">
            <w:pPr>
              <w:jc w:val="center"/>
              <w:rPr>
                <w:rFonts w:ascii="Aptos" w:hAnsi="Aptos"/>
                <w:color w:val="000000"/>
                <w:sz w:val="18"/>
                <w:szCs w:val="18"/>
              </w:rPr>
            </w:pPr>
          </w:p>
        </w:tc>
      </w:tr>
      <w:tr w:rsidR="00E9042A" w:rsidRPr="00E9042A" w14:paraId="0875FE3A"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5AA7F8CF"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Absolute diff in % weight change P/T vs. LST</w:t>
            </w:r>
          </w:p>
        </w:tc>
        <w:tc>
          <w:tcPr>
            <w:tcW w:w="5276" w:type="dxa"/>
            <w:tcBorders>
              <w:top w:val="nil"/>
              <w:left w:val="nil"/>
              <w:bottom w:val="single" w:sz="4" w:space="0" w:color="auto"/>
              <w:right w:val="single" w:sz="4" w:space="0" w:color="auto"/>
            </w:tcBorders>
            <w:shd w:val="clear" w:color="auto" w:fill="auto"/>
            <w:vAlign w:val="center"/>
            <w:hideMark/>
          </w:tcPr>
          <w:p w14:paraId="7900FADB"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-0.091</w:t>
            </w:r>
          </w:p>
        </w:tc>
        <w:tc>
          <w:tcPr>
            <w:tcW w:w="2070" w:type="dxa"/>
            <w:vMerge/>
            <w:tcBorders>
              <w:top w:val="nil"/>
              <w:left w:val="single" w:sz="4" w:space="0" w:color="auto"/>
              <w:bottom w:val="single" w:sz="4" w:space="0" w:color="auto"/>
              <w:right w:val="single" w:sz="4" w:space="0" w:color="auto"/>
            </w:tcBorders>
            <w:vAlign w:val="center"/>
            <w:hideMark/>
          </w:tcPr>
          <w:p w14:paraId="35A4A5B6" w14:textId="77777777" w:rsidR="00E9042A" w:rsidRPr="00E9042A" w:rsidRDefault="00E9042A" w:rsidP="00AF7231">
            <w:pPr>
              <w:jc w:val="center"/>
              <w:rPr>
                <w:rFonts w:ascii="Aptos" w:hAnsi="Aptos"/>
                <w:color w:val="000000"/>
                <w:sz w:val="18"/>
                <w:szCs w:val="18"/>
              </w:rPr>
            </w:pPr>
          </w:p>
        </w:tc>
      </w:tr>
      <w:tr w:rsidR="00E9042A" w:rsidRPr="00E9042A" w14:paraId="21986778"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31A6B902"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Absolute diff in % weight change B/N vs. LST</w:t>
            </w:r>
          </w:p>
        </w:tc>
        <w:tc>
          <w:tcPr>
            <w:tcW w:w="5276" w:type="dxa"/>
            <w:tcBorders>
              <w:top w:val="nil"/>
              <w:left w:val="nil"/>
              <w:bottom w:val="single" w:sz="4" w:space="0" w:color="auto"/>
              <w:right w:val="single" w:sz="4" w:space="0" w:color="auto"/>
            </w:tcBorders>
            <w:shd w:val="clear" w:color="auto" w:fill="auto"/>
            <w:vAlign w:val="center"/>
            <w:hideMark/>
          </w:tcPr>
          <w:p w14:paraId="64145592"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-0.046</w:t>
            </w:r>
          </w:p>
        </w:tc>
        <w:tc>
          <w:tcPr>
            <w:tcW w:w="2070" w:type="dxa"/>
            <w:vMerge/>
            <w:tcBorders>
              <w:top w:val="nil"/>
              <w:left w:val="single" w:sz="4" w:space="0" w:color="auto"/>
              <w:bottom w:val="single" w:sz="4" w:space="0" w:color="auto"/>
              <w:right w:val="single" w:sz="4" w:space="0" w:color="auto"/>
            </w:tcBorders>
            <w:vAlign w:val="center"/>
            <w:hideMark/>
          </w:tcPr>
          <w:p w14:paraId="7B23A5B1" w14:textId="77777777" w:rsidR="00E9042A" w:rsidRPr="00E9042A" w:rsidRDefault="00E9042A" w:rsidP="00AF7231">
            <w:pPr>
              <w:jc w:val="center"/>
              <w:rPr>
                <w:rFonts w:ascii="Aptos" w:hAnsi="Aptos"/>
                <w:color w:val="000000"/>
                <w:sz w:val="18"/>
                <w:szCs w:val="18"/>
              </w:rPr>
            </w:pPr>
          </w:p>
        </w:tc>
      </w:tr>
      <w:tr w:rsidR="00E9042A" w:rsidRPr="00E9042A" w14:paraId="275B0D41"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6EC63D49"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Absolute diff in % weight change Met vs. LST</w:t>
            </w:r>
          </w:p>
        </w:tc>
        <w:tc>
          <w:tcPr>
            <w:tcW w:w="5276" w:type="dxa"/>
            <w:tcBorders>
              <w:top w:val="nil"/>
              <w:left w:val="nil"/>
              <w:bottom w:val="single" w:sz="4" w:space="0" w:color="auto"/>
              <w:right w:val="single" w:sz="4" w:space="0" w:color="auto"/>
            </w:tcBorders>
            <w:shd w:val="clear" w:color="auto" w:fill="auto"/>
            <w:vAlign w:val="center"/>
            <w:hideMark/>
          </w:tcPr>
          <w:p w14:paraId="4629F96D"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 </w:t>
            </w:r>
          </w:p>
        </w:tc>
        <w:tc>
          <w:tcPr>
            <w:tcW w:w="2070" w:type="dxa"/>
            <w:tcBorders>
              <w:top w:val="nil"/>
              <w:left w:val="nil"/>
              <w:bottom w:val="single" w:sz="4" w:space="0" w:color="auto"/>
              <w:right w:val="single" w:sz="4" w:space="0" w:color="auto"/>
            </w:tcBorders>
            <w:shd w:val="clear" w:color="auto" w:fill="auto"/>
            <w:vAlign w:val="center"/>
            <w:hideMark/>
          </w:tcPr>
          <w:p w14:paraId="5352B79E" w14:textId="6EF84817" w:rsidR="00E9042A" w:rsidRPr="00E9042A" w:rsidRDefault="00E9042A" w:rsidP="00AF7231">
            <w:pPr>
              <w:jc w:val="center"/>
              <w:rPr>
                <w:rFonts w:ascii="Aptos" w:hAnsi="Aptos"/>
                <w:color w:val="000000"/>
                <w:sz w:val="18"/>
                <w:szCs w:val="18"/>
              </w:rPr>
            </w:pPr>
          </w:p>
        </w:tc>
      </w:tr>
      <w:tr w:rsidR="00E9042A" w:rsidRPr="00E9042A" w14:paraId="1BE225B3" w14:textId="77777777" w:rsidTr="00AF7231">
        <w:trPr>
          <w:trHeight w:val="3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B183CD2" w14:textId="77777777"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Transition Probability</w:t>
            </w:r>
          </w:p>
        </w:tc>
      </w:tr>
      <w:tr w:rsidR="00E9042A" w:rsidRPr="00E9042A" w14:paraId="682326E8" w14:textId="77777777" w:rsidTr="00AF7231">
        <w:trPr>
          <w:trHeight w:val="140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DCCFC99" w14:textId="6FB312B9" w:rsidR="00E9042A" w:rsidRPr="00E9042A" w:rsidRDefault="00E9042A" w:rsidP="00AF7231">
            <w:pPr>
              <w:rPr>
                <w:rFonts w:ascii="Aptos" w:hAnsi="Aptos"/>
                <w:color w:val="000000"/>
                <w:sz w:val="18"/>
                <w:szCs w:val="18"/>
              </w:rPr>
            </w:pPr>
            <w:r w:rsidRPr="00E9042A">
              <w:rPr>
                <w:rFonts w:ascii="Aptos" w:hAnsi="Aptos"/>
                <w:color w:val="000000"/>
                <w:sz w:val="18"/>
                <w:szCs w:val="18"/>
              </w:rPr>
              <w:t>4yr Risk of HTN</w:t>
            </w:r>
          </w:p>
        </w:tc>
        <w:tc>
          <w:tcPr>
            <w:tcW w:w="5276" w:type="dxa"/>
            <w:tcBorders>
              <w:top w:val="nil"/>
              <w:left w:val="nil"/>
              <w:bottom w:val="single" w:sz="4" w:space="0" w:color="auto"/>
              <w:right w:val="single" w:sz="4" w:space="0" w:color="auto"/>
            </w:tcBorders>
            <w:shd w:val="clear" w:color="auto" w:fill="auto"/>
            <w:vAlign w:val="center"/>
            <w:hideMark/>
          </w:tcPr>
          <w:p w14:paraId="4C0358BE"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1-exp(-exp((log(</w:t>
            </w:r>
            <w:proofErr w:type="gramStart"/>
            <w:r w:rsidRPr="00E9042A">
              <w:rPr>
                <w:rFonts w:ascii="Aptos" w:hAnsi="Aptos"/>
                <w:color w:val="000000"/>
                <w:sz w:val="18"/>
                <w:szCs w:val="18"/>
              </w:rPr>
              <w:t>4)-(</w:t>
            </w:r>
            <w:proofErr w:type="gramEnd"/>
            <w:r w:rsidRPr="00E9042A">
              <w:rPr>
                <w:rFonts w:ascii="Aptos" w:hAnsi="Aptos"/>
                <w:color w:val="000000"/>
                <w:sz w:val="18"/>
                <w:szCs w:val="18"/>
              </w:rPr>
              <w:t>22.9495-0.1564*(age_initial+t)-0.2029*1-0.0593*SBP-0.1285*DBP-0.1907*smoke-0.1661*0-0.0339*BMI+0.0016*(age_initial+t)*DBP))/0.8769))</w:t>
            </w:r>
          </w:p>
        </w:tc>
        <w:tc>
          <w:tcPr>
            <w:tcW w:w="2070" w:type="dxa"/>
            <w:tcBorders>
              <w:top w:val="nil"/>
              <w:left w:val="nil"/>
              <w:bottom w:val="single" w:sz="4" w:space="0" w:color="auto"/>
              <w:right w:val="single" w:sz="4" w:space="0" w:color="auto"/>
            </w:tcBorders>
            <w:shd w:val="clear" w:color="auto" w:fill="auto"/>
            <w:vAlign w:val="center"/>
            <w:hideMark/>
          </w:tcPr>
          <w:p w14:paraId="37703EBA" w14:textId="773B6447"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Framingham Heart Study: Parikh et al. 2008</w:t>
            </w:r>
            <w:r w:rsidR="007B0DB2" w:rsidRPr="006D221B">
              <w:rPr>
                <w:rFonts w:ascii="Aptos" w:hAnsi="Aptos"/>
                <w:color w:val="000000"/>
                <w:sz w:val="18"/>
                <w:szCs w:val="18"/>
              </w:rPr>
              <w:fldChar w:fldCharType="begin"/>
            </w:r>
            <w:r w:rsidR="007B0DB2" w:rsidRPr="006D221B">
              <w:rPr>
                <w:rFonts w:ascii="Aptos" w:hAnsi="Aptos"/>
                <w:color w:val="000000"/>
                <w:sz w:val="18"/>
                <w:szCs w:val="18"/>
              </w:rPr>
              <w:instrText xml:space="preserve"> ADDIN ZOTERO_ITEM CSL_CITATION {"citationID":"bnEgxztv","properties":{"formattedCitation":"\\super 10\\nosupersub{}","plainCitation":"10","noteIndex":0},"citationItems":[{"id":106,"uris":["http://zotero.org/users/15157634/items/A4PTBV2L"],"itemData":{"id":106,"type":"article-journal","abstract":"BACKGROUND: Studies suggest that targeting high-risk, nonhypertensive individuals for treatment may delay hypertension onset, thereby possibly mitigating vascular complications. Risk stratification may facilitate cost-effective approaches to management.\nOBJECTIVE: To develop a simple risk score for predicting hypertension incidence by using measures readily obtained in the physician's office.\nDESIGN: Longitudinal cohort study.\nSETTING: Framingham Heart Study, Framingham, Massachusetts.\nPATIENTS: 1717 nonhypertensive white individuals 20 to 69 years of age (mean age, 42 years; 54% women), without diabetes and with both parents in the original cohort of the Framingham Heart Study, contributed 5814 person-examinations.\nMEASUREMENTS: Scores were developed for predicting the 1-, 2-, and 4-year risk for new-onset hypertension, and performance characteristics of the prediction algorithm were assessed by using calibration and discrimination measures. Parental hypertension was ascertained from examinations of the original cohort of the Framingham Heart Study.\nRESULTS: During follow-up (median time over all person-examinations, 3.8 years), 796 persons (52% women) developed new-onset hypertension. In multivariable analyses, age, sex, systolic and diastolic blood pressure, body mass index, parental hypertension, and cigarette smoking were significant predictors of hypertension. According to the risk score based on these factors, the 4-year risk for incident hypertension was classified as low (&lt;5%) in 34% of participants, medium (5% to 10%) in 19%, and high (&gt;10%) in 47%. The c-statistic for the prediction model was 0.788, and calibration was very good.\nLIMITATIONS: The risk score findings may not be generalizable to persons of nonwhite race or ethnicity or to persons with diabetes. The risk score algorithm has not been validated in an independent cohort and is based on single measurements of risk factors and blood pressure.\nCONCLUSION: The hypertension risk prediction score can be used to estimate an individual's absolute risk for hypertension on short-term follow-up, and it represents a simple, office-based tool that may facilitate management of high-risk individuals with prehypertension.","container-title":"Annals of Internal Medicine","DOI":"10.7326/0003-4819-148-2-200801150-00005","ISSN":"1539-3704","issue":"2","journalAbbreviation":"Ann Intern Med","language":"eng","note":"PMID: 18195335","page":"102-110","source":"PubMed","title":"A risk score for predicting near-term incidence of hypertension: the Framingham Heart Study","title-short":"A risk score for predicting near-term incidence of hypertension","volume":"148","author":[{"family":"Parikh","given":"Nisha I."},{"family":"Pencina","given":"Michael J."},{"family":"Wang","given":"Thomas J."},{"family":"Benjamin","given":"Emelia J."},{"family":"Lanier","given":"Katherine J."},{"family":"Levy","given":"Daniel"},{"family":"D'Agostino","given":"Ralph B."},{"family":"Kannel","given":"William B."},{"family":"Vasan","given":"Ramachandran S."}],"issued":{"date-parts":[["2008",1,15]]}}}],"schema":"https://github.com/citation-style-language/schema/raw/master/csl-citation.json"} </w:instrText>
            </w:r>
            <w:r w:rsidR="007B0DB2" w:rsidRPr="006D221B">
              <w:rPr>
                <w:rFonts w:ascii="Aptos" w:hAnsi="Aptos"/>
                <w:color w:val="000000"/>
                <w:sz w:val="18"/>
                <w:szCs w:val="18"/>
              </w:rPr>
              <w:fldChar w:fldCharType="separate"/>
            </w:r>
            <w:r w:rsidR="007B0DB2" w:rsidRPr="006D221B">
              <w:rPr>
                <w:rFonts w:ascii="Aptos" w:hAnsi="Aptos"/>
                <w:color w:val="000000"/>
                <w:sz w:val="18"/>
                <w:vertAlign w:val="superscript"/>
              </w:rPr>
              <w:t>10</w:t>
            </w:r>
            <w:r w:rsidR="007B0DB2" w:rsidRPr="006D221B">
              <w:rPr>
                <w:rFonts w:ascii="Aptos" w:hAnsi="Aptos"/>
                <w:color w:val="000000"/>
                <w:sz w:val="18"/>
                <w:szCs w:val="18"/>
              </w:rPr>
              <w:fldChar w:fldCharType="end"/>
            </w:r>
          </w:p>
        </w:tc>
      </w:tr>
      <w:tr w:rsidR="00E9042A" w:rsidRPr="00E9042A" w14:paraId="55CB38C2" w14:textId="77777777" w:rsidTr="00AF7231">
        <w:trPr>
          <w:trHeight w:val="11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27987B1C"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10yr Risk of CVD</w:t>
            </w:r>
          </w:p>
        </w:tc>
        <w:tc>
          <w:tcPr>
            <w:tcW w:w="5276" w:type="dxa"/>
            <w:tcBorders>
              <w:top w:val="nil"/>
              <w:left w:val="nil"/>
              <w:bottom w:val="single" w:sz="4" w:space="0" w:color="auto"/>
              <w:right w:val="single" w:sz="4" w:space="0" w:color="auto"/>
            </w:tcBorders>
            <w:shd w:val="clear" w:color="auto" w:fill="auto"/>
            <w:vAlign w:val="center"/>
            <w:hideMark/>
          </w:tcPr>
          <w:p w14:paraId="1FB79912"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1-0.94833^exp((2.72107*log(age_initial+</w:t>
            </w:r>
            <w:proofErr w:type="gramStart"/>
            <w:r w:rsidRPr="00E9042A">
              <w:rPr>
                <w:rFonts w:ascii="Aptos" w:hAnsi="Aptos"/>
                <w:color w:val="000000"/>
                <w:sz w:val="18"/>
                <w:szCs w:val="18"/>
              </w:rPr>
              <w:t>1)+</w:t>
            </w:r>
            <w:proofErr w:type="gramEnd"/>
            <w:r w:rsidRPr="00E9042A">
              <w:rPr>
                <w:rFonts w:ascii="Aptos" w:hAnsi="Aptos"/>
                <w:color w:val="000000"/>
                <w:sz w:val="18"/>
                <w:szCs w:val="18"/>
              </w:rPr>
              <w:t>0.51125*BMI+2.88267*log(SBP)+0.61868*smoke+0.77763*n_t2dm)-29.4016)</w:t>
            </w:r>
          </w:p>
        </w:tc>
        <w:tc>
          <w:tcPr>
            <w:tcW w:w="2070" w:type="dxa"/>
            <w:tcBorders>
              <w:top w:val="nil"/>
              <w:left w:val="nil"/>
              <w:bottom w:val="single" w:sz="4" w:space="0" w:color="auto"/>
              <w:right w:val="single" w:sz="4" w:space="0" w:color="auto"/>
            </w:tcBorders>
            <w:shd w:val="clear" w:color="auto" w:fill="auto"/>
            <w:vAlign w:val="center"/>
            <w:hideMark/>
          </w:tcPr>
          <w:p w14:paraId="61780E58" w14:textId="4CF0D29D"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 xml:space="preserve">Framingham Heart Study: </w:t>
            </w:r>
            <w:r w:rsidR="007B0DB2" w:rsidRPr="006D221B">
              <w:rPr>
                <w:rFonts w:ascii="Aptos" w:hAnsi="Aptos"/>
                <w:color w:val="000000"/>
                <w:sz w:val="18"/>
                <w:szCs w:val="18"/>
              </w:rPr>
              <w:t>D’</w:t>
            </w:r>
            <w:r w:rsidRPr="00E9042A">
              <w:rPr>
                <w:rFonts w:ascii="Aptos" w:hAnsi="Aptos"/>
                <w:color w:val="000000"/>
                <w:sz w:val="18"/>
                <w:szCs w:val="18"/>
              </w:rPr>
              <w:t>Agostino et al. 2008</w:t>
            </w:r>
            <w:r w:rsidR="007B0DB2" w:rsidRPr="006D221B">
              <w:rPr>
                <w:rFonts w:ascii="Aptos" w:hAnsi="Aptos"/>
                <w:color w:val="000000"/>
                <w:sz w:val="18"/>
                <w:szCs w:val="18"/>
              </w:rPr>
              <w:fldChar w:fldCharType="begin"/>
            </w:r>
            <w:r w:rsidR="00CE601E" w:rsidRPr="006D221B">
              <w:rPr>
                <w:rFonts w:ascii="Aptos" w:hAnsi="Aptos"/>
                <w:color w:val="000000"/>
                <w:sz w:val="18"/>
                <w:szCs w:val="18"/>
              </w:rPr>
              <w:instrText xml:space="preserve"> ADDIN ZOTERO_ITEM CSL_CITATION {"citationID":"mtce9My0","properties":{"formattedCitation":"\\super 11\\nosupersub{}","plainCitation":"11","noteIndex":0},"citationItems":[{"id":108,"uris":["http://zotero.org/users/15157634/items/7XFUNPA2"],"itemData":{"id":108,"type":"article-journal","abstract":"Background—\n              \n              Separate multivariable risk algorithms are commonly used to assess risk of specific atherosclerotic cardiovascular disease (CVD) events, ie, coronary heart disease, cerebrovascular disease, peripheral vascular disease, and heart failure. The present report presents a single multivariable risk function that predicts risk of developing all CVD and of its constituents.\n            \n            \n              \n                Methods and Results—\n              \n              We used Cox proportional-hazards regression to evaluate the risk of developing a first CVD event in 8491 Framingham study participants (mean age, 49 years; 4522 women) who attended a routine examination between 30 and 74 years of age and were free of CVD. Sex-specific multivariable risk functions (“general CVD” algorithms) were derived that incorporated age, total and high-density lipoprotein cholesterol, systolic blood pressure, treatment for hypertension, smoking, and diabetes status. We assessed the performance of the general CVD algorithms for predicting individual CVD events (coronary heart disease, stroke, peripheral artery disease, or heart failure). Over 12 years of follow-up, 1174 participants (456 women) developed a first CVD event. All traditional risk factors evaluated predicted CVD risk (multivariable-adjusted\n              P\n              &lt;0.0001). The general CVD algorithm demonstrated good discrimination (C statistic, 0.763 [men] and 0.793 [women]) and calibration. Simple adjustments to the general CVD risk algorithms allowed estimation of the risks of each CVD component. Two simple risk scores are presented, 1 based on all traditional risk factors and the other based on non–laboratory-based predictors.\n            \n            \n              \n                Conclusions—\n              \n              A sex-specific multivariable risk factor algorithm can be conveniently used to assess general CVD risk and risk of individual CVD events (coronary, cerebrovascular, and peripheral arterial disease and heart failure). The estimated absolute CVD event rates can be used to quantify risk and to guide preventive care.","container-title":"Circulation","DOI":"10.1161/CIRCULATIONAHA.107.699579","ISSN":"0009-7322, 1524-4539","issue":"6","journalAbbreviation":"Circulation","language":"en","page":"743-753","source":"DOI.org (Crossref)","title":"General Cardiovascular Risk Profile for Use in Primary Care: The Framingham Heart Study","title-short":"General Cardiovascular Risk Profile for Use in Primary Care","volume":"117","author":[{"family":"D’Agostino","given":"Ralph B."},{"family":"Vasan","given":"Ramachandran S."},{"family":"Pencina","given":"Michael J."},{"family":"Wolf","given":"Philip A."},{"family":"Cobain","given":"Mark"},{"family":"Massaro","given":"Joseph M."},{"family":"Kannel","given":"William B."}],"issued":{"date-parts":[["2008",2,12]]}}}],"schema":"https://github.com/citation-style-language/schema/raw/master/csl-citation.json"} </w:instrText>
            </w:r>
            <w:r w:rsidR="007B0DB2" w:rsidRPr="006D221B">
              <w:rPr>
                <w:rFonts w:ascii="Aptos" w:hAnsi="Aptos"/>
                <w:color w:val="000000"/>
                <w:sz w:val="18"/>
                <w:szCs w:val="18"/>
              </w:rPr>
              <w:fldChar w:fldCharType="separate"/>
            </w:r>
            <w:r w:rsidR="00CE601E" w:rsidRPr="006D221B">
              <w:rPr>
                <w:rFonts w:ascii="Aptos" w:hAnsi="Aptos"/>
                <w:color w:val="000000"/>
                <w:sz w:val="18"/>
                <w:vertAlign w:val="superscript"/>
              </w:rPr>
              <w:t>11</w:t>
            </w:r>
            <w:r w:rsidR="007B0DB2" w:rsidRPr="006D221B">
              <w:rPr>
                <w:rFonts w:ascii="Aptos" w:hAnsi="Aptos"/>
                <w:color w:val="000000"/>
                <w:sz w:val="18"/>
                <w:szCs w:val="18"/>
              </w:rPr>
              <w:fldChar w:fldCharType="end"/>
            </w:r>
            <w:r w:rsidR="007B0DB2" w:rsidRPr="006D221B">
              <w:rPr>
                <w:rFonts w:ascii="Aptos" w:hAnsi="Aptos"/>
                <w:color w:val="000000"/>
                <w:sz w:val="18"/>
                <w:szCs w:val="18"/>
              </w:rPr>
              <w:t xml:space="preserve"> </w:t>
            </w:r>
          </w:p>
        </w:tc>
      </w:tr>
      <w:tr w:rsidR="00E9042A" w:rsidRPr="00E9042A" w14:paraId="4D8DB592" w14:textId="77777777" w:rsidTr="00AF7231">
        <w:trPr>
          <w:trHeight w:val="25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704D4ECE"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7year Risk of diabetes</w:t>
            </w:r>
          </w:p>
        </w:tc>
        <w:tc>
          <w:tcPr>
            <w:tcW w:w="5276" w:type="dxa"/>
            <w:tcBorders>
              <w:top w:val="nil"/>
              <w:left w:val="nil"/>
              <w:bottom w:val="single" w:sz="4" w:space="0" w:color="auto"/>
              <w:right w:val="single" w:sz="4" w:space="0" w:color="auto"/>
            </w:tcBorders>
            <w:shd w:val="clear" w:color="auto" w:fill="auto"/>
            <w:vAlign w:val="center"/>
            <w:hideMark/>
          </w:tcPr>
          <w:p w14:paraId="60D516FE"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1/(1+exp(-(-5.517-0.018*if((</w:t>
            </w:r>
            <w:proofErr w:type="spellStart"/>
            <w:r w:rsidRPr="00E9042A">
              <w:rPr>
                <w:rFonts w:ascii="Aptos" w:hAnsi="Aptos"/>
                <w:color w:val="000000"/>
                <w:sz w:val="18"/>
                <w:szCs w:val="18"/>
              </w:rPr>
              <w:t>age_initial+t</w:t>
            </w:r>
            <w:proofErr w:type="spellEnd"/>
            <w:r w:rsidRPr="00E9042A">
              <w:rPr>
                <w:rFonts w:ascii="Aptos" w:hAnsi="Aptos"/>
                <w:color w:val="000000"/>
                <w:sz w:val="18"/>
                <w:szCs w:val="18"/>
              </w:rPr>
              <w:t>&gt;=50) &amp; (age_initial+t&lt;=64),1,0)-0.081*if(age_initial+t&gt;=65,1,0)+0.301*if((BMI&gt;=25) &amp; (BMI&lt;=29.9),1,0)+0.92*if(BMI&gt;=30,1,0)+0.498*if(SBP&gt;130,1,0)+0.944*if(hdlc&lt;50,1,0)+0.575*if(triglyceride&gt;=150,1,0)+1.98*if((fglucose&gt;=100) &amp; (</w:t>
            </w:r>
            <w:proofErr w:type="spellStart"/>
            <w:r w:rsidRPr="00E9042A">
              <w:rPr>
                <w:rFonts w:ascii="Aptos" w:hAnsi="Aptos"/>
                <w:color w:val="000000"/>
                <w:sz w:val="18"/>
                <w:szCs w:val="18"/>
              </w:rPr>
              <w:t>fglucose</w:t>
            </w:r>
            <w:proofErr w:type="spellEnd"/>
            <w:r w:rsidRPr="00E9042A">
              <w:rPr>
                <w:rFonts w:ascii="Aptos" w:hAnsi="Aptos"/>
                <w:color w:val="000000"/>
                <w:sz w:val="18"/>
                <w:szCs w:val="18"/>
              </w:rPr>
              <w:t>&lt;=126),1,0))))</w:t>
            </w:r>
          </w:p>
        </w:tc>
        <w:tc>
          <w:tcPr>
            <w:tcW w:w="2070" w:type="dxa"/>
            <w:tcBorders>
              <w:top w:val="nil"/>
              <w:left w:val="nil"/>
              <w:bottom w:val="single" w:sz="4" w:space="0" w:color="auto"/>
              <w:right w:val="single" w:sz="4" w:space="0" w:color="auto"/>
            </w:tcBorders>
            <w:shd w:val="clear" w:color="auto" w:fill="auto"/>
            <w:vAlign w:val="center"/>
            <w:hideMark/>
          </w:tcPr>
          <w:p w14:paraId="69DFE629" w14:textId="3E824288"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Framingham Heart Study: Wilson et al. 2007</w:t>
            </w:r>
            <w:r w:rsidR="00CE601E" w:rsidRPr="006D221B">
              <w:rPr>
                <w:rFonts w:ascii="Aptos" w:hAnsi="Aptos"/>
                <w:color w:val="000000"/>
                <w:sz w:val="18"/>
                <w:szCs w:val="18"/>
              </w:rPr>
              <w:t xml:space="preserve"> </w:t>
            </w:r>
            <w:r w:rsidR="00CE601E" w:rsidRPr="006D221B">
              <w:rPr>
                <w:rFonts w:ascii="Aptos" w:hAnsi="Aptos"/>
                <w:color w:val="000000"/>
                <w:sz w:val="18"/>
                <w:szCs w:val="18"/>
              </w:rPr>
              <w:fldChar w:fldCharType="begin"/>
            </w:r>
            <w:r w:rsidR="00CE601E" w:rsidRPr="006D221B">
              <w:rPr>
                <w:rFonts w:ascii="Aptos" w:hAnsi="Aptos"/>
                <w:color w:val="000000"/>
                <w:sz w:val="18"/>
                <w:szCs w:val="18"/>
              </w:rPr>
              <w:instrText xml:space="preserve"> ADDIN ZOTERO_ITEM CSL_CITATION {"citationID":"t1xwMpop","properties":{"formattedCitation":"\\super 12\\nosupersub{}","plainCitation":"12","noteIndex":0},"citationItems":[{"id":110,"uris":["http://zotero.org/users/15157634/items/EYMH4TKU"],"itemData":{"id":110,"type":"article-journal","abstract":"BACKGROUND: Prediction rules for type 2 diabetes mellitus (T2DM) have been developed, but we lack consensus for the most effective approach.\nMETHODS: We estimated the 7-year risk of T2DM in middle-aged participants who had an oral glucose tolerance test at baseline. There were 160 cases of new T2DM, and regression models were used to predict new T2DM, starting with characteristics known to the subject (personal model, ie, age, sex, parental history of diabetes, and body mass index [calculated as the weight in kilograms divided by height in meters squared]), adding simple clinical measurements that included metabolic syndrome traits (simple clinical model), and, finally, assessing complex clinical models that included (1) 2-hour post-oral glucose tolerance test glucose, fasting insulin, and C-reactive protein levels; (2) the Gutt insulin sensitivity index; or (3) the homeostasis model insulin resistance and the homeostasis model insulin resistance beta-cell sensitivity indexes. Discrimination was assessed with area under the receiver operating characteristic curves (AROCs).\nRESULTS: The personal model variables, except sex, were statistically significant predictors of T2DM (AROC, 0.72). In the simple clinical model, parental history of diabetes and obesity remained significant predictors, along with hypertension, low levels of high-density lipoprotein cholesterol, elevated triglyceride levels, and impaired fasting glucose findings but not a large waist circumference (AROC, 0.85). Complex clinical models showed no further improvement in model discriminations (AROC, 0.850-0.854) and were not superior to the simple clinical model.\nCONCLUSION: Parental diabetes, obesity, and metabolic syndrome traits effectively predict T2DM risk in a middle-aged white population sample and were used to develop a simple T2DM prediction algorithm to estimate risk of new T2DM during a 7-year follow-up interval.","container-title":"Archives of Internal Medicine","DOI":"10.1001/archinte.167.10.1068","ISSN":"0003-9926","issue":"10","journalAbbreviation":"Arch Intern Med","language":"eng","note":"PMID: 17533210","page":"1068-1074","source":"PubMed","title":"Prediction of incident diabetes mellitus in middle-aged adults: the Framingham Offspring Study","title-short":"Prediction of incident diabetes mellitus in middle-aged adults","volume":"167","author":[{"family":"Wilson","given":"Peter W. F."},{"family":"Meigs","given":"James B."},{"family":"Sullivan","given":"Lisa"},{"family":"Fox","given":"Caroline S."},{"family":"Nathan","given":"David M."},{"family":"D'Agostino","given":"Ralph B."}],"issued":{"date-parts":[["2007",5,28]]}}}],"schema":"https://github.com/citation-style-language/schema/raw/master/csl-citation.json"} </w:instrText>
            </w:r>
            <w:r w:rsidR="00CE601E" w:rsidRPr="006D221B">
              <w:rPr>
                <w:rFonts w:ascii="Aptos" w:hAnsi="Aptos"/>
                <w:color w:val="000000"/>
                <w:sz w:val="18"/>
                <w:szCs w:val="18"/>
              </w:rPr>
              <w:fldChar w:fldCharType="separate"/>
            </w:r>
            <w:r w:rsidR="00CE601E" w:rsidRPr="006D221B">
              <w:rPr>
                <w:rFonts w:ascii="Aptos" w:hAnsi="Aptos"/>
                <w:color w:val="000000"/>
                <w:sz w:val="18"/>
                <w:vertAlign w:val="superscript"/>
              </w:rPr>
              <w:t>12</w:t>
            </w:r>
            <w:r w:rsidR="00CE601E" w:rsidRPr="006D221B">
              <w:rPr>
                <w:rFonts w:ascii="Aptos" w:hAnsi="Aptos"/>
                <w:color w:val="000000"/>
                <w:sz w:val="18"/>
                <w:szCs w:val="18"/>
              </w:rPr>
              <w:fldChar w:fldCharType="end"/>
            </w:r>
          </w:p>
        </w:tc>
      </w:tr>
      <w:tr w:rsidR="00E9042A" w:rsidRPr="00E9042A" w14:paraId="2B0A46E5" w14:textId="77777777" w:rsidTr="00AF7231">
        <w:trPr>
          <w:trHeight w:val="3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07B737C" w14:textId="77777777"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Utility Input</w:t>
            </w:r>
          </w:p>
        </w:tc>
      </w:tr>
      <w:tr w:rsidR="00E9042A" w:rsidRPr="00E9042A" w14:paraId="35D79AC9"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44E99C8"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Utility Normal BMI</w:t>
            </w:r>
          </w:p>
        </w:tc>
        <w:tc>
          <w:tcPr>
            <w:tcW w:w="5276" w:type="dxa"/>
            <w:tcBorders>
              <w:top w:val="nil"/>
              <w:left w:val="nil"/>
              <w:bottom w:val="single" w:sz="4" w:space="0" w:color="auto"/>
              <w:right w:val="single" w:sz="4" w:space="0" w:color="auto"/>
            </w:tcBorders>
            <w:shd w:val="clear" w:color="auto" w:fill="auto"/>
            <w:vAlign w:val="center"/>
            <w:hideMark/>
          </w:tcPr>
          <w:p w14:paraId="166E584A"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0.9442- 0.0007×Age</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3DBF10" w14:textId="690F5736"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ICER Report</w:t>
            </w:r>
            <w:r w:rsidR="00CE601E" w:rsidRPr="006D221B">
              <w:rPr>
                <w:rFonts w:ascii="Aptos" w:hAnsi="Aptos"/>
                <w:color w:val="000000"/>
                <w:sz w:val="18"/>
                <w:szCs w:val="18"/>
              </w:rPr>
              <w:fldChar w:fldCharType="begin"/>
            </w:r>
            <w:r w:rsidR="00365FEF" w:rsidRPr="006D221B">
              <w:rPr>
                <w:rFonts w:ascii="Aptos" w:hAnsi="Aptos"/>
                <w:color w:val="000000"/>
                <w:sz w:val="18"/>
                <w:szCs w:val="18"/>
              </w:rPr>
              <w:instrText xml:space="preserve"> ADDIN ZOTERO_ITEM CSL_CITATION {"citationID":"mFR3uNfv","properties":{"formattedCitation":"\\super 9\\nosupersub{}","plainCitation":"9","noteIndex":0},"citationItems":[{"id":135,"uris":["http://zotero.org/users/15157634/items/PWD7RXD8"],"itemData":{"id":135,"type":"article-journal","container-title":"Journal of Managed Care &amp; Specialty Pharmacy","DOI":"10.18553/jmcp.2023.29.5.569","ISSN":"2376-0540, 2376-1032","issue":"5","journalAbbreviation":"JMCP","language":"en","page":"569-575","source":"DOI.org (Crossref)","title":"Medications for obesity management: Effectiveness and value: A summary from the Institute for Clinical and Economic Review’s New England Comparative Effectiveness Public Advisory Council","title-short":"Medications for obesity management","volume":"29","author":[{"family":"Atlas","given":"Steven J"},{"family":"Kim","given":"Kibum"},{"family":"Nhan","given":"Emily"},{"family":"Touchette","given":"Daniel R"},{"family":"Moradi","given":"Ashton"},{"family":"Agboola","given":"Foluso"},{"family":"Rind","given":"David M"},{"family":"Beaudoin","given":"Francesca L"},{"family":"Pearson","given":"Steven D"}],"issued":{"date-parts":[["2023",5]]}}}],"schema":"https://github.com/citation-style-language/schema/raw/master/csl-citation.json"} </w:instrText>
            </w:r>
            <w:r w:rsidR="00CE601E" w:rsidRPr="006D221B">
              <w:rPr>
                <w:rFonts w:ascii="Aptos" w:hAnsi="Aptos"/>
                <w:color w:val="000000"/>
                <w:sz w:val="18"/>
                <w:szCs w:val="18"/>
              </w:rPr>
              <w:fldChar w:fldCharType="separate"/>
            </w:r>
            <w:r w:rsidR="00365FEF" w:rsidRPr="006D221B">
              <w:rPr>
                <w:rFonts w:ascii="Aptos" w:hAnsi="Aptos"/>
                <w:color w:val="000000"/>
                <w:sz w:val="18"/>
                <w:vertAlign w:val="superscript"/>
              </w:rPr>
              <w:t>9</w:t>
            </w:r>
            <w:r w:rsidR="00CE601E" w:rsidRPr="006D221B">
              <w:rPr>
                <w:rFonts w:ascii="Aptos" w:hAnsi="Aptos"/>
                <w:color w:val="000000"/>
                <w:sz w:val="18"/>
                <w:szCs w:val="18"/>
              </w:rPr>
              <w:fldChar w:fldCharType="end"/>
            </w:r>
          </w:p>
        </w:tc>
      </w:tr>
      <w:tr w:rsidR="00E9042A" w:rsidRPr="00E9042A" w14:paraId="7038F44A"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2B59DFEC"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lastRenderedPageBreak/>
              <w:t>Disutility per BMI increase</w:t>
            </w:r>
          </w:p>
        </w:tc>
        <w:tc>
          <w:tcPr>
            <w:tcW w:w="5276" w:type="dxa"/>
            <w:tcBorders>
              <w:top w:val="nil"/>
              <w:left w:val="nil"/>
              <w:bottom w:val="single" w:sz="4" w:space="0" w:color="auto"/>
              <w:right w:val="single" w:sz="4" w:space="0" w:color="auto"/>
            </w:tcBorders>
            <w:shd w:val="clear" w:color="auto" w:fill="auto"/>
            <w:vAlign w:val="center"/>
            <w:hideMark/>
          </w:tcPr>
          <w:p w14:paraId="31F01E7A"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0.0033</w:t>
            </w:r>
          </w:p>
        </w:tc>
        <w:tc>
          <w:tcPr>
            <w:tcW w:w="2070" w:type="dxa"/>
            <w:vMerge/>
            <w:tcBorders>
              <w:top w:val="nil"/>
              <w:left w:val="single" w:sz="4" w:space="0" w:color="auto"/>
              <w:bottom w:val="single" w:sz="4" w:space="0" w:color="auto"/>
              <w:right w:val="single" w:sz="4" w:space="0" w:color="auto"/>
            </w:tcBorders>
            <w:vAlign w:val="center"/>
            <w:hideMark/>
          </w:tcPr>
          <w:p w14:paraId="63CDFB92" w14:textId="77777777" w:rsidR="00E9042A" w:rsidRPr="00E9042A" w:rsidRDefault="00E9042A" w:rsidP="00AF7231">
            <w:pPr>
              <w:jc w:val="center"/>
              <w:rPr>
                <w:rFonts w:ascii="Aptos" w:hAnsi="Aptos"/>
                <w:color w:val="000000"/>
                <w:sz w:val="18"/>
                <w:szCs w:val="18"/>
              </w:rPr>
            </w:pPr>
          </w:p>
        </w:tc>
      </w:tr>
      <w:tr w:rsidR="00E9042A" w:rsidRPr="00E9042A" w14:paraId="71202091"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5400BC6F"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multiplicative proportion of Other CVD</w:t>
            </w:r>
          </w:p>
        </w:tc>
        <w:tc>
          <w:tcPr>
            <w:tcW w:w="5276" w:type="dxa"/>
            <w:tcBorders>
              <w:top w:val="nil"/>
              <w:left w:val="nil"/>
              <w:bottom w:val="single" w:sz="4" w:space="0" w:color="auto"/>
              <w:right w:val="single" w:sz="4" w:space="0" w:color="auto"/>
            </w:tcBorders>
            <w:shd w:val="clear" w:color="auto" w:fill="auto"/>
            <w:vAlign w:val="center"/>
            <w:hideMark/>
          </w:tcPr>
          <w:p w14:paraId="3B49CA69"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0.55</w:t>
            </w:r>
          </w:p>
        </w:tc>
        <w:tc>
          <w:tcPr>
            <w:tcW w:w="2070" w:type="dxa"/>
            <w:vMerge/>
            <w:tcBorders>
              <w:top w:val="nil"/>
              <w:left w:val="single" w:sz="4" w:space="0" w:color="auto"/>
              <w:bottom w:val="single" w:sz="4" w:space="0" w:color="auto"/>
              <w:right w:val="single" w:sz="4" w:space="0" w:color="auto"/>
            </w:tcBorders>
            <w:vAlign w:val="center"/>
            <w:hideMark/>
          </w:tcPr>
          <w:p w14:paraId="18E7010D" w14:textId="77777777" w:rsidR="00E9042A" w:rsidRPr="00E9042A" w:rsidRDefault="00E9042A" w:rsidP="00AF7231">
            <w:pPr>
              <w:jc w:val="center"/>
              <w:rPr>
                <w:rFonts w:ascii="Aptos" w:hAnsi="Aptos"/>
                <w:color w:val="000000"/>
                <w:sz w:val="18"/>
                <w:szCs w:val="18"/>
              </w:rPr>
            </w:pPr>
          </w:p>
        </w:tc>
      </w:tr>
      <w:tr w:rsidR="00E9042A" w:rsidRPr="00E9042A" w14:paraId="4AED18DA"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788E5A80"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multiplicative proportion of MI</w:t>
            </w:r>
          </w:p>
        </w:tc>
        <w:tc>
          <w:tcPr>
            <w:tcW w:w="5276" w:type="dxa"/>
            <w:tcBorders>
              <w:top w:val="nil"/>
              <w:left w:val="nil"/>
              <w:bottom w:val="single" w:sz="4" w:space="0" w:color="auto"/>
              <w:right w:val="single" w:sz="4" w:space="0" w:color="auto"/>
            </w:tcBorders>
            <w:shd w:val="clear" w:color="auto" w:fill="auto"/>
            <w:vAlign w:val="center"/>
            <w:hideMark/>
          </w:tcPr>
          <w:p w14:paraId="0832DC0F"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0.22</w:t>
            </w:r>
          </w:p>
        </w:tc>
        <w:tc>
          <w:tcPr>
            <w:tcW w:w="2070" w:type="dxa"/>
            <w:vMerge/>
            <w:tcBorders>
              <w:top w:val="nil"/>
              <w:left w:val="single" w:sz="4" w:space="0" w:color="auto"/>
              <w:bottom w:val="single" w:sz="4" w:space="0" w:color="auto"/>
              <w:right w:val="single" w:sz="4" w:space="0" w:color="auto"/>
            </w:tcBorders>
            <w:vAlign w:val="center"/>
            <w:hideMark/>
          </w:tcPr>
          <w:p w14:paraId="2230F328" w14:textId="77777777" w:rsidR="00E9042A" w:rsidRPr="00E9042A" w:rsidRDefault="00E9042A" w:rsidP="00AF7231">
            <w:pPr>
              <w:jc w:val="center"/>
              <w:rPr>
                <w:rFonts w:ascii="Aptos" w:hAnsi="Aptos"/>
                <w:color w:val="000000"/>
                <w:sz w:val="18"/>
                <w:szCs w:val="18"/>
              </w:rPr>
            </w:pPr>
          </w:p>
        </w:tc>
      </w:tr>
      <w:tr w:rsidR="00E9042A" w:rsidRPr="00E9042A" w14:paraId="7640F327"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04DF3C70"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multiplicative proportion of Stroke</w:t>
            </w:r>
          </w:p>
        </w:tc>
        <w:tc>
          <w:tcPr>
            <w:tcW w:w="5276" w:type="dxa"/>
            <w:tcBorders>
              <w:top w:val="nil"/>
              <w:left w:val="nil"/>
              <w:bottom w:val="single" w:sz="4" w:space="0" w:color="auto"/>
              <w:right w:val="single" w:sz="4" w:space="0" w:color="auto"/>
            </w:tcBorders>
            <w:shd w:val="clear" w:color="auto" w:fill="auto"/>
            <w:vAlign w:val="center"/>
            <w:hideMark/>
          </w:tcPr>
          <w:p w14:paraId="031E54FB"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0.23</w:t>
            </w:r>
          </w:p>
        </w:tc>
        <w:tc>
          <w:tcPr>
            <w:tcW w:w="2070" w:type="dxa"/>
            <w:vMerge/>
            <w:tcBorders>
              <w:top w:val="nil"/>
              <w:left w:val="single" w:sz="4" w:space="0" w:color="auto"/>
              <w:bottom w:val="single" w:sz="4" w:space="0" w:color="auto"/>
              <w:right w:val="single" w:sz="4" w:space="0" w:color="auto"/>
            </w:tcBorders>
            <w:vAlign w:val="center"/>
            <w:hideMark/>
          </w:tcPr>
          <w:p w14:paraId="3DAECED1" w14:textId="77777777" w:rsidR="00E9042A" w:rsidRPr="00E9042A" w:rsidRDefault="00E9042A" w:rsidP="00AF7231">
            <w:pPr>
              <w:jc w:val="center"/>
              <w:rPr>
                <w:rFonts w:ascii="Aptos" w:hAnsi="Aptos"/>
                <w:color w:val="000000"/>
                <w:sz w:val="18"/>
                <w:szCs w:val="18"/>
              </w:rPr>
            </w:pPr>
          </w:p>
        </w:tc>
      </w:tr>
      <w:tr w:rsidR="00E9042A" w:rsidRPr="00E9042A" w14:paraId="359CBD02"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34BD1E19"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Disutility of Other CVD (Heart Disease), additive beta (SD)</w:t>
            </w:r>
          </w:p>
        </w:tc>
        <w:tc>
          <w:tcPr>
            <w:tcW w:w="5276" w:type="dxa"/>
            <w:tcBorders>
              <w:top w:val="nil"/>
              <w:left w:val="nil"/>
              <w:bottom w:val="single" w:sz="4" w:space="0" w:color="auto"/>
              <w:right w:val="single" w:sz="4" w:space="0" w:color="auto"/>
            </w:tcBorders>
            <w:shd w:val="clear" w:color="auto" w:fill="auto"/>
            <w:vAlign w:val="center"/>
            <w:hideMark/>
          </w:tcPr>
          <w:p w14:paraId="56387362"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-0.014 (0.0001)</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AF4952" w14:textId="6770B548"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Sullivan et al. 2005</w:t>
            </w:r>
            <w:r w:rsidR="00365FEF" w:rsidRPr="006D221B">
              <w:rPr>
                <w:rFonts w:ascii="Aptos" w:hAnsi="Aptos"/>
                <w:color w:val="000000"/>
                <w:sz w:val="18"/>
                <w:szCs w:val="18"/>
              </w:rPr>
              <w:fldChar w:fldCharType="begin"/>
            </w:r>
            <w:r w:rsidR="00651370" w:rsidRPr="006D221B">
              <w:rPr>
                <w:rFonts w:ascii="Aptos" w:hAnsi="Aptos"/>
                <w:color w:val="000000"/>
                <w:sz w:val="18"/>
                <w:szCs w:val="18"/>
              </w:rPr>
              <w:instrText xml:space="preserve"> ADDIN ZOTERO_ITEM CSL_CITATION {"citationID":"XjacG8vR","properties":{"formattedCitation":"\\super 13\\nosupersub{}","plainCitation":"13","noteIndex":0},"citationItems":[{"id":136,"uris":["http://zotero.org/users/15157634/items/GSQ8LCR3"],"itemData":{"id":136,"type":"article-journal","abstract":"BACKGROUND: The variability in preferences used in quality-adjusted life-years estimation jeopardizes the comparability of cost-effectiveness analyses and has led the Panel on Cost-Effectiveness in Health and Medicine (the PCEHM) to call for a catalog of \"off-the-shelf\" preference weights associated with conditions that can be used by health researchers without the burden of collecting primary data.\nOBJECTIVE: The current research responds to the call by developing a nationally representative catalog of preference-based scores for chronic conditions and associated sociodemographic characteristics.\nMETHODS: The authors report the EQ-5Dindex scores of chronic conditions and associated sociodemographic characteristics in the nationally representative Medical Expenditure Panel Survey (MEPS). Chronic conditions were coded using \"quality priority conditions\" (QPC) and clinical classification categories (CCC). OLS, Tobit, and censored least absolute deviations (CLAD) regression models were used to provide condition estimates adjusted for age, comorbidity, gender, race, ethnicity, income, and education.\nRESULTS: Unadjusted and adjusted EQ-5Dindex scores for each QPC and CCC code are presented. EQ-5Dindex scores for older age categories were lower than younger categories, female scores were lower than males, certain racial groups had lower scores than others, and EQ-5Dindex scores were higher for individuals with higher education and income levels.\nCONCLUSION: The preference-based chronic condition scores reported in this research are nationally representative and may be useful to researchers to calculate quality-adjusted life-years for cost-effectiveness analyses and population-based burden of illness studies without the difficulty of primary data collection. Further research is necessary to validate these scores in condition-specific studies.","container-title":"Medical Care","DOI":"10.1097/01.mlr.0000172050.67085.4f","ISSN":"0025-7079","issue":"7","journalAbbreviation":"Med Care","language":"eng","note":"PMID: 15970790","page":"736-749","source":"PubMed","title":"A national catalog of preference-based scores for chronic conditions in the United States","volume":"43","author":[{"family":"Sullivan","given":"Patrick W."},{"family":"Lawrence","given":"William F."},{"family":"Ghushchyan","given":"Vahram"}],"issued":{"date-parts":[["2005",7]]}}}],"schema":"https://github.com/citation-style-language/schema/raw/master/csl-citation.json"} </w:instrText>
            </w:r>
            <w:r w:rsidR="00365FEF" w:rsidRPr="006D221B">
              <w:rPr>
                <w:rFonts w:ascii="Aptos" w:hAnsi="Aptos"/>
                <w:color w:val="000000"/>
                <w:sz w:val="18"/>
                <w:szCs w:val="18"/>
              </w:rPr>
              <w:fldChar w:fldCharType="separate"/>
            </w:r>
            <w:r w:rsidR="00651370" w:rsidRPr="006D221B">
              <w:rPr>
                <w:rFonts w:ascii="Aptos" w:hAnsi="Aptos"/>
                <w:color w:val="000000"/>
                <w:sz w:val="18"/>
                <w:vertAlign w:val="superscript"/>
              </w:rPr>
              <w:t>13</w:t>
            </w:r>
            <w:r w:rsidR="00365FEF" w:rsidRPr="006D221B">
              <w:rPr>
                <w:rFonts w:ascii="Aptos" w:hAnsi="Aptos"/>
                <w:color w:val="000000"/>
                <w:sz w:val="18"/>
                <w:szCs w:val="18"/>
              </w:rPr>
              <w:fldChar w:fldCharType="end"/>
            </w:r>
          </w:p>
        </w:tc>
      </w:tr>
      <w:tr w:rsidR="00E9042A" w:rsidRPr="00E9042A" w14:paraId="74979581"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590BD6FB"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Disutility of MI, additive beta (SD)</w:t>
            </w:r>
          </w:p>
        </w:tc>
        <w:tc>
          <w:tcPr>
            <w:tcW w:w="5276" w:type="dxa"/>
            <w:tcBorders>
              <w:top w:val="nil"/>
              <w:left w:val="nil"/>
              <w:bottom w:val="single" w:sz="4" w:space="0" w:color="auto"/>
              <w:right w:val="single" w:sz="4" w:space="0" w:color="auto"/>
            </w:tcBorders>
            <w:shd w:val="clear" w:color="auto" w:fill="auto"/>
            <w:vAlign w:val="center"/>
            <w:hideMark/>
          </w:tcPr>
          <w:p w14:paraId="3643528C"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-0.012 (0.0002)</w:t>
            </w:r>
          </w:p>
        </w:tc>
        <w:tc>
          <w:tcPr>
            <w:tcW w:w="2070" w:type="dxa"/>
            <w:vMerge/>
            <w:tcBorders>
              <w:top w:val="nil"/>
              <w:left w:val="single" w:sz="4" w:space="0" w:color="auto"/>
              <w:bottom w:val="single" w:sz="4" w:space="0" w:color="auto"/>
              <w:right w:val="single" w:sz="4" w:space="0" w:color="auto"/>
            </w:tcBorders>
            <w:vAlign w:val="center"/>
            <w:hideMark/>
          </w:tcPr>
          <w:p w14:paraId="4FC285E6" w14:textId="77777777" w:rsidR="00E9042A" w:rsidRPr="00E9042A" w:rsidRDefault="00E9042A" w:rsidP="00AF7231">
            <w:pPr>
              <w:jc w:val="center"/>
              <w:rPr>
                <w:rFonts w:ascii="Aptos" w:hAnsi="Aptos"/>
                <w:color w:val="000000"/>
                <w:sz w:val="18"/>
                <w:szCs w:val="18"/>
              </w:rPr>
            </w:pPr>
          </w:p>
        </w:tc>
      </w:tr>
      <w:tr w:rsidR="00E9042A" w:rsidRPr="00E9042A" w14:paraId="5588B28F"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764F649B"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Disutility of Stroke, additive beta (SD)</w:t>
            </w:r>
          </w:p>
        </w:tc>
        <w:tc>
          <w:tcPr>
            <w:tcW w:w="5276" w:type="dxa"/>
            <w:tcBorders>
              <w:top w:val="nil"/>
              <w:left w:val="nil"/>
              <w:bottom w:val="single" w:sz="4" w:space="0" w:color="auto"/>
              <w:right w:val="single" w:sz="4" w:space="0" w:color="auto"/>
            </w:tcBorders>
            <w:shd w:val="clear" w:color="auto" w:fill="auto"/>
            <w:vAlign w:val="center"/>
            <w:hideMark/>
          </w:tcPr>
          <w:p w14:paraId="5ED379FB"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-0.04 (0.0002)</w:t>
            </w:r>
          </w:p>
        </w:tc>
        <w:tc>
          <w:tcPr>
            <w:tcW w:w="2070" w:type="dxa"/>
            <w:vMerge/>
            <w:tcBorders>
              <w:top w:val="nil"/>
              <w:left w:val="single" w:sz="4" w:space="0" w:color="auto"/>
              <w:bottom w:val="single" w:sz="4" w:space="0" w:color="auto"/>
              <w:right w:val="single" w:sz="4" w:space="0" w:color="auto"/>
            </w:tcBorders>
            <w:vAlign w:val="center"/>
            <w:hideMark/>
          </w:tcPr>
          <w:p w14:paraId="71FB6CC5" w14:textId="77777777" w:rsidR="00E9042A" w:rsidRPr="00E9042A" w:rsidRDefault="00E9042A" w:rsidP="00AF7231">
            <w:pPr>
              <w:jc w:val="center"/>
              <w:rPr>
                <w:rFonts w:ascii="Aptos" w:hAnsi="Aptos"/>
                <w:color w:val="000000"/>
                <w:sz w:val="18"/>
                <w:szCs w:val="18"/>
              </w:rPr>
            </w:pPr>
          </w:p>
        </w:tc>
      </w:tr>
      <w:tr w:rsidR="00E9042A" w:rsidRPr="00E9042A" w14:paraId="4C85FBB3"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7836EE7D"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Disutility of HTN, additive beta (SD)</w:t>
            </w:r>
          </w:p>
        </w:tc>
        <w:tc>
          <w:tcPr>
            <w:tcW w:w="5276" w:type="dxa"/>
            <w:tcBorders>
              <w:top w:val="nil"/>
              <w:left w:val="nil"/>
              <w:bottom w:val="single" w:sz="4" w:space="0" w:color="auto"/>
              <w:right w:val="single" w:sz="4" w:space="0" w:color="auto"/>
            </w:tcBorders>
            <w:shd w:val="clear" w:color="auto" w:fill="auto"/>
            <w:vAlign w:val="center"/>
            <w:hideMark/>
          </w:tcPr>
          <w:p w14:paraId="6E6829BE"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-0.02 (0.0001)</w:t>
            </w:r>
          </w:p>
        </w:tc>
        <w:tc>
          <w:tcPr>
            <w:tcW w:w="2070" w:type="dxa"/>
            <w:vMerge/>
            <w:tcBorders>
              <w:top w:val="nil"/>
              <w:left w:val="single" w:sz="4" w:space="0" w:color="auto"/>
              <w:bottom w:val="single" w:sz="4" w:space="0" w:color="auto"/>
              <w:right w:val="single" w:sz="4" w:space="0" w:color="auto"/>
            </w:tcBorders>
            <w:vAlign w:val="center"/>
            <w:hideMark/>
          </w:tcPr>
          <w:p w14:paraId="2D16534A" w14:textId="77777777" w:rsidR="00E9042A" w:rsidRPr="00E9042A" w:rsidRDefault="00E9042A" w:rsidP="00AF7231">
            <w:pPr>
              <w:jc w:val="center"/>
              <w:rPr>
                <w:rFonts w:ascii="Aptos" w:hAnsi="Aptos"/>
                <w:color w:val="000000"/>
                <w:sz w:val="18"/>
                <w:szCs w:val="18"/>
              </w:rPr>
            </w:pPr>
          </w:p>
        </w:tc>
      </w:tr>
      <w:tr w:rsidR="00E9042A" w:rsidRPr="00E9042A" w14:paraId="09FE77BB"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B15D63F"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Disutility of T2DM, additive beta (SD)</w:t>
            </w:r>
          </w:p>
        </w:tc>
        <w:tc>
          <w:tcPr>
            <w:tcW w:w="5276" w:type="dxa"/>
            <w:tcBorders>
              <w:top w:val="nil"/>
              <w:left w:val="nil"/>
              <w:bottom w:val="single" w:sz="4" w:space="0" w:color="auto"/>
              <w:right w:val="single" w:sz="4" w:space="0" w:color="auto"/>
            </w:tcBorders>
            <w:shd w:val="clear" w:color="auto" w:fill="auto"/>
            <w:vAlign w:val="center"/>
            <w:hideMark/>
          </w:tcPr>
          <w:p w14:paraId="1FC90F06"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-0.024 (0.0001)</w:t>
            </w:r>
          </w:p>
        </w:tc>
        <w:tc>
          <w:tcPr>
            <w:tcW w:w="2070" w:type="dxa"/>
            <w:vMerge/>
            <w:tcBorders>
              <w:top w:val="nil"/>
              <w:left w:val="single" w:sz="4" w:space="0" w:color="auto"/>
              <w:bottom w:val="single" w:sz="4" w:space="0" w:color="auto"/>
              <w:right w:val="single" w:sz="4" w:space="0" w:color="auto"/>
            </w:tcBorders>
            <w:vAlign w:val="center"/>
            <w:hideMark/>
          </w:tcPr>
          <w:p w14:paraId="7F520E60" w14:textId="77777777" w:rsidR="00E9042A" w:rsidRPr="00E9042A" w:rsidRDefault="00E9042A" w:rsidP="00AF7231">
            <w:pPr>
              <w:jc w:val="center"/>
              <w:rPr>
                <w:rFonts w:ascii="Aptos" w:hAnsi="Aptos"/>
                <w:color w:val="000000"/>
                <w:sz w:val="18"/>
                <w:szCs w:val="18"/>
              </w:rPr>
            </w:pPr>
          </w:p>
        </w:tc>
      </w:tr>
      <w:tr w:rsidR="00E9042A" w:rsidRPr="00E9042A" w14:paraId="0700CF6B" w14:textId="77777777" w:rsidTr="00AF7231">
        <w:trPr>
          <w:trHeight w:val="320"/>
        </w:trPr>
        <w:tc>
          <w:tcPr>
            <w:tcW w:w="935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2440858" w14:textId="77777777" w:rsidR="00E9042A" w:rsidRPr="00E9042A" w:rsidRDefault="00E9042A" w:rsidP="00AF7231">
            <w:pPr>
              <w:jc w:val="center"/>
              <w:rPr>
                <w:rFonts w:ascii="Aptos" w:hAnsi="Aptos"/>
                <w:b/>
                <w:bCs/>
                <w:color w:val="000000"/>
                <w:sz w:val="18"/>
                <w:szCs w:val="18"/>
              </w:rPr>
            </w:pPr>
            <w:r w:rsidRPr="00E9042A">
              <w:rPr>
                <w:rFonts w:ascii="Aptos" w:hAnsi="Aptos"/>
                <w:b/>
                <w:bCs/>
                <w:color w:val="000000"/>
                <w:sz w:val="18"/>
                <w:szCs w:val="18"/>
              </w:rPr>
              <w:t>Cost Input</w:t>
            </w:r>
          </w:p>
        </w:tc>
      </w:tr>
      <w:tr w:rsidR="00E9042A" w:rsidRPr="00E9042A" w14:paraId="1108F693"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521FF3C"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 xml:space="preserve">Average annual per capita </w:t>
            </w:r>
            <w:proofErr w:type="gramStart"/>
            <w:r w:rsidRPr="00E9042A">
              <w:rPr>
                <w:rFonts w:ascii="Aptos" w:hAnsi="Aptos"/>
                <w:color w:val="000000"/>
                <w:sz w:val="18"/>
                <w:szCs w:val="18"/>
              </w:rPr>
              <w:t>cost  of</w:t>
            </w:r>
            <w:proofErr w:type="gramEnd"/>
            <w:r w:rsidRPr="00E9042A">
              <w:rPr>
                <w:rFonts w:ascii="Aptos" w:hAnsi="Aptos"/>
                <w:color w:val="000000"/>
                <w:sz w:val="18"/>
                <w:szCs w:val="18"/>
              </w:rPr>
              <w:t xml:space="preserve"> Coronary Heart Disease, 2021 dollars</w:t>
            </w:r>
          </w:p>
        </w:tc>
        <w:tc>
          <w:tcPr>
            <w:tcW w:w="5276" w:type="dxa"/>
            <w:tcBorders>
              <w:top w:val="nil"/>
              <w:left w:val="nil"/>
              <w:bottom w:val="single" w:sz="4" w:space="0" w:color="auto"/>
              <w:right w:val="single" w:sz="4" w:space="0" w:color="auto"/>
            </w:tcBorders>
            <w:shd w:val="clear" w:color="auto" w:fill="auto"/>
            <w:vAlign w:val="center"/>
            <w:hideMark/>
          </w:tcPr>
          <w:p w14:paraId="44497695"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12143.29 (681.89)</w:t>
            </w:r>
          </w:p>
        </w:tc>
        <w:tc>
          <w:tcPr>
            <w:tcW w:w="2070" w:type="dxa"/>
            <w:tcBorders>
              <w:top w:val="nil"/>
              <w:left w:val="nil"/>
              <w:bottom w:val="single" w:sz="4" w:space="0" w:color="auto"/>
              <w:right w:val="single" w:sz="4" w:space="0" w:color="auto"/>
            </w:tcBorders>
            <w:shd w:val="clear" w:color="auto" w:fill="auto"/>
            <w:vAlign w:val="center"/>
            <w:hideMark/>
          </w:tcPr>
          <w:p w14:paraId="5156FBDC" w14:textId="772C4332"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Kazi et al. 2024</w:t>
            </w:r>
            <w:r w:rsidR="00651370" w:rsidRPr="006D221B">
              <w:rPr>
                <w:rFonts w:ascii="Aptos" w:hAnsi="Aptos"/>
                <w:color w:val="000000"/>
                <w:sz w:val="18"/>
                <w:szCs w:val="18"/>
              </w:rPr>
              <w:fldChar w:fldCharType="begin"/>
            </w:r>
            <w:r w:rsidR="00411D40" w:rsidRPr="006D221B">
              <w:rPr>
                <w:rFonts w:ascii="Aptos" w:hAnsi="Aptos"/>
                <w:color w:val="000000"/>
                <w:sz w:val="18"/>
                <w:szCs w:val="18"/>
              </w:rPr>
              <w:instrText xml:space="preserve"> ADDIN ZOTERO_ITEM CSL_CITATION {"citationID":"0rnaNr0S","properties":{"formattedCitation":"\\super 14\\nosupersub{}","plainCitation":"14","noteIndex":0},"citationItems":[{"id":112,"uris":["http://zotero.org/users/15157634/items/UYSJ8GR4"],"itemData":{"id":112,"type":"article-journal","abstract":"BACKGROUND:Quantifying the economic burden of cardiovascular disease and stroke over the coming decades may inform policy, health system, and community-level interventions for prevention and treatment.METHODS:We used nationally representative health, economic, and demographic data to project health care costs attributable to key cardiovascular risk factors (hypertension, diabetes, hypercholesterolemia) and conditions (coronary heart disease, stroke, heart failure, atrial fibrillation) through 2050. The human capital approach was used to estimate productivity losses from morbidity and premature mortality due to cardiovascular conditions.RESULTS:One in 3 US adults received care for a cardiovascular risk factor or condition in 2020. Annual inflation-adjusted (2022 US dollars) health care costs of cardiovascular risk factors are projected to triple between 2020 and 2050, from $400 billion to $1344 billion. For cardiovascular conditions, annual health care costs are projected to almost quadruple, from $393 billion to $1490 billion, and productivity losses are projected to increase by 54%, from $234 billion to $361 billion. Stroke is projected to account for the largest absolute increase in costs. Large relative increases among the Asian American population (497%) and Hispanic American population (489%) reflect the projected increases in the size of these populations.CONCLUSIONS:The economic burden of cardiovascular risk factors and overt cardiovascular disease in the United States is projected to increase substantially in the coming decades. Development and deployment of cost-effective programs and policies to promote cardiovascular health are urgently needed to rein in costs and to equitably enhance population health.","container-title":"Circulation","DOI":"10.1161/CIR.0000000000001258","issue":"4","note":"publisher: American Heart Association","page":"e89-e101","source":"www-ahajournals-org.proxy.library.vanderbilt.edu (Atypon)","title":"Forecasting the Economic Burden of Cardiovascular Disease and Stroke in the United States Through 2050: A Presidential Advisory From the American Heart Association","title-short":"Forecasting the Economic Burden of Cardiovascular Disease and Stroke in the United States Through 2050","volume":"150","author":[{"family":"Kazi","given":"Dhruv S."},{"family":"Elkind","given":"Mitchell S.V."},{"family":"Deutsch","given":"Anne"},{"family":"Dowd","given":"William N."},{"family":"Heidenreich","given":"Paul"},{"family":"Khavjou","given":"Olga"},{"family":"Mark","given":"Daniel"},{"family":"Mussolino","given":"Michael E."},{"family":"Ovbiagele","given":"Bruce"},{"family":"Patel","given":"Sonali S."},{"family":"Poudel","given":"Remy"},{"family":"Weittenhiller","given":"Ben"},{"family":"Powell-Wiley","given":"Tiffany M."},{"family":"Joynt Maddox","given":"Karen E."},{"literal":"on behalf of the American Heart Association"}],"issued":{"date-parts":[["2024",7,23]]}}}],"schema":"https://github.com/citation-style-language/schema/raw/master/csl-citation.json"} </w:instrText>
            </w:r>
            <w:r w:rsidR="00651370" w:rsidRPr="006D221B">
              <w:rPr>
                <w:rFonts w:ascii="Aptos" w:hAnsi="Aptos"/>
                <w:color w:val="000000"/>
                <w:sz w:val="18"/>
                <w:szCs w:val="18"/>
              </w:rPr>
              <w:fldChar w:fldCharType="separate"/>
            </w:r>
            <w:r w:rsidR="00411D40" w:rsidRPr="006D221B">
              <w:rPr>
                <w:rFonts w:ascii="Aptos" w:hAnsi="Aptos"/>
                <w:color w:val="000000"/>
                <w:sz w:val="18"/>
                <w:vertAlign w:val="superscript"/>
              </w:rPr>
              <w:t>14</w:t>
            </w:r>
            <w:r w:rsidR="00651370" w:rsidRPr="006D221B">
              <w:rPr>
                <w:rFonts w:ascii="Aptos" w:hAnsi="Aptos"/>
                <w:color w:val="000000"/>
                <w:sz w:val="18"/>
                <w:szCs w:val="18"/>
              </w:rPr>
              <w:fldChar w:fldCharType="end"/>
            </w:r>
          </w:p>
        </w:tc>
      </w:tr>
      <w:tr w:rsidR="00E9042A" w:rsidRPr="00E9042A" w14:paraId="6469F8B6"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1FE81C1A"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Average annual medical expenditure attributable to patients with T2DM, 2021 dollars</w:t>
            </w:r>
          </w:p>
        </w:tc>
        <w:tc>
          <w:tcPr>
            <w:tcW w:w="5276" w:type="dxa"/>
            <w:tcBorders>
              <w:top w:val="nil"/>
              <w:left w:val="nil"/>
              <w:bottom w:val="single" w:sz="4" w:space="0" w:color="auto"/>
              <w:right w:val="single" w:sz="4" w:space="0" w:color="auto"/>
            </w:tcBorders>
            <w:shd w:val="clear" w:color="auto" w:fill="auto"/>
            <w:vAlign w:val="center"/>
            <w:hideMark/>
          </w:tcPr>
          <w:p w14:paraId="268ADBDA"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 xml:space="preserve">$11,230 </w:t>
            </w:r>
          </w:p>
        </w:tc>
        <w:tc>
          <w:tcPr>
            <w:tcW w:w="2070" w:type="dxa"/>
            <w:tcBorders>
              <w:top w:val="nil"/>
              <w:left w:val="nil"/>
              <w:bottom w:val="single" w:sz="4" w:space="0" w:color="auto"/>
              <w:right w:val="single" w:sz="4" w:space="0" w:color="auto"/>
            </w:tcBorders>
            <w:shd w:val="clear" w:color="auto" w:fill="auto"/>
            <w:vAlign w:val="center"/>
            <w:hideMark/>
          </w:tcPr>
          <w:p w14:paraId="3820FBD5" w14:textId="4D7FCB7B"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Parker et al. 2024</w:t>
            </w:r>
            <w:r w:rsidR="00411D40" w:rsidRPr="006D221B">
              <w:rPr>
                <w:rFonts w:ascii="Aptos" w:hAnsi="Aptos"/>
                <w:color w:val="000000"/>
                <w:sz w:val="18"/>
                <w:szCs w:val="18"/>
              </w:rPr>
              <w:fldChar w:fldCharType="begin"/>
            </w:r>
            <w:r w:rsidR="00411D40" w:rsidRPr="006D221B">
              <w:rPr>
                <w:rFonts w:ascii="Aptos" w:hAnsi="Aptos"/>
                <w:color w:val="000000"/>
                <w:sz w:val="18"/>
                <w:szCs w:val="18"/>
              </w:rPr>
              <w:instrText xml:space="preserve"> ADDIN ZOTERO_ITEM CSL_CITATION {"citationID":"ygivoq56","properties":{"formattedCitation":"\\super 15\\nosupersub{}","plainCitation":"15","noteIndex":0},"citationItems":[{"id":114,"uris":["http://zotero.org/users/15157634/items/H253JB6Z"],"itemData":{"id":114,"type":"article-journal","abstract":"This study updates previous estimates of the economic burden of diagnosed diabetes, with calculation of the health resource use and indirect costs attributable to diabetes in 2022.We combine the demographics of the U.S. population in 2022 with diabetes prevalence, from national survey data, epidemiological data, health care cost data, and economic data, into a Cost of Diabetes Economic Model to estimate the economic burden at the population and per capita levels. Health resource use and associated medical costs are analyzed by age, sex, race/ethnicity, comorbid condition, and health service category. Data sources include national surveys (2015–2020 or most recent available), Medicare standard analytic files (2020), and administrative claims data from 2018 to 2021 for a large commercially insured population in the U.S.The total estimated cost of diagnosed diabetes in the U.S. in 2022 is $412.9 billion, including $306.6 billion in direct medical costs and $106.3 billion in indirect costs attributable to diabetes. For cost categories analyzed, care for people diagnosed with diabetes accounts for 1 in 4 health care dollars in the U.S., 61% of which are attributable to diabetes. On average people with diabetes incur annual medical expenditures of $19,736, of which approximately $12,022 is attributable to diabetes. People diagnosed with diabetes, on average, have medical expenditures 2.6 times higher than what would be expected without diabetes. Glucose-lowering medications and diabetes supplies account for </w:instrText>
            </w:r>
            <w:r w:rsidR="00411D40" w:rsidRPr="006D221B">
              <w:rPr>
                <w:rFonts w:ascii="Cambria Math" w:hAnsi="Cambria Math" w:cs="Cambria Math"/>
                <w:color w:val="000000"/>
                <w:sz w:val="18"/>
                <w:szCs w:val="18"/>
              </w:rPr>
              <w:instrText>∼</w:instrText>
            </w:r>
            <w:r w:rsidR="00411D40" w:rsidRPr="006D221B">
              <w:rPr>
                <w:rFonts w:ascii="Aptos" w:hAnsi="Aptos"/>
                <w:color w:val="000000"/>
                <w:sz w:val="18"/>
                <w:szCs w:val="18"/>
              </w:rPr>
              <w:instrText xml:space="preserve">17% of the total direct medical costs attributable to diabetes. Major contributors to indirect costs are reduced employment due to disability ($28.3 billion), presenteeism ($35.8 billion), and lost productivity due to 338,526 premature deaths ($32.4 billion).The inflation-adjusted direct medical costs of diabetes are estimated to rise 7% from 2017 and 35% from 2012 calculations (stated in 2022 dollars). Following decades of steadily increasing prevalence of diabetes, the overall estimated prevalence in 2022 remains relatively stable in comparison to 2017. However, the absolute number of people with diabetes has grown and contributes to increased health care expenditures, particularly per capita spending on inpatient hospital stays and prescription medications. The enormous economic toll of diabetes continues to burden society through direct medical and indirect costs.","container-title":"Diabetes Care","DOI":"10.2337/dci23-0085","ISSN":"0149-5992","issue":"1","journalAbbreviation":"Diabetes Care","page":"26-43","source":"Silverchair","title":"Economic Costs of Diabetes in the U.S. in 2022","volume":"47","author":[{"family":"Parker","given":"Emily D."},{"family":"Lin","given":"Janice"},{"family":"Mahoney","given":"Troy"},{"family":"Ume","given":"Nwanneamaka"},{"family":"Yang","given":"Grace"},{"family":"Gabbay","given":"Robert A."},{"family":"ElSayed","given":"Nuha A."},{"family":"Bannuru","given":"Raveendhara R."}],"issued":{"date-parts":[["2023",11,1]]}}}],"schema":"https://github.com/citation-style-language/schema/raw/master/csl-citation.json"} </w:instrText>
            </w:r>
            <w:r w:rsidR="00411D40" w:rsidRPr="006D221B">
              <w:rPr>
                <w:rFonts w:ascii="Aptos" w:hAnsi="Aptos"/>
                <w:color w:val="000000"/>
                <w:sz w:val="18"/>
                <w:szCs w:val="18"/>
              </w:rPr>
              <w:fldChar w:fldCharType="separate"/>
            </w:r>
            <w:r w:rsidR="00411D40" w:rsidRPr="006D221B">
              <w:rPr>
                <w:rFonts w:ascii="Aptos" w:hAnsi="Aptos"/>
                <w:color w:val="000000"/>
                <w:sz w:val="18"/>
                <w:vertAlign w:val="superscript"/>
              </w:rPr>
              <w:t>15</w:t>
            </w:r>
            <w:r w:rsidR="00411D40" w:rsidRPr="006D221B">
              <w:rPr>
                <w:rFonts w:ascii="Aptos" w:hAnsi="Aptos"/>
                <w:color w:val="000000"/>
                <w:sz w:val="18"/>
                <w:szCs w:val="18"/>
              </w:rPr>
              <w:fldChar w:fldCharType="end"/>
            </w:r>
          </w:p>
        </w:tc>
      </w:tr>
      <w:tr w:rsidR="00E9042A" w:rsidRPr="00E9042A" w14:paraId="2CC9B28F" w14:textId="77777777" w:rsidTr="00AF7231">
        <w:trPr>
          <w:trHeight w:val="56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50775241"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unadjusted mean annual medical expenditure attributable to patients with HTN, 2021 dollars</w:t>
            </w:r>
          </w:p>
        </w:tc>
        <w:tc>
          <w:tcPr>
            <w:tcW w:w="5276" w:type="dxa"/>
            <w:tcBorders>
              <w:top w:val="nil"/>
              <w:left w:val="nil"/>
              <w:bottom w:val="single" w:sz="4" w:space="0" w:color="auto"/>
              <w:right w:val="single" w:sz="4" w:space="0" w:color="auto"/>
            </w:tcBorders>
            <w:shd w:val="clear" w:color="auto" w:fill="auto"/>
            <w:vAlign w:val="center"/>
            <w:hideMark/>
          </w:tcPr>
          <w:p w14:paraId="0C9B7649"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10200.69 (9988.58, 10412.81)</w:t>
            </w:r>
          </w:p>
        </w:tc>
        <w:tc>
          <w:tcPr>
            <w:tcW w:w="2070" w:type="dxa"/>
            <w:tcBorders>
              <w:top w:val="nil"/>
              <w:left w:val="nil"/>
              <w:bottom w:val="single" w:sz="4" w:space="0" w:color="auto"/>
              <w:right w:val="single" w:sz="4" w:space="0" w:color="auto"/>
            </w:tcBorders>
            <w:shd w:val="clear" w:color="auto" w:fill="auto"/>
            <w:vAlign w:val="center"/>
            <w:hideMark/>
          </w:tcPr>
          <w:p w14:paraId="43158CDC" w14:textId="4A74A561"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Kirkland et al. 2018</w:t>
            </w:r>
            <w:r w:rsidR="00411D40" w:rsidRPr="006D221B">
              <w:rPr>
                <w:rFonts w:ascii="Aptos" w:hAnsi="Aptos"/>
                <w:color w:val="000000"/>
                <w:sz w:val="18"/>
                <w:szCs w:val="18"/>
              </w:rPr>
              <w:fldChar w:fldCharType="begin"/>
            </w:r>
            <w:r w:rsidR="00411D40" w:rsidRPr="006D221B">
              <w:rPr>
                <w:rFonts w:ascii="Aptos" w:hAnsi="Aptos"/>
                <w:color w:val="000000"/>
                <w:sz w:val="18"/>
                <w:szCs w:val="18"/>
              </w:rPr>
              <w:instrText xml:space="preserve"> ADDIN ZOTERO_ITEM CSL_CITATION {"citationID":"iufHMR7p","properties":{"formattedCitation":"\\super 16\\nosupersub{}","plainCitation":"16","noteIndex":0},"citationItems":[{"id":117,"uris":["http://zotero.org/users/15157634/items/3QU394AJ"],"itemData":{"id":117,"type":"article-journal","abstract":"BackgroundOne in 3 US adults has high blood pressure, or hypertension. As prior projections suggest hypertension is the costliest of all cardiovascular diseases, it is important to define the current state of healthcare expenditures related to hypertension.Methods and ResultsWe used a nationally representative database, the Medical Expenditure Panel Survey, to calculate the estimated annual healthcare expenditure for patients with hypertension and to measure trends in expenditure longitudinally over a 12</w:instrText>
            </w:r>
            <w:r w:rsidR="00411D40" w:rsidRPr="006D221B">
              <w:rPr>
                <w:rFonts w:ascii="Cambria Math" w:hAnsi="Cambria Math" w:cs="Cambria Math"/>
                <w:color w:val="000000"/>
                <w:sz w:val="18"/>
                <w:szCs w:val="18"/>
              </w:rPr>
              <w:instrText>‐</w:instrText>
            </w:r>
            <w:r w:rsidR="00411D40" w:rsidRPr="006D221B">
              <w:rPr>
                <w:rFonts w:ascii="Aptos" w:hAnsi="Aptos"/>
                <w:color w:val="000000"/>
                <w:sz w:val="18"/>
                <w:szCs w:val="18"/>
              </w:rPr>
              <w:instrText>year period. A 2</w:instrText>
            </w:r>
            <w:r w:rsidR="00411D40" w:rsidRPr="006D221B">
              <w:rPr>
                <w:rFonts w:ascii="Cambria Math" w:hAnsi="Cambria Math" w:cs="Cambria Math"/>
                <w:color w:val="000000"/>
                <w:sz w:val="18"/>
                <w:szCs w:val="18"/>
              </w:rPr>
              <w:instrText>‐</w:instrText>
            </w:r>
            <w:r w:rsidR="00411D40" w:rsidRPr="006D221B">
              <w:rPr>
                <w:rFonts w:ascii="Aptos" w:hAnsi="Aptos"/>
                <w:color w:val="000000"/>
                <w:sz w:val="18"/>
                <w:szCs w:val="18"/>
              </w:rPr>
              <w:instrText xml:space="preserve">part model was used to estimate adjusted incremental expenditures for individuals with hypertension versus those without hypertension. Sex, race/ethnicity, education, insurance status, census region, income, marital status, Charlson Comorbidity Index, and year category were included as covariates. The 2003–2014 pooled data include a total sample of 224 920 adults, of whom 36.9% had hypertension. Unadjusted mean annual medical expenditure attributable to patients with hypertension was $9089. Relative to individuals without hypertension, individuals with hypertension had $1920 higher annual adjusted incremental expenditure, 2.5 times the inpatient cost, almost double the outpatient cost, and nearly triple the prescription medication expenditure. Based on the prevalence of hypertension in the United States, the estimated adjusted annual incremental cost is $131 billion per year higher for the hypertensive adult population compared with the nonhypertensive population.ConclusionsIndividuals with hypertension are estimated to face nearly $2000 higher annual healthcare expenditure compared with their nonhypertensive peers. This trend has been relatively stable over 12 years. Healthcare costs associated with hypertension account for about $131 billion. This warrants intense effort toward hypertension prevention and management.","container-title":"Journal of the American Heart Association","DOI":"10.1161/JAHA.118.008731","issue":"11","note":"publisher: Wiley","page":"e008731","source":"ahajournals.org (Atypon)","title":"Trends in Healthcare Expenditures Among US Adults With Hypertension: National Estimates, 2003–2014","title-short":"Trends in Healthcare Expenditures Among US Adults With Hypertension","volume":"7","author":[{"family":"Kirkland","given":"Elizabeth B."},{"family":"Heincelman","given":"Marc"},{"family":"Bishu","given":"Kinfe G."},{"family":"Schumann","given":"Samuel O."},{"family":"Schreiner","given":"Andrew"},{"family":"Axon","given":"R. Neal"},{"family":"Mauldin","given":"Patrick D."},{"family":"Moran","given":"William P."}],"issued":{"date-parts":[["2018",6,5]]}}}],"schema":"https://github.com/citation-style-language/schema/raw/master/csl-citation.json"} </w:instrText>
            </w:r>
            <w:r w:rsidR="00411D40" w:rsidRPr="006D221B">
              <w:rPr>
                <w:rFonts w:ascii="Aptos" w:hAnsi="Aptos"/>
                <w:color w:val="000000"/>
                <w:sz w:val="18"/>
                <w:szCs w:val="18"/>
              </w:rPr>
              <w:fldChar w:fldCharType="separate"/>
            </w:r>
            <w:r w:rsidR="00411D40" w:rsidRPr="006D221B">
              <w:rPr>
                <w:rFonts w:ascii="Aptos" w:hAnsi="Aptos"/>
                <w:color w:val="000000"/>
                <w:sz w:val="18"/>
                <w:vertAlign w:val="superscript"/>
              </w:rPr>
              <w:t>16</w:t>
            </w:r>
            <w:r w:rsidR="00411D40" w:rsidRPr="006D221B">
              <w:rPr>
                <w:rFonts w:ascii="Aptos" w:hAnsi="Aptos"/>
                <w:color w:val="000000"/>
                <w:sz w:val="18"/>
                <w:szCs w:val="18"/>
              </w:rPr>
              <w:fldChar w:fldCharType="end"/>
            </w:r>
          </w:p>
        </w:tc>
      </w:tr>
      <w:tr w:rsidR="00E9042A" w:rsidRPr="00E9042A" w14:paraId="5FFA7783"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50D3DB3C" w14:textId="77777777" w:rsidR="00E9042A" w:rsidRPr="00E9042A" w:rsidRDefault="00E9042A" w:rsidP="00AF7231">
            <w:pPr>
              <w:rPr>
                <w:rFonts w:ascii="Aptos" w:hAnsi="Aptos"/>
                <w:color w:val="000000"/>
                <w:sz w:val="18"/>
                <w:szCs w:val="18"/>
              </w:rPr>
            </w:pPr>
            <w:r w:rsidRPr="00E9042A">
              <w:rPr>
                <w:rFonts w:ascii="Aptos" w:hAnsi="Aptos"/>
                <w:color w:val="000000"/>
                <w:sz w:val="18"/>
                <w:szCs w:val="18"/>
              </w:rPr>
              <w:t xml:space="preserve">Cost of </w:t>
            </w:r>
            <w:proofErr w:type="gramStart"/>
            <w:r w:rsidRPr="00E9042A">
              <w:rPr>
                <w:rFonts w:ascii="Aptos" w:hAnsi="Aptos"/>
                <w:color w:val="000000"/>
                <w:sz w:val="18"/>
                <w:szCs w:val="18"/>
              </w:rPr>
              <w:t>Life Style</w:t>
            </w:r>
            <w:proofErr w:type="gramEnd"/>
            <w:r w:rsidRPr="00E9042A">
              <w:rPr>
                <w:rFonts w:ascii="Aptos" w:hAnsi="Aptos"/>
                <w:color w:val="000000"/>
                <w:sz w:val="18"/>
                <w:szCs w:val="18"/>
              </w:rPr>
              <w:t xml:space="preserve"> Therapy</w:t>
            </w:r>
          </w:p>
        </w:tc>
        <w:tc>
          <w:tcPr>
            <w:tcW w:w="5276" w:type="dxa"/>
            <w:tcBorders>
              <w:top w:val="nil"/>
              <w:left w:val="nil"/>
              <w:bottom w:val="single" w:sz="4" w:space="0" w:color="auto"/>
              <w:right w:val="single" w:sz="4" w:space="0" w:color="auto"/>
            </w:tcBorders>
            <w:shd w:val="clear" w:color="auto" w:fill="auto"/>
            <w:vAlign w:val="center"/>
            <w:hideMark/>
          </w:tcPr>
          <w:p w14:paraId="6A8E6AFB"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0</w:t>
            </w:r>
          </w:p>
        </w:tc>
        <w:tc>
          <w:tcPr>
            <w:tcW w:w="2070" w:type="dxa"/>
            <w:tcBorders>
              <w:top w:val="nil"/>
              <w:left w:val="nil"/>
              <w:bottom w:val="single" w:sz="4" w:space="0" w:color="auto"/>
              <w:right w:val="single" w:sz="4" w:space="0" w:color="auto"/>
            </w:tcBorders>
            <w:shd w:val="clear" w:color="auto" w:fill="auto"/>
            <w:vAlign w:val="center"/>
            <w:hideMark/>
          </w:tcPr>
          <w:p w14:paraId="74AB0562" w14:textId="77777777"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Assumption</w:t>
            </w:r>
          </w:p>
        </w:tc>
      </w:tr>
      <w:tr w:rsidR="00E9042A" w:rsidRPr="00E9042A" w14:paraId="63CE5753"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26C7C09F" w14:textId="43E239E5" w:rsidR="00E9042A" w:rsidRPr="00E9042A" w:rsidRDefault="00E9042A" w:rsidP="00AF7231">
            <w:pPr>
              <w:rPr>
                <w:rFonts w:ascii="Aptos" w:hAnsi="Aptos"/>
                <w:color w:val="000000"/>
                <w:sz w:val="18"/>
                <w:szCs w:val="18"/>
              </w:rPr>
            </w:pPr>
            <w:r w:rsidRPr="00E9042A">
              <w:rPr>
                <w:rFonts w:ascii="Aptos" w:hAnsi="Aptos"/>
                <w:color w:val="000000"/>
                <w:sz w:val="18"/>
                <w:szCs w:val="18"/>
              </w:rPr>
              <w:t xml:space="preserve">Cost of </w:t>
            </w:r>
            <w:proofErr w:type="spellStart"/>
            <w:r w:rsidRPr="00E9042A">
              <w:rPr>
                <w:rFonts w:ascii="Aptos" w:hAnsi="Aptos"/>
                <w:color w:val="000000"/>
                <w:sz w:val="18"/>
                <w:szCs w:val="18"/>
              </w:rPr>
              <w:t>Semaglutide</w:t>
            </w:r>
            <w:proofErr w:type="spellEnd"/>
          </w:p>
        </w:tc>
        <w:tc>
          <w:tcPr>
            <w:tcW w:w="5276" w:type="dxa"/>
            <w:tcBorders>
              <w:top w:val="nil"/>
              <w:left w:val="nil"/>
              <w:bottom w:val="single" w:sz="4" w:space="0" w:color="auto"/>
              <w:right w:val="single" w:sz="4" w:space="0" w:color="auto"/>
            </w:tcBorders>
            <w:shd w:val="clear" w:color="auto" w:fill="auto"/>
            <w:vAlign w:val="center"/>
            <w:hideMark/>
          </w:tcPr>
          <w:p w14:paraId="58355A0B"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13618</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11CC4060" w14:textId="5E2D187E" w:rsidR="00E9042A" w:rsidRPr="00E9042A" w:rsidRDefault="00E9042A" w:rsidP="00AF7231">
            <w:pPr>
              <w:jc w:val="center"/>
              <w:rPr>
                <w:rFonts w:ascii="Aptos" w:hAnsi="Aptos"/>
                <w:color w:val="000000"/>
                <w:sz w:val="18"/>
                <w:szCs w:val="18"/>
              </w:rPr>
            </w:pPr>
            <w:r w:rsidRPr="00E9042A">
              <w:rPr>
                <w:rFonts w:ascii="Aptos" w:hAnsi="Aptos"/>
                <w:color w:val="000000"/>
                <w:sz w:val="18"/>
                <w:szCs w:val="18"/>
              </w:rPr>
              <w:t>ICER report</w:t>
            </w:r>
            <w:r w:rsidR="00365FEF" w:rsidRPr="006D221B">
              <w:rPr>
                <w:rFonts w:ascii="Aptos" w:hAnsi="Aptos"/>
                <w:color w:val="000000"/>
                <w:sz w:val="18"/>
                <w:szCs w:val="18"/>
              </w:rPr>
              <w:fldChar w:fldCharType="begin"/>
            </w:r>
            <w:r w:rsidR="00365FEF" w:rsidRPr="006D221B">
              <w:rPr>
                <w:rFonts w:ascii="Aptos" w:hAnsi="Aptos"/>
                <w:color w:val="000000"/>
                <w:sz w:val="18"/>
                <w:szCs w:val="18"/>
              </w:rPr>
              <w:instrText xml:space="preserve"> ADDIN ZOTERO_ITEM CSL_CITATION {"citationID":"RzAyMBrZ","properties":{"formattedCitation":"\\super 9\\nosupersub{}","plainCitation":"9","noteIndex":0},"citationItems":[{"id":135,"uris":["http://zotero.org/users/15157634/items/PWD7RXD8"],"itemData":{"id":135,"type":"article-journal","container-title":"Journal of Managed Care &amp; Specialty Pharmacy","DOI":"10.18553/jmcp.2023.29.5.569","ISSN":"2376-0540, 2376-1032","issue":"5","journalAbbreviation":"JMCP","language":"en","page":"569-575","source":"DOI.org (Crossref)","title":"Medications for obesity management: Effectiveness and value: A summary from the Institute for Clinical and Economic Review’s New England Comparative Effectiveness Public Advisory Council","title-short":"Medications for obesity management","volume":"29","author":[{"family":"Atlas","given":"Steven J"},{"family":"Kim","given":"Kibum"},{"family":"Nhan","given":"Emily"},{"family":"Touchette","given":"Daniel R"},{"family":"Moradi","given":"Ashton"},{"family":"Agboola","given":"Foluso"},{"family":"Rind","given":"David M"},{"family":"Beaudoin","given":"Francesca L"},{"family":"Pearson","given":"Steven D"}],"issued":{"date-parts":[["2023",5]]}}}],"schema":"https://github.com/citation-style-language/schema/raw/master/csl-citation.json"} </w:instrText>
            </w:r>
            <w:r w:rsidR="00365FEF" w:rsidRPr="006D221B">
              <w:rPr>
                <w:rFonts w:ascii="Aptos" w:hAnsi="Aptos"/>
                <w:color w:val="000000"/>
                <w:sz w:val="18"/>
                <w:szCs w:val="18"/>
              </w:rPr>
              <w:fldChar w:fldCharType="separate"/>
            </w:r>
            <w:r w:rsidR="00365FEF" w:rsidRPr="006D221B">
              <w:rPr>
                <w:rFonts w:ascii="Aptos" w:hAnsi="Aptos"/>
                <w:color w:val="000000"/>
                <w:sz w:val="18"/>
                <w:vertAlign w:val="superscript"/>
              </w:rPr>
              <w:t>9</w:t>
            </w:r>
            <w:r w:rsidR="00365FEF" w:rsidRPr="006D221B">
              <w:rPr>
                <w:rFonts w:ascii="Aptos" w:hAnsi="Aptos"/>
                <w:color w:val="000000"/>
                <w:sz w:val="18"/>
                <w:szCs w:val="18"/>
              </w:rPr>
              <w:fldChar w:fldCharType="end"/>
            </w:r>
          </w:p>
        </w:tc>
      </w:tr>
      <w:tr w:rsidR="00E9042A" w:rsidRPr="00E9042A" w14:paraId="5EF1F3F8"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7DF8EAAF" w14:textId="58D3D53D" w:rsidR="00E9042A" w:rsidRPr="00E9042A" w:rsidRDefault="00E9042A" w:rsidP="00AF7231">
            <w:pPr>
              <w:rPr>
                <w:rFonts w:ascii="Aptos" w:hAnsi="Aptos"/>
                <w:color w:val="000000"/>
                <w:sz w:val="18"/>
                <w:szCs w:val="18"/>
              </w:rPr>
            </w:pPr>
            <w:r w:rsidRPr="00E9042A">
              <w:rPr>
                <w:rFonts w:ascii="Aptos" w:hAnsi="Aptos"/>
                <w:color w:val="000000"/>
                <w:sz w:val="18"/>
                <w:szCs w:val="18"/>
              </w:rPr>
              <w:t>Cost of Liraglutide</w:t>
            </w:r>
          </w:p>
        </w:tc>
        <w:tc>
          <w:tcPr>
            <w:tcW w:w="5276" w:type="dxa"/>
            <w:tcBorders>
              <w:top w:val="nil"/>
              <w:left w:val="nil"/>
              <w:bottom w:val="single" w:sz="4" w:space="0" w:color="auto"/>
              <w:right w:val="single" w:sz="4" w:space="0" w:color="auto"/>
            </w:tcBorders>
            <w:shd w:val="clear" w:color="auto" w:fill="auto"/>
            <w:vAlign w:val="center"/>
            <w:hideMark/>
          </w:tcPr>
          <w:p w14:paraId="51502C1E"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11309</w:t>
            </w:r>
          </w:p>
        </w:tc>
        <w:tc>
          <w:tcPr>
            <w:tcW w:w="2070" w:type="dxa"/>
            <w:vMerge/>
            <w:tcBorders>
              <w:top w:val="nil"/>
              <w:left w:val="single" w:sz="4" w:space="0" w:color="auto"/>
              <w:bottom w:val="single" w:sz="4" w:space="0" w:color="auto"/>
              <w:right w:val="single" w:sz="4" w:space="0" w:color="auto"/>
            </w:tcBorders>
            <w:vAlign w:val="center"/>
            <w:hideMark/>
          </w:tcPr>
          <w:p w14:paraId="0BB94DFF" w14:textId="77777777" w:rsidR="00E9042A" w:rsidRPr="00E9042A" w:rsidRDefault="00E9042A" w:rsidP="00AF7231">
            <w:pPr>
              <w:jc w:val="center"/>
              <w:rPr>
                <w:rFonts w:ascii="Aptos" w:hAnsi="Aptos"/>
                <w:color w:val="000000"/>
                <w:sz w:val="18"/>
                <w:szCs w:val="18"/>
              </w:rPr>
            </w:pPr>
          </w:p>
        </w:tc>
      </w:tr>
      <w:tr w:rsidR="00E9042A" w:rsidRPr="00E9042A" w14:paraId="73ACC566"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0329641D" w14:textId="51A87733" w:rsidR="00E9042A" w:rsidRPr="00E9042A" w:rsidRDefault="00E9042A" w:rsidP="00AF7231">
            <w:pPr>
              <w:rPr>
                <w:rFonts w:ascii="Aptos" w:hAnsi="Aptos"/>
                <w:color w:val="000000"/>
                <w:sz w:val="18"/>
                <w:szCs w:val="18"/>
              </w:rPr>
            </w:pPr>
            <w:r w:rsidRPr="00E9042A">
              <w:rPr>
                <w:rFonts w:ascii="Aptos" w:hAnsi="Aptos"/>
                <w:color w:val="000000"/>
                <w:sz w:val="18"/>
                <w:szCs w:val="18"/>
              </w:rPr>
              <w:t>Cost of Phentermine/Topiramate</w:t>
            </w:r>
          </w:p>
        </w:tc>
        <w:tc>
          <w:tcPr>
            <w:tcW w:w="5276" w:type="dxa"/>
            <w:tcBorders>
              <w:top w:val="nil"/>
              <w:left w:val="nil"/>
              <w:bottom w:val="single" w:sz="4" w:space="0" w:color="auto"/>
              <w:right w:val="single" w:sz="4" w:space="0" w:color="auto"/>
            </w:tcBorders>
            <w:shd w:val="clear" w:color="auto" w:fill="auto"/>
            <w:vAlign w:val="center"/>
            <w:hideMark/>
          </w:tcPr>
          <w:p w14:paraId="65F2590A"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1355</w:t>
            </w:r>
          </w:p>
        </w:tc>
        <w:tc>
          <w:tcPr>
            <w:tcW w:w="2070" w:type="dxa"/>
            <w:vMerge/>
            <w:tcBorders>
              <w:top w:val="nil"/>
              <w:left w:val="single" w:sz="4" w:space="0" w:color="auto"/>
              <w:bottom w:val="single" w:sz="4" w:space="0" w:color="auto"/>
              <w:right w:val="single" w:sz="4" w:space="0" w:color="auto"/>
            </w:tcBorders>
            <w:vAlign w:val="center"/>
            <w:hideMark/>
          </w:tcPr>
          <w:p w14:paraId="1D4ED0CB" w14:textId="77777777" w:rsidR="00E9042A" w:rsidRPr="00E9042A" w:rsidRDefault="00E9042A" w:rsidP="00AF7231">
            <w:pPr>
              <w:jc w:val="center"/>
              <w:rPr>
                <w:rFonts w:ascii="Aptos" w:hAnsi="Aptos"/>
                <w:color w:val="000000"/>
                <w:sz w:val="18"/>
                <w:szCs w:val="18"/>
              </w:rPr>
            </w:pPr>
          </w:p>
        </w:tc>
      </w:tr>
      <w:tr w:rsidR="00E9042A" w:rsidRPr="00E9042A" w14:paraId="10685075" w14:textId="77777777" w:rsidTr="00AF7231">
        <w:trPr>
          <w:trHeight w:val="320"/>
        </w:trPr>
        <w:tc>
          <w:tcPr>
            <w:tcW w:w="2009" w:type="dxa"/>
            <w:tcBorders>
              <w:top w:val="nil"/>
              <w:left w:val="single" w:sz="4" w:space="0" w:color="auto"/>
              <w:bottom w:val="single" w:sz="4" w:space="0" w:color="auto"/>
              <w:right w:val="single" w:sz="4" w:space="0" w:color="auto"/>
            </w:tcBorders>
            <w:shd w:val="clear" w:color="auto" w:fill="auto"/>
            <w:vAlign w:val="center"/>
            <w:hideMark/>
          </w:tcPr>
          <w:p w14:paraId="461DC919" w14:textId="46F1CAE6" w:rsidR="00E9042A" w:rsidRPr="00E9042A" w:rsidRDefault="00E9042A" w:rsidP="00AF7231">
            <w:pPr>
              <w:rPr>
                <w:rFonts w:ascii="Aptos" w:hAnsi="Aptos"/>
                <w:color w:val="000000"/>
                <w:sz w:val="18"/>
                <w:szCs w:val="18"/>
              </w:rPr>
            </w:pPr>
            <w:r w:rsidRPr="00E9042A">
              <w:rPr>
                <w:rFonts w:ascii="Aptos" w:hAnsi="Aptos"/>
                <w:color w:val="000000"/>
                <w:sz w:val="18"/>
                <w:szCs w:val="18"/>
              </w:rPr>
              <w:t>Cost of Bupropion/Naltrexone</w:t>
            </w:r>
          </w:p>
        </w:tc>
        <w:tc>
          <w:tcPr>
            <w:tcW w:w="5276" w:type="dxa"/>
            <w:tcBorders>
              <w:top w:val="nil"/>
              <w:left w:val="nil"/>
              <w:bottom w:val="single" w:sz="4" w:space="0" w:color="auto"/>
              <w:right w:val="single" w:sz="4" w:space="0" w:color="auto"/>
            </w:tcBorders>
            <w:shd w:val="clear" w:color="auto" w:fill="auto"/>
            <w:vAlign w:val="center"/>
            <w:hideMark/>
          </w:tcPr>
          <w:p w14:paraId="7FB8A543" w14:textId="77777777" w:rsidR="00E9042A" w:rsidRPr="00E9042A" w:rsidRDefault="00E9042A" w:rsidP="00AF7231">
            <w:pPr>
              <w:jc w:val="right"/>
              <w:rPr>
                <w:rFonts w:ascii="Aptos" w:hAnsi="Aptos"/>
                <w:color w:val="000000"/>
                <w:sz w:val="18"/>
                <w:szCs w:val="18"/>
              </w:rPr>
            </w:pPr>
            <w:r w:rsidRPr="00E9042A">
              <w:rPr>
                <w:rFonts w:ascii="Aptos" w:hAnsi="Aptos"/>
                <w:color w:val="000000"/>
                <w:sz w:val="18"/>
                <w:szCs w:val="18"/>
              </w:rPr>
              <w:t>2034</w:t>
            </w:r>
          </w:p>
        </w:tc>
        <w:tc>
          <w:tcPr>
            <w:tcW w:w="2070" w:type="dxa"/>
            <w:vMerge/>
            <w:tcBorders>
              <w:top w:val="nil"/>
              <w:left w:val="single" w:sz="4" w:space="0" w:color="auto"/>
              <w:bottom w:val="single" w:sz="4" w:space="0" w:color="auto"/>
              <w:right w:val="single" w:sz="4" w:space="0" w:color="auto"/>
            </w:tcBorders>
            <w:vAlign w:val="center"/>
            <w:hideMark/>
          </w:tcPr>
          <w:p w14:paraId="69A8EBBB" w14:textId="77777777" w:rsidR="00E9042A" w:rsidRPr="00E9042A" w:rsidRDefault="00E9042A" w:rsidP="00AF7231">
            <w:pPr>
              <w:jc w:val="center"/>
              <w:rPr>
                <w:rFonts w:ascii="Aptos" w:hAnsi="Aptos"/>
                <w:color w:val="000000"/>
                <w:sz w:val="18"/>
                <w:szCs w:val="18"/>
              </w:rPr>
            </w:pPr>
          </w:p>
        </w:tc>
      </w:tr>
    </w:tbl>
    <w:p w14:paraId="51012098" w14:textId="77777777" w:rsidR="003E5284" w:rsidRPr="006D221B" w:rsidRDefault="003E5284">
      <w:pPr>
        <w:rPr>
          <w:rFonts w:ascii="Aptos" w:hAnsi="Aptos"/>
        </w:rPr>
      </w:pPr>
    </w:p>
    <w:tbl>
      <w:tblPr>
        <w:tblW w:w="10500" w:type="dxa"/>
        <w:tblLook w:val="04A0" w:firstRow="1" w:lastRow="0" w:firstColumn="1" w:lastColumn="0" w:noHBand="0" w:noVBand="1"/>
      </w:tblPr>
      <w:tblGrid>
        <w:gridCol w:w="2764"/>
        <w:gridCol w:w="2688"/>
        <w:gridCol w:w="1494"/>
        <w:gridCol w:w="1494"/>
        <w:gridCol w:w="2060"/>
      </w:tblGrid>
      <w:tr w:rsidR="004B787F" w:rsidRPr="004B787F" w14:paraId="34EBE943" w14:textId="77777777" w:rsidTr="004B787F">
        <w:trPr>
          <w:trHeight w:val="320"/>
        </w:trPr>
        <w:tc>
          <w:tcPr>
            <w:tcW w:w="8440" w:type="dxa"/>
            <w:gridSpan w:val="4"/>
            <w:tcBorders>
              <w:top w:val="nil"/>
              <w:left w:val="nil"/>
              <w:bottom w:val="nil"/>
              <w:right w:val="nil"/>
            </w:tcBorders>
            <w:shd w:val="clear" w:color="auto" w:fill="auto"/>
            <w:noWrap/>
            <w:vAlign w:val="bottom"/>
            <w:hideMark/>
          </w:tcPr>
          <w:p w14:paraId="1CA71BD1" w14:textId="77777777" w:rsidR="00F73130" w:rsidRDefault="00F73130" w:rsidP="004B787F">
            <w:pPr>
              <w:rPr>
                <w:rFonts w:ascii="Aptos" w:hAnsi="Aptos"/>
                <w:color w:val="000000"/>
              </w:rPr>
            </w:pPr>
          </w:p>
          <w:p w14:paraId="6397E57C" w14:textId="77777777" w:rsidR="004D2C8B" w:rsidRDefault="004D2C8B" w:rsidP="004B787F">
            <w:pPr>
              <w:rPr>
                <w:rFonts w:ascii="Aptos" w:hAnsi="Aptos"/>
                <w:color w:val="000000"/>
              </w:rPr>
            </w:pPr>
          </w:p>
          <w:p w14:paraId="5518ACE8" w14:textId="77777777" w:rsidR="004D2C8B" w:rsidRDefault="004D2C8B" w:rsidP="004B787F">
            <w:pPr>
              <w:rPr>
                <w:rFonts w:ascii="Aptos" w:hAnsi="Aptos"/>
                <w:color w:val="000000"/>
              </w:rPr>
            </w:pPr>
          </w:p>
          <w:p w14:paraId="699CD861" w14:textId="77777777" w:rsidR="004D2C8B" w:rsidRDefault="004D2C8B" w:rsidP="004B787F">
            <w:pPr>
              <w:rPr>
                <w:rFonts w:ascii="Aptos" w:hAnsi="Aptos"/>
                <w:color w:val="000000"/>
              </w:rPr>
            </w:pPr>
          </w:p>
          <w:p w14:paraId="65B11028" w14:textId="77777777" w:rsidR="004D2C8B" w:rsidRDefault="004D2C8B" w:rsidP="004B787F">
            <w:pPr>
              <w:rPr>
                <w:rFonts w:ascii="Aptos" w:hAnsi="Aptos"/>
                <w:color w:val="000000"/>
              </w:rPr>
            </w:pPr>
          </w:p>
          <w:p w14:paraId="1F4FF1FC" w14:textId="77777777" w:rsidR="00F73130" w:rsidRDefault="00F73130" w:rsidP="004B787F">
            <w:pPr>
              <w:rPr>
                <w:rFonts w:ascii="Aptos" w:hAnsi="Aptos"/>
                <w:color w:val="000000"/>
              </w:rPr>
            </w:pPr>
          </w:p>
          <w:p w14:paraId="3BDFA1B8" w14:textId="540D5A59" w:rsidR="008E4A45" w:rsidRPr="004B787F" w:rsidRDefault="004B787F" w:rsidP="004B787F">
            <w:pPr>
              <w:rPr>
                <w:rFonts w:ascii="Aptos" w:hAnsi="Aptos"/>
                <w:color w:val="000000"/>
              </w:rPr>
            </w:pPr>
            <w:r w:rsidRPr="004B787F">
              <w:rPr>
                <w:rFonts w:ascii="Aptos" w:hAnsi="Aptos"/>
                <w:color w:val="000000"/>
              </w:rPr>
              <w:lastRenderedPageBreak/>
              <w:t xml:space="preserve">Table </w:t>
            </w:r>
            <w:r w:rsidRPr="006D221B">
              <w:rPr>
                <w:rFonts w:ascii="Aptos" w:hAnsi="Aptos"/>
                <w:color w:val="000000"/>
              </w:rPr>
              <w:t>2</w:t>
            </w:r>
            <w:r w:rsidRPr="004B787F">
              <w:rPr>
                <w:rFonts w:ascii="Aptos" w:hAnsi="Aptos"/>
                <w:color w:val="000000"/>
              </w:rPr>
              <w:t>. Estimated</w:t>
            </w:r>
            <w:r w:rsidR="008E4A45">
              <w:rPr>
                <w:rFonts w:ascii="Aptos" w:hAnsi="Aptos"/>
                <w:color w:val="000000"/>
              </w:rPr>
              <w:t xml:space="preserve"> l</w:t>
            </w:r>
            <w:r w:rsidRPr="004B787F">
              <w:rPr>
                <w:rFonts w:ascii="Aptos" w:hAnsi="Aptos"/>
                <w:color w:val="000000"/>
              </w:rPr>
              <w:t xml:space="preserve">ifetime </w:t>
            </w:r>
            <w:r w:rsidR="008E4A45">
              <w:rPr>
                <w:rFonts w:ascii="Aptos" w:hAnsi="Aptos"/>
                <w:color w:val="000000"/>
              </w:rPr>
              <w:t>Costs ($), quality-adjusted life years (QALYs), and incremental c</w:t>
            </w:r>
            <w:r w:rsidRPr="004B787F">
              <w:rPr>
                <w:rFonts w:ascii="Aptos" w:hAnsi="Aptos"/>
                <w:color w:val="000000"/>
              </w:rPr>
              <w:t>ost-effectiveness</w:t>
            </w:r>
            <w:r w:rsidR="008E4A45">
              <w:rPr>
                <w:rFonts w:ascii="Aptos" w:hAnsi="Aptos"/>
                <w:color w:val="000000"/>
              </w:rPr>
              <w:t xml:space="preserve"> ratios ($/QALY)</w:t>
            </w:r>
            <w:r w:rsidRPr="004B787F">
              <w:rPr>
                <w:rFonts w:ascii="Aptos" w:hAnsi="Aptos"/>
                <w:color w:val="000000"/>
              </w:rPr>
              <w:t xml:space="preserve"> of weight loss medications</w:t>
            </w:r>
            <w:r w:rsidR="008E4A45">
              <w:rPr>
                <w:rFonts w:ascii="Aptos" w:hAnsi="Aptos"/>
                <w:color w:val="000000"/>
              </w:rPr>
              <w:t xml:space="preserve"> for base-case analysis</w:t>
            </w:r>
          </w:p>
        </w:tc>
        <w:tc>
          <w:tcPr>
            <w:tcW w:w="2060" w:type="dxa"/>
            <w:tcBorders>
              <w:top w:val="nil"/>
              <w:left w:val="nil"/>
              <w:bottom w:val="nil"/>
              <w:right w:val="nil"/>
            </w:tcBorders>
            <w:shd w:val="clear" w:color="auto" w:fill="auto"/>
            <w:noWrap/>
            <w:vAlign w:val="bottom"/>
            <w:hideMark/>
          </w:tcPr>
          <w:p w14:paraId="0D4BEDBB" w14:textId="77777777" w:rsidR="004B787F" w:rsidRPr="004B787F" w:rsidRDefault="004B787F" w:rsidP="004B787F">
            <w:pPr>
              <w:rPr>
                <w:rFonts w:ascii="Aptos" w:hAnsi="Aptos"/>
                <w:color w:val="000000"/>
              </w:rPr>
            </w:pPr>
          </w:p>
        </w:tc>
      </w:tr>
      <w:tr w:rsidR="004B787F" w:rsidRPr="004B787F" w14:paraId="1215D3B0" w14:textId="77777777" w:rsidTr="004B787F">
        <w:trPr>
          <w:trHeight w:val="320"/>
        </w:trPr>
        <w:tc>
          <w:tcPr>
            <w:tcW w:w="2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0905F" w14:textId="77777777" w:rsidR="004B787F" w:rsidRPr="004B787F" w:rsidRDefault="004B787F" w:rsidP="004B787F">
            <w:pPr>
              <w:rPr>
                <w:rFonts w:ascii="Aptos" w:hAnsi="Aptos"/>
                <w:b/>
                <w:bCs/>
                <w:color w:val="000000"/>
                <w:sz w:val="20"/>
                <w:szCs w:val="20"/>
              </w:rPr>
            </w:pPr>
            <w:r w:rsidRPr="004B787F">
              <w:rPr>
                <w:rFonts w:ascii="Aptos" w:hAnsi="Aptos"/>
                <w:b/>
                <w:bCs/>
                <w:color w:val="000000"/>
                <w:sz w:val="20"/>
                <w:szCs w:val="20"/>
              </w:rPr>
              <w:t xml:space="preserve">Strategy              </w:t>
            </w:r>
          </w:p>
        </w:tc>
        <w:tc>
          <w:tcPr>
            <w:tcW w:w="2688" w:type="dxa"/>
            <w:tcBorders>
              <w:top w:val="single" w:sz="4" w:space="0" w:color="auto"/>
              <w:left w:val="nil"/>
              <w:bottom w:val="single" w:sz="4" w:space="0" w:color="auto"/>
              <w:right w:val="single" w:sz="4" w:space="0" w:color="auto"/>
            </w:tcBorders>
            <w:shd w:val="clear" w:color="auto" w:fill="auto"/>
            <w:noWrap/>
            <w:vAlign w:val="bottom"/>
            <w:hideMark/>
          </w:tcPr>
          <w:p w14:paraId="688F6EF7" w14:textId="77777777" w:rsidR="004B787F" w:rsidRPr="004B787F" w:rsidRDefault="004B787F" w:rsidP="004B787F">
            <w:pPr>
              <w:rPr>
                <w:rFonts w:ascii="Aptos" w:hAnsi="Aptos"/>
                <w:b/>
                <w:bCs/>
                <w:color w:val="000000"/>
                <w:sz w:val="20"/>
                <w:szCs w:val="20"/>
              </w:rPr>
            </w:pPr>
            <w:r w:rsidRPr="004B787F">
              <w:rPr>
                <w:rFonts w:ascii="Aptos" w:hAnsi="Aptos"/>
                <w:b/>
                <w:bCs/>
                <w:color w:val="000000"/>
                <w:sz w:val="20"/>
                <w:szCs w:val="20"/>
              </w:rPr>
              <w:t xml:space="preserve">Cost               </w:t>
            </w:r>
          </w:p>
        </w:tc>
        <w:tc>
          <w:tcPr>
            <w:tcW w:w="1494" w:type="dxa"/>
            <w:tcBorders>
              <w:top w:val="single" w:sz="4" w:space="0" w:color="auto"/>
              <w:left w:val="nil"/>
              <w:bottom w:val="single" w:sz="4" w:space="0" w:color="auto"/>
              <w:right w:val="single" w:sz="4" w:space="0" w:color="auto"/>
            </w:tcBorders>
            <w:shd w:val="clear" w:color="auto" w:fill="auto"/>
            <w:noWrap/>
            <w:vAlign w:val="bottom"/>
            <w:hideMark/>
          </w:tcPr>
          <w:p w14:paraId="61A0ED7E" w14:textId="77777777" w:rsidR="004B787F" w:rsidRPr="004B787F" w:rsidRDefault="004B787F" w:rsidP="004B787F">
            <w:pPr>
              <w:rPr>
                <w:rFonts w:ascii="Aptos" w:hAnsi="Aptos"/>
                <w:b/>
                <w:bCs/>
                <w:color w:val="000000"/>
                <w:sz w:val="20"/>
                <w:szCs w:val="20"/>
              </w:rPr>
            </w:pPr>
            <w:r w:rsidRPr="004B787F">
              <w:rPr>
                <w:rFonts w:ascii="Aptos" w:hAnsi="Aptos"/>
                <w:b/>
                <w:bCs/>
                <w:color w:val="000000"/>
                <w:sz w:val="20"/>
                <w:szCs w:val="20"/>
              </w:rPr>
              <w:t xml:space="preserve">QALE        </w:t>
            </w:r>
          </w:p>
        </w:tc>
        <w:tc>
          <w:tcPr>
            <w:tcW w:w="1494" w:type="dxa"/>
            <w:tcBorders>
              <w:top w:val="single" w:sz="4" w:space="0" w:color="auto"/>
              <w:left w:val="nil"/>
              <w:bottom w:val="single" w:sz="4" w:space="0" w:color="auto"/>
              <w:right w:val="single" w:sz="4" w:space="0" w:color="auto"/>
            </w:tcBorders>
            <w:shd w:val="clear" w:color="auto" w:fill="auto"/>
            <w:noWrap/>
            <w:vAlign w:val="bottom"/>
            <w:hideMark/>
          </w:tcPr>
          <w:p w14:paraId="75C3ECF6" w14:textId="77777777" w:rsidR="004B787F" w:rsidRPr="004B787F" w:rsidRDefault="004B787F" w:rsidP="004B787F">
            <w:pPr>
              <w:rPr>
                <w:rFonts w:ascii="Aptos" w:hAnsi="Aptos"/>
                <w:b/>
                <w:bCs/>
                <w:color w:val="000000"/>
                <w:sz w:val="20"/>
                <w:szCs w:val="20"/>
              </w:rPr>
            </w:pPr>
            <w:r w:rsidRPr="004B787F">
              <w:rPr>
                <w:rFonts w:ascii="Aptos" w:hAnsi="Aptos"/>
                <w:b/>
                <w:bCs/>
                <w:color w:val="000000"/>
                <w:sz w:val="20"/>
                <w:szCs w:val="20"/>
              </w:rPr>
              <w:t xml:space="preserve">ICER       </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786692AC" w14:textId="77777777" w:rsidR="004B787F" w:rsidRPr="004B787F" w:rsidRDefault="004B787F" w:rsidP="004B787F">
            <w:pPr>
              <w:rPr>
                <w:rFonts w:ascii="Aptos" w:hAnsi="Aptos"/>
                <w:b/>
                <w:bCs/>
                <w:color w:val="000000"/>
                <w:sz w:val="20"/>
                <w:szCs w:val="20"/>
              </w:rPr>
            </w:pPr>
            <w:r w:rsidRPr="004B787F">
              <w:rPr>
                <w:rFonts w:ascii="Aptos" w:hAnsi="Aptos"/>
                <w:b/>
                <w:bCs/>
                <w:color w:val="000000"/>
                <w:sz w:val="20"/>
                <w:szCs w:val="20"/>
              </w:rPr>
              <w:t xml:space="preserve">Notes             </w:t>
            </w:r>
          </w:p>
        </w:tc>
      </w:tr>
      <w:tr w:rsidR="004B787F" w:rsidRPr="004B787F" w14:paraId="5C074AF1" w14:textId="77777777" w:rsidTr="004B787F">
        <w:trPr>
          <w:trHeight w:val="32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14:paraId="6A66BC82" w14:textId="5BDA281A" w:rsidR="004B787F" w:rsidRPr="004B787F" w:rsidRDefault="004B787F" w:rsidP="004B787F">
            <w:pPr>
              <w:rPr>
                <w:rFonts w:ascii="Aptos" w:hAnsi="Aptos"/>
                <w:color w:val="000000"/>
                <w:sz w:val="20"/>
                <w:szCs w:val="20"/>
              </w:rPr>
            </w:pPr>
            <w:r w:rsidRPr="004B787F">
              <w:rPr>
                <w:rFonts w:ascii="Aptos" w:hAnsi="Aptos"/>
                <w:color w:val="000000"/>
                <w:sz w:val="20"/>
                <w:szCs w:val="20"/>
              </w:rPr>
              <w:t>Lifestyle Therapy</w:t>
            </w:r>
            <w:r w:rsidR="005E0B12">
              <w:rPr>
                <w:rFonts w:ascii="Aptos" w:hAnsi="Aptos"/>
                <w:color w:val="000000"/>
                <w:sz w:val="20"/>
                <w:szCs w:val="20"/>
              </w:rPr>
              <w:t xml:space="preserve"> (</w:t>
            </w:r>
            <w:proofErr w:type="gramStart"/>
            <w:r w:rsidR="005E0B12">
              <w:rPr>
                <w:rFonts w:ascii="Aptos" w:hAnsi="Aptos"/>
                <w:color w:val="000000"/>
                <w:sz w:val="20"/>
                <w:szCs w:val="20"/>
              </w:rPr>
              <w:t>LST)</w:t>
            </w:r>
            <w:r w:rsidRPr="004B787F">
              <w:rPr>
                <w:rFonts w:ascii="Aptos" w:hAnsi="Aptos"/>
                <w:color w:val="000000"/>
                <w:sz w:val="20"/>
                <w:szCs w:val="20"/>
              </w:rPr>
              <w:t xml:space="preserve">   </w:t>
            </w:r>
            <w:proofErr w:type="gramEnd"/>
            <w:r w:rsidRPr="004B787F">
              <w:rPr>
                <w:rFonts w:ascii="Aptos" w:hAnsi="Aptos"/>
                <w:color w:val="000000"/>
                <w:sz w:val="20"/>
                <w:szCs w:val="20"/>
              </w:rPr>
              <w:t xml:space="preserve">  </w:t>
            </w:r>
          </w:p>
        </w:tc>
        <w:tc>
          <w:tcPr>
            <w:tcW w:w="2688" w:type="dxa"/>
            <w:tcBorders>
              <w:top w:val="nil"/>
              <w:left w:val="nil"/>
              <w:bottom w:val="single" w:sz="4" w:space="0" w:color="auto"/>
              <w:right w:val="single" w:sz="4" w:space="0" w:color="auto"/>
            </w:tcBorders>
            <w:shd w:val="clear" w:color="auto" w:fill="auto"/>
            <w:noWrap/>
            <w:vAlign w:val="bottom"/>
            <w:hideMark/>
          </w:tcPr>
          <w:p w14:paraId="025AC290"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          1,777,367,450.01 </w:t>
            </w:r>
          </w:p>
        </w:tc>
        <w:tc>
          <w:tcPr>
            <w:tcW w:w="1494" w:type="dxa"/>
            <w:tcBorders>
              <w:top w:val="nil"/>
              <w:left w:val="nil"/>
              <w:bottom w:val="single" w:sz="4" w:space="0" w:color="auto"/>
              <w:right w:val="single" w:sz="4" w:space="0" w:color="auto"/>
            </w:tcBorders>
            <w:shd w:val="clear" w:color="auto" w:fill="auto"/>
            <w:noWrap/>
            <w:vAlign w:val="bottom"/>
            <w:hideMark/>
          </w:tcPr>
          <w:p w14:paraId="6EE6C109" w14:textId="77777777" w:rsidR="004B787F" w:rsidRPr="004B787F" w:rsidRDefault="004B787F" w:rsidP="004B787F">
            <w:pPr>
              <w:jc w:val="right"/>
              <w:rPr>
                <w:rFonts w:ascii="Aptos" w:hAnsi="Aptos"/>
                <w:color w:val="000000"/>
                <w:sz w:val="20"/>
                <w:szCs w:val="20"/>
              </w:rPr>
            </w:pPr>
            <w:r w:rsidRPr="004B787F">
              <w:rPr>
                <w:rFonts w:ascii="Aptos" w:hAnsi="Aptos"/>
                <w:color w:val="000000"/>
                <w:sz w:val="20"/>
                <w:szCs w:val="20"/>
              </w:rPr>
              <w:t>210198.3868</w:t>
            </w:r>
          </w:p>
        </w:tc>
        <w:tc>
          <w:tcPr>
            <w:tcW w:w="1494" w:type="dxa"/>
            <w:tcBorders>
              <w:top w:val="nil"/>
              <w:left w:val="nil"/>
              <w:bottom w:val="single" w:sz="4" w:space="0" w:color="auto"/>
              <w:right w:val="single" w:sz="4" w:space="0" w:color="auto"/>
            </w:tcBorders>
            <w:shd w:val="clear" w:color="auto" w:fill="auto"/>
            <w:noWrap/>
            <w:vAlign w:val="bottom"/>
            <w:hideMark/>
          </w:tcPr>
          <w:p w14:paraId="2588755A"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w:t>
            </w:r>
          </w:p>
        </w:tc>
        <w:tc>
          <w:tcPr>
            <w:tcW w:w="2060" w:type="dxa"/>
            <w:tcBorders>
              <w:top w:val="nil"/>
              <w:left w:val="nil"/>
              <w:bottom w:val="single" w:sz="4" w:space="0" w:color="auto"/>
              <w:right w:val="single" w:sz="4" w:space="0" w:color="auto"/>
            </w:tcBorders>
            <w:shd w:val="clear" w:color="auto" w:fill="auto"/>
            <w:noWrap/>
            <w:vAlign w:val="bottom"/>
            <w:hideMark/>
          </w:tcPr>
          <w:p w14:paraId="7F0ACA7E"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Baseline          </w:t>
            </w:r>
          </w:p>
        </w:tc>
      </w:tr>
      <w:tr w:rsidR="004B787F" w:rsidRPr="004B787F" w14:paraId="4F2F9A07" w14:textId="77777777" w:rsidTr="004B787F">
        <w:trPr>
          <w:trHeight w:val="32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14:paraId="1ED2F378" w14:textId="132BD071" w:rsidR="004B787F" w:rsidRPr="004B787F" w:rsidRDefault="004B787F" w:rsidP="004B787F">
            <w:pPr>
              <w:rPr>
                <w:rFonts w:ascii="Aptos" w:hAnsi="Aptos"/>
                <w:color w:val="000000"/>
                <w:sz w:val="20"/>
                <w:szCs w:val="20"/>
              </w:rPr>
            </w:pPr>
            <w:r w:rsidRPr="004B787F">
              <w:rPr>
                <w:rFonts w:ascii="Aptos" w:hAnsi="Aptos"/>
                <w:color w:val="000000"/>
                <w:sz w:val="20"/>
                <w:szCs w:val="20"/>
              </w:rPr>
              <w:t>Phentermine/Topiramate</w:t>
            </w:r>
            <w:bookmarkStart w:id="0" w:name="OLE_LINK1"/>
            <w:r w:rsidR="005E0B12">
              <w:rPr>
                <w:rFonts w:ascii="Aptos" w:hAnsi="Aptos"/>
                <w:color w:val="000000"/>
                <w:sz w:val="20"/>
                <w:szCs w:val="20"/>
              </w:rPr>
              <w:t xml:space="preserve"> + LST</w:t>
            </w:r>
            <w:bookmarkEnd w:id="0"/>
          </w:p>
        </w:tc>
        <w:tc>
          <w:tcPr>
            <w:tcW w:w="2688" w:type="dxa"/>
            <w:tcBorders>
              <w:top w:val="nil"/>
              <w:left w:val="nil"/>
              <w:bottom w:val="single" w:sz="4" w:space="0" w:color="auto"/>
              <w:right w:val="single" w:sz="4" w:space="0" w:color="auto"/>
            </w:tcBorders>
            <w:shd w:val="clear" w:color="auto" w:fill="auto"/>
            <w:noWrap/>
            <w:vAlign w:val="bottom"/>
            <w:hideMark/>
          </w:tcPr>
          <w:p w14:paraId="1DD2F5FF"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          2,031,767,246.58 </w:t>
            </w:r>
          </w:p>
        </w:tc>
        <w:tc>
          <w:tcPr>
            <w:tcW w:w="1494" w:type="dxa"/>
            <w:tcBorders>
              <w:top w:val="nil"/>
              <w:left w:val="nil"/>
              <w:bottom w:val="single" w:sz="4" w:space="0" w:color="auto"/>
              <w:right w:val="single" w:sz="4" w:space="0" w:color="auto"/>
            </w:tcBorders>
            <w:shd w:val="clear" w:color="auto" w:fill="auto"/>
            <w:noWrap/>
            <w:vAlign w:val="bottom"/>
            <w:hideMark/>
          </w:tcPr>
          <w:p w14:paraId="41340257" w14:textId="77777777" w:rsidR="004B787F" w:rsidRPr="004B787F" w:rsidRDefault="004B787F" w:rsidP="004B787F">
            <w:pPr>
              <w:jc w:val="right"/>
              <w:rPr>
                <w:rFonts w:ascii="Aptos" w:hAnsi="Aptos"/>
                <w:color w:val="000000"/>
                <w:sz w:val="20"/>
                <w:szCs w:val="20"/>
              </w:rPr>
            </w:pPr>
            <w:r w:rsidRPr="004B787F">
              <w:rPr>
                <w:rFonts w:ascii="Aptos" w:hAnsi="Aptos"/>
                <w:color w:val="000000"/>
                <w:sz w:val="20"/>
                <w:szCs w:val="20"/>
              </w:rPr>
              <w:t>212449.003</w:t>
            </w:r>
          </w:p>
        </w:tc>
        <w:tc>
          <w:tcPr>
            <w:tcW w:w="1494" w:type="dxa"/>
            <w:tcBorders>
              <w:top w:val="nil"/>
              <w:left w:val="nil"/>
              <w:bottom w:val="single" w:sz="4" w:space="0" w:color="auto"/>
              <w:right w:val="single" w:sz="4" w:space="0" w:color="auto"/>
            </w:tcBorders>
            <w:shd w:val="clear" w:color="auto" w:fill="auto"/>
            <w:noWrap/>
            <w:vAlign w:val="bottom"/>
            <w:hideMark/>
          </w:tcPr>
          <w:p w14:paraId="034AA11F" w14:textId="77777777" w:rsidR="004B787F" w:rsidRPr="004B787F" w:rsidRDefault="004B787F" w:rsidP="004B787F">
            <w:pPr>
              <w:jc w:val="right"/>
              <w:rPr>
                <w:rFonts w:ascii="Aptos" w:hAnsi="Aptos"/>
                <w:color w:val="000000"/>
                <w:sz w:val="20"/>
                <w:szCs w:val="20"/>
              </w:rPr>
            </w:pPr>
            <w:r w:rsidRPr="004B787F">
              <w:rPr>
                <w:rFonts w:ascii="Aptos" w:hAnsi="Aptos"/>
                <w:color w:val="000000"/>
                <w:sz w:val="20"/>
                <w:szCs w:val="20"/>
              </w:rPr>
              <w:t>113035.6185</w:t>
            </w:r>
          </w:p>
        </w:tc>
        <w:tc>
          <w:tcPr>
            <w:tcW w:w="2060" w:type="dxa"/>
            <w:tcBorders>
              <w:top w:val="nil"/>
              <w:left w:val="nil"/>
              <w:bottom w:val="single" w:sz="4" w:space="0" w:color="auto"/>
              <w:right w:val="single" w:sz="4" w:space="0" w:color="auto"/>
            </w:tcBorders>
            <w:shd w:val="clear" w:color="auto" w:fill="auto"/>
            <w:noWrap/>
            <w:vAlign w:val="bottom"/>
            <w:hideMark/>
          </w:tcPr>
          <w:p w14:paraId="6113C9BF"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w:t>
            </w:r>
          </w:p>
        </w:tc>
      </w:tr>
      <w:tr w:rsidR="004B787F" w:rsidRPr="004B787F" w14:paraId="7F2881B1" w14:textId="77777777" w:rsidTr="004B787F">
        <w:trPr>
          <w:trHeight w:val="32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14:paraId="7034CFC3" w14:textId="72D363E0" w:rsidR="004B787F" w:rsidRPr="004B787F" w:rsidRDefault="004B787F" w:rsidP="004B787F">
            <w:pPr>
              <w:rPr>
                <w:rFonts w:ascii="Aptos" w:hAnsi="Aptos"/>
                <w:color w:val="000000"/>
                <w:sz w:val="20"/>
                <w:szCs w:val="20"/>
              </w:rPr>
            </w:pPr>
            <w:r w:rsidRPr="004B787F">
              <w:rPr>
                <w:rFonts w:ascii="Aptos" w:hAnsi="Aptos"/>
                <w:color w:val="000000"/>
                <w:sz w:val="20"/>
                <w:szCs w:val="20"/>
              </w:rPr>
              <w:t>Bupropion/Naltrexone</w:t>
            </w:r>
            <w:r w:rsidR="005E0B12">
              <w:rPr>
                <w:rFonts w:ascii="Aptos" w:hAnsi="Aptos"/>
                <w:color w:val="000000"/>
                <w:sz w:val="20"/>
                <w:szCs w:val="20"/>
              </w:rPr>
              <w:t xml:space="preserve"> + LST</w:t>
            </w:r>
          </w:p>
        </w:tc>
        <w:tc>
          <w:tcPr>
            <w:tcW w:w="2688" w:type="dxa"/>
            <w:tcBorders>
              <w:top w:val="nil"/>
              <w:left w:val="nil"/>
              <w:bottom w:val="single" w:sz="4" w:space="0" w:color="auto"/>
              <w:right w:val="single" w:sz="4" w:space="0" w:color="auto"/>
            </w:tcBorders>
            <w:shd w:val="clear" w:color="auto" w:fill="auto"/>
            <w:noWrap/>
            <w:vAlign w:val="bottom"/>
            <w:hideMark/>
          </w:tcPr>
          <w:p w14:paraId="35136826"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          2,254,721,580.14 </w:t>
            </w:r>
          </w:p>
        </w:tc>
        <w:tc>
          <w:tcPr>
            <w:tcW w:w="1494" w:type="dxa"/>
            <w:tcBorders>
              <w:top w:val="nil"/>
              <w:left w:val="nil"/>
              <w:bottom w:val="single" w:sz="4" w:space="0" w:color="auto"/>
              <w:right w:val="single" w:sz="4" w:space="0" w:color="auto"/>
            </w:tcBorders>
            <w:shd w:val="clear" w:color="auto" w:fill="auto"/>
            <w:noWrap/>
            <w:vAlign w:val="bottom"/>
            <w:hideMark/>
          </w:tcPr>
          <w:p w14:paraId="448F3A78" w14:textId="77777777" w:rsidR="004B787F" w:rsidRPr="004B787F" w:rsidRDefault="004B787F" w:rsidP="004B787F">
            <w:pPr>
              <w:jc w:val="right"/>
              <w:rPr>
                <w:rFonts w:ascii="Aptos" w:hAnsi="Aptos"/>
                <w:color w:val="000000"/>
                <w:sz w:val="20"/>
                <w:szCs w:val="20"/>
              </w:rPr>
            </w:pPr>
            <w:r w:rsidRPr="004B787F">
              <w:rPr>
                <w:rFonts w:ascii="Aptos" w:hAnsi="Aptos"/>
                <w:color w:val="000000"/>
                <w:sz w:val="20"/>
                <w:szCs w:val="20"/>
              </w:rPr>
              <w:t>211182.3747</w:t>
            </w:r>
          </w:p>
        </w:tc>
        <w:tc>
          <w:tcPr>
            <w:tcW w:w="1494" w:type="dxa"/>
            <w:tcBorders>
              <w:top w:val="nil"/>
              <w:left w:val="nil"/>
              <w:bottom w:val="single" w:sz="4" w:space="0" w:color="auto"/>
              <w:right w:val="single" w:sz="4" w:space="0" w:color="auto"/>
            </w:tcBorders>
            <w:shd w:val="clear" w:color="auto" w:fill="auto"/>
            <w:noWrap/>
            <w:vAlign w:val="bottom"/>
            <w:hideMark/>
          </w:tcPr>
          <w:p w14:paraId="45C2DE11"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w:t>
            </w:r>
          </w:p>
        </w:tc>
        <w:tc>
          <w:tcPr>
            <w:tcW w:w="2060" w:type="dxa"/>
            <w:tcBorders>
              <w:top w:val="nil"/>
              <w:left w:val="nil"/>
              <w:bottom w:val="single" w:sz="4" w:space="0" w:color="auto"/>
              <w:right w:val="single" w:sz="4" w:space="0" w:color="auto"/>
            </w:tcBorders>
            <w:shd w:val="clear" w:color="auto" w:fill="auto"/>
            <w:noWrap/>
            <w:vAlign w:val="bottom"/>
            <w:hideMark/>
          </w:tcPr>
          <w:p w14:paraId="5FCE0F29"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Strongly Dominated</w:t>
            </w:r>
          </w:p>
        </w:tc>
      </w:tr>
      <w:tr w:rsidR="004B787F" w:rsidRPr="004B787F" w14:paraId="48BF9BE0" w14:textId="77777777" w:rsidTr="004B787F">
        <w:trPr>
          <w:trHeight w:val="32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14:paraId="50044F6C" w14:textId="764AD970" w:rsidR="004B787F" w:rsidRPr="004B787F" w:rsidRDefault="004B787F" w:rsidP="004B787F">
            <w:pPr>
              <w:rPr>
                <w:rFonts w:ascii="Aptos" w:hAnsi="Aptos"/>
                <w:color w:val="000000"/>
                <w:sz w:val="20"/>
                <w:szCs w:val="20"/>
              </w:rPr>
            </w:pPr>
            <w:r w:rsidRPr="004B787F">
              <w:rPr>
                <w:rFonts w:ascii="Aptos" w:hAnsi="Aptos"/>
                <w:color w:val="000000"/>
                <w:sz w:val="20"/>
                <w:szCs w:val="20"/>
              </w:rPr>
              <w:t>Liraglutide</w:t>
            </w:r>
            <w:r w:rsidR="005E0B12">
              <w:rPr>
                <w:rFonts w:ascii="Aptos" w:hAnsi="Aptos"/>
                <w:color w:val="000000"/>
                <w:sz w:val="20"/>
                <w:szCs w:val="20"/>
              </w:rPr>
              <w:t xml:space="preserve"> + LST</w:t>
            </w:r>
          </w:p>
        </w:tc>
        <w:tc>
          <w:tcPr>
            <w:tcW w:w="2688" w:type="dxa"/>
            <w:tcBorders>
              <w:top w:val="nil"/>
              <w:left w:val="nil"/>
              <w:bottom w:val="single" w:sz="4" w:space="0" w:color="auto"/>
              <w:right w:val="single" w:sz="4" w:space="0" w:color="auto"/>
            </w:tcBorders>
            <w:shd w:val="clear" w:color="auto" w:fill="auto"/>
            <w:noWrap/>
            <w:vAlign w:val="bottom"/>
            <w:hideMark/>
          </w:tcPr>
          <w:p w14:paraId="5067C045"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          4,552,268,936.26 </w:t>
            </w:r>
          </w:p>
        </w:tc>
        <w:tc>
          <w:tcPr>
            <w:tcW w:w="1494" w:type="dxa"/>
            <w:tcBorders>
              <w:top w:val="nil"/>
              <w:left w:val="nil"/>
              <w:bottom w:val="single" w:sz="4" w:space="0" w:color="auto"/>
              <w:right w:val="single" w:sz="4" w:space="0" w:color="auto"/>
            </w:tcBorders>
            <w:shd w:val="clear" w:color="auto" w:fill="auto"/>
            <w:noWrap/>
            <w:vAlign w:val="bottom"/>
            <w:hideMark/>
          </w:tcPr>
          <w:p w14:paraId="3747EF55" w14:textId="77777777" w:rsidR="004B787F" w:rsidRPr="004B787F" w:rsidRDefault="004B787F" w:rsidP="004B787F">
            <w:pPr>
              <w:jc w:val="right"/>
              <w:rPr>
                <w:rFonts w:ascii="Aptos" w:hAnsi="Aptos"/>
                <w:color w:val="000000"/>
                <w:sz w:val="20"/>
                <w:szCs w:val="20"/>
              </w:rPr>
            </w:pPr>
            <w:r w:rsidRPr="004B787F">
              <w:rPr>
                <w:rFonts w:ascii="Aptos" w:hAnsi="Aptos"/>
                <w:color w:val="000000"/>
                <w:sz w:val="20"/>
                <w:szCs w:val="20"/>
              </w:rPr>
              <w:t>211159.4478</w:t>
            </w:r>
          </w:p>
        </w:tc>
        <w:tc>
          <w:tcPr>
            <w:tcW w:w="1494" w:type="dxa"/>
            <w:tcBorders>
              <w:top w:val="nil"/>
              <w:left w:val="nil"/>
              <w:bottom w:val="single" w:sz="4" w:space="0" w:color="auto"/>
              <w:right w:val="single" w:sz="4" w:space="0" w:color="auto"/>
            </w:tcBorders>
            <w:shd w:val="clear" w:color="auto" w:fill="auto"/>
            <w:noWrap/>
            <w:vAlign w:val="bottom"/>
            <w:hideMark/>
          </w:tcPr>
          <w:p w14:paraId="5DB568AB"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w:t>
            </w:r>
          </w:p>
        </w:tc>
        <w:tc>
          <w:tcPr>
            <w:tcW w:w="2060" w:type="dxa"/>
            <w:tcBorders>
              <w:top w:val="nil"/>
              <w:left w:val="nil"/>
              <w:bottom w:val="single" w:sz="4" w:space="0" w:color="auto"/>
              <w:right w:val="single" w:sz="4" w:space="0" w:color="auto"/>
            </w:tcBorders>
            <w:shd w:val="clear" w:color="auto" w:fill="auto"/>
            <w:noWrap/>
            <w:vAlign w:val="bottom"/>
            <w:hideMark/>
          </w:tcPr>
          <w:p w14:paraId="137D4B54"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Strongly Dominated</w:t>
            </w:r>
          </w:p>
        </w:tc>
      </w:tr>
      <w:tr w:rsidR="004B787F" w:rsidRPr="004B787F" w14:paraId="2585402E" w14:textId="77777777" w:rsidTr="004B787F">
        <w:trPr>
          <w:trHeight w:val="320"/>
        </w:trPr>
        <w:tc>
          <w:tcPr>
            <w:tcW w:w="2764" w:type="dxa"/>
            <w:tcBorders>
              <w:top w:val="nil"/>
              <w:left w:val="single" w:sz="4" w:space="0" w:color="auto"/>
              <w:bottom w:val="single" w:sz="4" w:space="0" w:color="auto"/>
              <w:right w:val="single" w:sz="4" w:space="0" w:color="auto"/>
            </w:tcBorders>
            <w:shd w:val="clear" w:color="auto" w:fill="auto"/>
            <w:noWrap/>
            <w:vAlign w:val="bottom"/>
            <w:hideMark/>
          </w:tcPr>
          <w:p w14:paraId="79CBA95A" w14:textId="6165ED5B" w:rsidR="004B787F" w:rsidRPr="004B787F" w:rsidRDefault="004B787F" w:rsidP="004B787F">
            <w:pPr>
              <w:rPr>
                <w:rFonts w:ascii="Aptos" w:hAnsi="Aptos"/>
                <w:color w:val="000000"/>
                <w:sz w:val="20"/>
                <w:szCs w:val="20"/>
              </w:rPr>
            </w:pPr>
            <w:proofErr w:type="spellStart"/>
            <w:r w:rsidRPr="004B787F">
              <w:rPr>
                <w:rFonts w:ascii="Aptos" w:hAnsi="Aptos"/>
                <w:color w:val="000000"/>
                <w:sz w:val="20"/>
                <w:szCs w:val="20"/>
              </w:rPr>
              <w:t>Semaglutide</w:t>
            </w:r>
            <w:proofErr w:type="spellEnd"/>
            <w:r w:rsidR="005E0B12">
              <w:rPr>
                <w:rFonts w:ascii="Aptos" w:hAnsi="Aptos"/>
                <w:color w:val="000000"/>
                <w:sz w:val="20"/>
                <w:szCs w:val="20"/>
              </w:rPr>
              <w:t xml:space="preserve"> + LST</w:t>
            </w:r>
          </w:p>
        </w:tc>
        <w:tc>
          <w:tcPr>
            <w:tcW w:w="2688" w:type="dxa"/>
            <w:tcBorders>
              <w:top w:val="nil"/>
              <w:left w:val="nil"/>
              <w:bottom w:val="single" w:sz="4" w:space="0" w:color="auto"/>
              <w:right w:val="single" w:sz="4" w:space="0" w:color="auto"/>
            </w:tcBorders>
            <w:shd w:val="clear" w:color="auto" w:fill="auto"/>
            <w:noWrap/>
            <w:vAlign w:val="bottom"/>
            <w:hideMark/>
          </w:tcPr>
          <w:p w14:paraId="152CDEC1"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xml:space="preserve"> $          5,057,530,379.98 </w:t>
            </w:r>
          </w:p>
        </w:tc>
        <w:tc>
          <w:tcPr>
            <w:tcW w:w="1494" w:type="dxa"/>
            <w:tcBorders>
              <w:top w:val="nil"/>
              <w:left w:val="nil"/>
              <w:bottom w:val="single" w:sz="4" w:space="0" w:color="auto"/>
              <w:right w:val="single" w:sz="4" w:space="0" w:color="auto"/>
            </w:tcBorders>
            <w:shd w:val="clear" w:color="auto" w:fill="auto"/>
            <w:noWrap/>
            <w:vAlign w:val="bottom"/>
            <w:hideMark/>
          </w:tcPr>
          <w:p w14:paraId="756A4BBB" w14:textId="77777777" w:rsidR="004B787F" w:rsidRPr="004B787F" w:rsidRDefault="004B787F" w:rsidP="004B787F">
            <w:pPr>
              <w:jc w:val="right"/>
              <w:rPr>
                <w:rFonts w:ascii="Aptos" w:hAnsi="Aptos"/>
                <w:color w:val="000000"/>
                <w:sz w:val="20"/>
                <w:szCs w:val="20"/>
              </w:rPr>
            </w:pPr>
            <w:r w:rsidRPr="004B787F">
              <w:rPr>
                <w:rFonts w:ascii="Aptos" w:hAnsi="Aptos"/>
                <w:color w:val="000000"/>
                <w:sz w:val="20"/>
                <w:szCs w:val="20"/>
              </w:rPr>
              <w:t>214080.153</w:t>
            </w:r>
          </w:p>
        </w:tc>
        <w:tc>
          <w:tcPr>
            <w:tcW w:w="1494" w:type="dxa"/>
            <w:tcBorders>
              <w:top w:val="nil"/>
              <w:left w:val="nil"/>
              <w:bottom w:val="single" w:sz="4" w:space="0" w:color="auto"/>
              <w:right w:val="single" w:sz="4" w:space="0" w:color="auto"/>
            </w:tcBorders>
            <w:shd w:val="clear" w:color="auto" w:fill="auto"/>
            <w:noWrap/>
            <w:vAlign w:val="bottom"/>
            <w:hideMark/>
          </w:tcPr>
          <w:p w14:paraId="09E838ED" w14:textId="77777777" w:rsidR="004B787F" w:rsidRPr="004B787F" w:rsidRDefault="004B787F" w:rsidP="004B787F">
            <w:pPr>
              <w:jc w:val="right"/>
              <w:rPr>
                <w:rFonts w:ascii="Aptos" w:hAnsi="Aptos"/>
                <w:color w:val="000000"/>
                <w:sz w:val="20"/>
                <w:szCs w:val="20"/>
              </w:rPr>
            </w:pPr>
            <w:r w:rsidRPr="004B787F">
              <w:rPr>
                <w:rFonts w:ascii="Aptos" w:hAnsi="Aptos"/>
                <w:color w:val="000000"/>
                <w:sz w:val="20"/>
                <w:szCs w:val="20"/>
              </w:rPr>
              <w:t>1854987.659</w:t>
            </w:r>
          </w:p>
        </w:tc>
        <w:tc>
          <w:tcPr>
            <w:tcW w:w="2060" w:type="dxa"/>
            <w:tcBorders>
              <w:top w:val="nil"/>
              <w:left w:val="nil"/>
              <w:bottom w:val="single" w:sz="4" w:space="0" w:color="auto"/>
              <w:right w:val="single" w:sz="4" w:space="0" w:color="auto"/>
            </w:tcBorders>
            <w:shd w:val="clear" w:color="auto" w:fill="auto"/>
            <w:noWrap/>
            <w:vAlign w:val="bottom"/>
            <w:hideMark/>
          </w:tcPr>
          <w:p w14:paraId="2CDC9678" w14:textId="77777777" w:rsidR="004B787F" w:rsidRPr="004B787F" w:rsidRDefault="004B787F" w:rsidP="004B787F">
            <w:pPr>
              <w:rPr>
                <w:rFonts w:ascii="Aptos" w:hAnsi="Aptos"/>
                <w:color w:val="000000"/>
                <w:sz w:val="20"/>
                <w:szCs w:val="20"/>
              </w:rPr>
            </w:pPr>
            <w:r w:rsidRPr="004B787F">
              <w:rPr>
                <w:rFonts w:ascii="Aptos" w:hAnsi="Aptos"/>
                <w:color w:val="000000"/>
                <w:sz w:val="20"/>
                <w:szCs w:val="20"/>
              </w:rPr>
              <w:t> </w:t>
            </w:r>
          </w:p>
        </w:tc>
      </w:tr>
    </w:tbl>
    <w:p w14:paraId="44906650" w14:textId="77777777" w:rsidR="004B787F" w:rsidRDefault="004B787F">
      <w:pPr>
        <w:rPr>
          <w:rFonts w:ascii="Aptos" w:hAnsi="Aptos"/>
        </w:rPr>
      </w:pPr>
    </w:p>
    <w:p w14:paraId="01DBFA01" w14:textId="6A5555E6" w:rsidR="000B673A" w:rsidRDefault="000B673A">
      <w:pPr>
        <w:rPr>
          <w:rFonts w:ascii="Aptos" w:hAnsi="Aptos"/>
        </w:rPr>
      </w:pPr>
      <w:r>
        <w:rPr>
          <w:rFonts w:ascii="Aptos" w:hAnsi="Aptos"/>
        </w:rPr>
        <w:t xml:space="preserve">Table 3. </w:t>
      </w:r>
      <w:r w:rsidRPr="000B673A">
        <w:rPr>
          <w:rFonts w:ascii="Aptos" w:hAnsi="Aptos"/>
        </w:rPr>
        <w:t xml:space="preserve">Estimated </w:t>
      </w:r>
      <w:r w:rsidR="008E4A45">
        <w:rPr>
          <w:rFonts w:ascii="Aptos" w:hAnsi="Aptos"/>
        </w:rPr>
        <w:t xml:space="preserve">lifetime </w:t>
      </w:r>
      <w:r w:rsidR="00965131">
        <w:rPr>
          <w:rFonts w:ascii="Aptos" w:hAnsi="Aptos"/>
        </w:rPr>
        <w:t>health outcomes</w:t>
      </w:r>
      <w:r w:rsidR="003C664C">
        <w:rPr>
          <w:rFonts w:ascii="Aptos" w:hAnsi="Aptos"/>
        </w:rPr>
        <w:t xml:space="preserve"> </w:t>
      </w:r>
    </w:p>
    <w:tbl>
      <w:tblPr>
        <w:tblW w:w="11910" w:type="dxa"/>
        <w:tblInd w:w="-1280" w:type="dxa"/>
        <w:tblLook w:val="04A0" w:firstRow="1" w:lastRow="0" w:firstColumn="1" w:lastColumn="0" w:noHBand="0" w:noVBand="1"/>
      </w:tblPr>
      <w:tblGrid>
        <w:gridCol w:w="2245"/>
        <w:gridCol w:w="1800"/>
        <w:gridCol w:w="1170"/>
        <w:gridCol w:w="1620"/>
        <w:gridCol w:w="1350"/>
        <w:gridCol w:w="1229"/>
        <w:gridCol w:w="1201"/>
        <w:gridCol w:w="1295"/>
      </w:tblGrid>
      <w:tr w:rsidR="000B673A" w:rsidRPr="000B673A" w14:paraId="301475D0" w14:textId="77777777" w:rsidTr="000B673A">
        <w:trPr>
          <w:trHeight w:val="136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6FA5C" w14:textId="77777777"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 xml:space="preserve">Strategy              </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6EF5052" w14:textId="70D501C7"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Life Expectancy</w:t>
            </w:r>
            <w:r w:rsidR="003C664C">
              <w:rPr>
                <w:rFonts w:ascii="Aptos Narrow" w:hAnsi="Aptos Narrow"/>
                <w:b/>
                <w:bCs/>
                <w:color w:val="000000"/>
                <w:sz w:val="20"/>
                <w:szCs w:val="20"/>
              </w:rPr>
              <w:t xml:space="preserve"> (mean (SD))</w:t>
            </w:r>
          </w:p>
        </w:tc>
        <w:tc>
          <w:tcPr>
            <w:tcW w:w="1170" w:type="dxa"/>
            <w:tcBorders>
              <w:top w:val="single" w:sz="4" w:space="0" w:color="auto"/>
              <w:left w:val="nil"/>
              <w:bottom w:val="single" w:sz="4" w:space="0" w:color="auto"/>
              <w:right w:val="single" w:sz="4" w:space="0" w:color="auto"/>
            </w:tcBorders>
            <w:shd w:val="clear" w:color="auto" w:fill="auto"/>
            <w:vAlign w:val="bottom"/>
            <w:hideMark/>
          </w:tcPr>
          <w:p w14:paraId="35E93CC5" w14:textId="1E073D53"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 xml:space="preserve">#HTN </w:t>
            </w:r>
            <w:r w:rsidR="00086514">
              <w:rPr>
                <w:rFonts w:ascii="Aptos Narrow" w:hAnsi="Aptos Narrow"/>
                <w:b/>
                <w:bCs/>
                <w:color w:val="000000"/>
                <w:sz w:val="20"/>
                <w:szCs w:val="20"/>
              </w:rPr>
              <w:t>cases</w:t>
            </w:r>
            <w:r w:rsidR="00086514" w:rsidRPr="008B34EB">
              <w:rPr>
                <w:rFonts w:ascii="Aptos Narrow" w:hAnsi="Aptos Narrow"/>
                <w:b/>
                <w:bCs/>
                <w:color w:val="000000"/>
                <w:sz w:val="20"/>
                <w:szCs w:val="20"/>
              </w:rPr>
              <w:t xml:space="preserve"> </w:t>
            </w:r>
            <w:r w:rsidRPr="000B673A">
              <w:rPr>
                <w:rFonts w:ascii="Aptos Narrow" w:hAnsi="Aptos Narrow"/>
                <w:b/>
                <w:bCs/>
                <w:color w:val="000000"/>
                <w:sz w:val="20"/>
                <w:szCs w:val="20"/>
              </w:rPr>
              <w:t>per 100,000 people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4FCD2962" w14:textId="20D9A401"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 xml:space="preserve">Incremental HTN </w:t>
            </w:r>
            <w:r w:rsidR="00086514">
              <w:rPr>
                <w:rFonts w:ascii="Aptos Narrow" w:hAnsi="Aptos Narrow"/>
                <w:b/>
                <w:bCs/>
                <w:color w:val="000000"/>
                <w:sz w:val="20"/>
                <w:szCs w:val="20"/>
              </w:rPr>
              <w:t>cases</w:t>
            </w:r>
          </w:p>
        </w:tc>
        <w:tc>
          <w:tcPr>
            <w:tcW w:w="1350" w:type="dxa"/>
            <w:tcBorders>
              <w:top w:val="single" w:sz="4" w:space="0" w:color="auto"/>
              <w:left w:val="nil"/>
              <w:bottom w:val="single" w:sz="4" w:space="0" w:color="auto"/>
              <w:right w:val="single" w:sz="4" w:space="0" w:color="auto"/>
            </w:tcBorders>
            <w:shd w:val="clear" w:color="auto" w:fill="auto"/>
            <w:vAlign w:val="bottom"/>
            <w:hideMark/>
          </w:tcPr>
          <w:p w14:paraId="0CB969F3" w14:textId="2BD5A4D9"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 xml:space="preserve">#CVD </w:t>
            </w:r>
            <w:r w:rsidR="00086514">
              <w:rPr>
                <w:rFonts w:ascii="Aptos Narrow" w:hAnsi="Aptos Narrow"/>
                <w:b/>
                <w:bCs/>
                <w:color w:val="000000"/>
                <w:sz w:val="20"/>
                <w:szCs w:val="20"/>
              </w:rPr>
              <w:t>cases</w:t>
            </w:r>
            <w:r w:rsidR="00086514" w:rsidRPr="008B34EB">
              <w:rPr>
                <w:rFonts w:ascii="Aptos Narrow" w:hAnsi="Aptos Narrow"/>
                <w:b/>
                <w:bCs/>
                <w:color w:val="000000"/>
                <w:sz w:val="20"/>
                <w:szCs w:val="20"/>
              </w:rPr>
              <w:t xml:space="preserve"> </w:t>
            </w:r>
            <w:r w:rsidRPr="000B673A">
              <w:rPr>
                <w:rFonts w:ascii="Aptos Narrow" w:hAnsi="Aptos Narrow"/>
                <w:b/>
                <w:bCs/>
                <w:color w:val="000000"/>
                <w:sz w:val="20"/>
                <w:szCs w:val="20"/>
              </w:rPr>
              <w:t>per 100,000 people</w:t>
            </w:r>
          </w:p>
        </w:tc>
        <w:tc>
          <w:tcPr>
            <w:tcW w:w="1229" w:type="dxa"/>
            <w:tcBorders>
              <w:top w:val="single" w:sz="4" w:space="0" w:color="auto"/>
              <w:left w:val="nil"/>
              <w:bottom w:val="single" w:sz="4" w:space="0" w:color="auto"/>
              <w:right w:val="single" w:sz="4" w:space="0" w:color="auto"/>
            </w:tcBorders>
            <w:shd w:val="clear" w:color="auto" w:fill="auto"/>
            <w:vAlign w:val="bottom"/>
            <w:hideMark/>
          </w:tcPr>
          <w:p w14:paraId="40223E7C" w14:textId="35B8558E"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 xml:space="preserve">Incremental CVD </w:t>
            </w:r>
            <w:r w:rsidR="00086514">
              <w:rPr>
                <w:rFonts w:ascii="Aptos Narrow" w:hAnsi="Aptos Narrow"/>
                <w:b/>
                <w:bCs/>
                <w:color w:val="000000"/>
                <w:sz w:val="20"/>
                <w:szCs w:val="20"/>
              </w:rPr>
              <w:t>cases</w:t>
            </w:r>
          </w:p>
        </w:tc>
        <w:tc>
          <w:tcPr>
            <w:tcW w:w="1201" w:type="dxa"/>
            <w:tcBorders>
              <w:top w:val="single" w:sz="4" w:space="0" w:color="auto"/>
              <w:left w:val="nil"/>
              <w:bottom w:val="single" w:sz="4" w:space="0" w:color="auto"/>
              <w:right w:val="single" w:sz="4" w:space="0" w:color="auto"/>
            </w:tcBorders>
            <w:shd w:val="clear" w:color="auto" w:fill="auto"/>
            <w:vAlign w:val="bottom"/>
            <w:hideMark/>
          </w:tcPr>
          <w:p w14:paraId="7CC3DF27" w14:textId="377A5A8C"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 xml:space="preserve">#T2DM </w:t>
            </w:r>
            <w:r w:rsidR="00086514">
              <w:rPr>
                <w:rFonts w:ascii="Aptos Narrow" w:hAnsi="Aptos Narrow"/>
                <w:b/>
                <w:bCs/>
                <w:color w:val="000000"/>
                <w:sz w:val="20"/>
                <w:szCs w:val="20"/>
              </w:rPr>
              <w:t>cases</w:t>
            </w:r>
            <w:r w:rsidR="00086514" w:rsidRPr="008B34EB">
              <w:rPr>
                <w:rFonts w:ascii="Aptos Narrow" w:hAnsi="Aptos Narrow"/>
                <w:b/>
                <w:bCs/>
                <w:color w:val="000000"/>
                <w:sz w:val="20"/>
                <w:szCs w:val="20"/>
              </w:rPr>
              <w:t xml:space="preserve"> </w:t>
            </w:r>
            <w:r w:rsidRPr="000B673A">
              <w:rPr>
                <w:rFonts w:ascii="Aptos Narrow" w:hAnsi="Aptos Narrow"/>
                <w:b/>
                <w:bCs/>
                <w:color w:val="000000"/>
                <w:sz w:val="20"/>
                <w:szCs w:val="20"/>
              </w:rPr>
              <w:t>per 100,000 people</w:t>
            </w:r>
          </w:p>
        </w:tc>
        <w:tc>
          <w:tcPr>
            <w:tcW w:w="1295" w:type="dxa"/>
            <w:tcBorders>
              <w:top w:val="single" w:sz="4" w:space="0" w:color="auto"/>
              <w:left w:val="nil"/>
              <w:bottom w:val="single" w:sz="4" w:space="0" w:color="auto"/>
              <w:right w:val="single" w:sz="4" w:space="0" w:color="auto"/>
            </w:tcBorders>
            <w:shd w:val="clear" w:color="auto" w:fill="auto"/>
            <w:vAlign w:val="bottom"/>
            <w:hideMark/>
          </w:tcPr>
          <w:p w14:paraId="0154DFA5" w14:textId="01FCBA47" w:rsidR="000B673A" w:rsidRPr="000B673A" w:rsidRDefault="000B673A" w:rsidP="000B673A">
            <w:pPr>
              <w:rPr>
                <w:rFonts w:ascii="Aptos Narrow" w:hAnsi="Aptos Narrow"/>
                <w:b/>
                <w:bCs/>
                <w:color w:val="000000"/>
                <w:sz w:val="20"/>
                <w:szCs w:val="20"/>
              </w:rPr>
            </w:pPr>
            <w:r w:rsidRPr="000B673A">
              <w:rPr>
                <w:rFonts w:ascii="Aptos Narrow" w:hAnsi="Aptos Narrow"/>
                <w:b/>
                <w:bCs/>
                <w:color w:val="000000"/>
                <w:sz w:val="20"/>
                <w:szCs w:val="20"/>
              </w:rPr>
              <w:t xml:space="preserve">Incremental T2DM </w:t>
            </w:r>
            <w:r w:rsidR="00086514">
              <w:rPr>
                <w:rFonts w:ascii="Aptos Narrow" w:hAnsi="Aptos Narrow"/>
                <w:b/>
                <w:bCs/>
                <w:color w:val="000000"/>
                <w:sz w:val="20"/>
                <w:szCs w:val="20"/>
              </w:rPr>
              <w:t>cases</w:t>
            </w:r>
          </w:p>
        </w:tc>
      </w:tr>
      <w:tr w:rsidR="000B673A" w:rsidRPr="000B673A" w14:paraId="1DB9DE89" w14:textId="77777777" w:rsidTr="000B673A">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BF8813C" w14:textId="77777777" w:rsidR="000B673A" w:rsidRPr="000B673A" w:rsidRDefault="000B673A" w:rsidP="000B673A">
            <w:pPr>
              <w:rPr>
                <w:rFonts w:ascii="Aptos Narrow" w:hAnsi="Aptos Narrow"/>
                <w:color w:val="000000"/>
                <w:sz w:val="20"/>
                <w:szCs w:val="20"/>
              </w:rPr>
            </w:pPr>
            <w:r w:rsidRPr="000B673A">
              <w:rPr>
                <w:rFonts w:ascii="Aptos Narrow" w:hAnsi="Aptos Narrow"/>
                <w:color w:val="000000"/>
                <w:sz w:val="20"/>
                <w:szCs w:val="20"/>
              </w:rPr>
              <w:t xml:space="preserve">Lifestyle Therapy     </w:t>
            </w:r>
          </w:p>
        </w:tc>
        <w:tc>
          <w:tcPr>
            <w:tcW w:w="1800" w:type="dxa"/>
            <w:tcBorders>
              <w:top w:val="nil"/>
              <w:left w:val="nil"/>
              <w:bottom w:val="single" w:sz="4" w:space="0" w:color="auto"/>
              <w:right w:val="single" w:sz="4" w:space="0" w:color="auto"/>
            </w:tcBorders>
            <w:shd w:val="clear" w:color="auto" w:fill="auto"/>
            <w:noWrap/>
            <w:vAlign w:val="bottom"/>
            <w:hideMark/>
          </w:tcPr>
          <w:p w14:paraId="2782A384"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51.56 (14.1)</w:t>
            </w:r>
          </w:p>
        </w:tc>
        <w:tc>
          <w:tcPr>
            <w:tcW w:w="1170" w:type="dxa"/>
            <w:tcBorders>
              <w:top w:val="nil"/>
              <w:left w:val="nil"/>
              <w:bottom w:val="single" w:sz="4" w:space="0" w:color="auto"/>
              <w:right w:val="single" w:sz="4" w:space="0" w:color="auto"/>
            </w:tcBorders>
            <w:shd w:val="clear" w:color="auto" w:fill="auto"/>
            <w:noWrap/>
            <w:vAlign w:val="bottom"/>
            <w:hideMark/>
          </w:tcPr>
          <w:p w14:paraId="59C7D070"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77570</w:t>
            </w:r>
          </w:p>
        </w:tc>
        <w:tc>
          <w:tcPr>
            <w:tcW w:w="1620" w:type="dxa"/>
            <w:tcBorders>
              <w:top w:val="nil"/>
              <w:left w:val="nil"/>
              <w:bottom w:val="single" w:sz="4" w:space="0" w:color="auto"/>
              <w:right w:val="single" w:sz="4" w:space="0" w:color="auto"/>
            </w:tcBorders>
            <w:shd w:val="clear" w:color="auto" w:fill="auto"/>
            <w:noWrap/>
            <w:vAlign w:val="bottom"/>
            <w:hideMark/>
          </w:tcPr>
          <w:p w14:paraId="619433D6"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Ref</w:t>
            </w:r>
          </w:p>
        </w:tc>
        <w:tc>
          <w:tcPr>
            <w:tcW w:w="1350" w:type="dxa"/>
            <w:tcBorders>
              <w:top w:val="nil"/>
              <w:left w:val="nil"/>
              <w:bottom w:val="single" w:sz="4" w:space="0" w:color="auto"/>
              <w:right w:val="single" w:sz="4" w:space="0" w:color="auto"/>
            </w:tcBorders>
            <w:shd w:val="clear" w:color="auto" w:fill="auto"/>
            <w:noWrap/>
            <w:vAlign w:val="bottom"/>
            <w:hideMark/>
          </w:tcPr>
          <w:p w14:paraId="0D95847E"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9640</w:t>
            </w:r>
          </w:p>
        </w:tc>
        <w:tc>
          <w:tcPr>
            <w:tcW w:w="1229" w:type="dxa"/>
            <w:tcBorders>
              <w:top w:val="nil"/>
              <w:left w:val="nil"/>
              <w:bottom w:val="single" w:sz="4" w:space="0" w:color="auto"/>
              <w:right w:val="single" w:sz="4" w:space="0" w:color="auto"/>
            </w:tcBorders>
            <w:shd w:val="clear" w:color="auto" w:fill="auto"/>
            <w:noWrap/>
            <w:vAlign w:val="bottom"/>
            <w:hideMark/>
          </w:tcPr>
          <w:p w14:paraId="3C0890E4"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Ref</w:t>
            </w:r>
          </w:p>
        </w:tc>
        <w:tc>
          <w:tcPr>
            <w:tcW w:w="1201" w:type="dxa"/>
            <w:tcBorders>
              <w:top w:val="nil"/>
              <w:left w:val="nil"/>
              <w:bottom w:val="single" w:sz="4" w:space="0" w:color="auto"/>
              <w:right w:val="single" w:sz="4" w:space="0" w:color="auto"/>
            </w:tcBorders>
            <w:shd w:val="clear" w:color="auto" w:fill="auto"/>
            <w:noWrap/>
            <w:vAlign w:val="bottom"/>
            <w:hideMark/>
          </w:tcPr>
          <w:p w14:paraId="2FAB60BB"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14120</w:t>
            </w:r>
          </w:p>
        </w:tc>
        <w:tc>
          <w:tcPr>
            <w:tcW w:w="1295" w:type="dxa"/>
            <w:tcBorders>
              <w:top w:val="nil"/>
              <w:left w:val="nil"/>
              <w:bottom w:val="single" w:sz="4" w:space="0" w:color="auto"/>
              <w:right w:val="single" w:sz="4" w:space="0" w:color="auto"/>
            </w:tcBorders>
            <w:shd w:val="clear" w:color="auto" w:fill="auto"/>
            <w:noWrap/>
            <w:vAlign w:val="bottom"/>
            <w:hideMark/>
          </w:tcPr>
          <w:p w14:paraId="5CAAC0F8"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Ref</w:t>
            </w:r>
          </w:p>
        </w:tc>
      </w:tr>
      <w:tr w:rsidR="000B673A" w:rsidRPr="000B673A" w14:paraId="4D7D5517" w14:textId="77777777" w:rsidTr="000B673A">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7E9AEB95" w14:textId="77777777" w:rsidR="000B673A" w:rsidRPr="000B673A" w:rsidRDefault="000B673A" w:rsidP="000B673A">
            <w:pPr>
              <w:rPr>
                <w:rFonts w:ascii="Aptos Narrow" w:hAnsi="Aptos Narrow"/>
                <w:color w:val="000000"/>
                <w:sz w:val="20"/>
                <w:szCs w:val="20"/>
              </w:rPr>
            </w:pPr>
            <w:r w:rsidRPr="000B673A">
              <w:rPr>
                <w:rFonts w:ascii="Aptos Narrow" w:hAnsi="Aptos Narrow"/>
                <w:color w:val="000000"/>
                <w:sz w:val="20"/>
                <w:szCs w:val="20"/>
              </w:rPr>
              <w:t>Phentermine/Topiramate</w:t>
            </w:r>
          </w:p>
        </w:tc>
        <w:tc>
          <w:tcPr>
            <w:tcW w:w="1800" w:type="dxa"/>
            <w:tcBorders>
              <w:top w:val="nil"/>
              <w:left w:val="nil"/>
              <w:bottom w:val="single" w:sz="4" w:space="0" w:color="auto"/>
              <w:right w:val="single" w:sz="4" w:space="0" w:color="auto"/>
            </w:tcBorders>
            <w:shd w:val="clear" w:color="auto" w:fill="auto"/>
            <w:noWrap/>
            <w:vAlign w:val="bottom"/>
            <w:hideMark/>
          </w:tcPr>
          <w:p w14:paraId="184CADB7"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51.27 (14.25)</w:t>
            </w:r>
          </w:p>
        </w:tc>
        <w:tc>
          <w:tcPr>
            <w:tcW w:w="1170" w:type="dxa"/>
            <w:tcBorders>
              <w:top w:val="nil"/>
              <w:left w:val="nil"/>
              <w:bottom w:val="single" w:sz="4" w:space="0" w:color="auto"/>
              <w:right w:val="single" w:sz="4" w:space="0" w:color="auto"/>
            </w:tcBorders>
            <w:shd w:val="clear" w:color="auto" w:fill="auto"/>
            <w:noWrap/>
            <w:vAlign w:val="bottom"/>
            <w:hideMark/>
          </w:tcPr>
          <w:p w14:paraId="50B0FF40"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76410</w:t>
            </w:r>
          </w:p>
        </w:tc>
        <w:tc>
          <w:tcPr>
            <w:tcW w:w="1620" w:type="dxa"/>
            <w:tcBorders>
              <w:top w:val="nil"/>
              <w:left w:val="nil"/>
              <w:bottom w:val="single" w:sz="4" w:space="0" w:color="auto"/>
              <w:right w:val="single" w:sz="4" w:space="0" w:color="auto"/>
            </w:tcBorders>
            <w:shd w:val="clear" w:color="auto" w:fill="auto"/>
            <w:noWrap/>
            <w:vAlign w:val="bottom"/>
            <w:hideMark/>
          </w:tcPr>
          <w:p w14:paraId="313D15D0"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-1160</w:t>
            </w:r>
          </w:p>
        </w:tc>
        <w:tc>
          <w:tcPr>
            <w:tcW w:w="1350" w:type="dxa"/>
            <w:tcBorders>
              <w:top w:val="nil"/>
              <w:left w:val="nil"/>
              <w:bottom w:val="single" w:sz="4" w:space="0" w:color="auto"/>
              <w:right w:val="single" w:sz="4" w:space="0" w:color="auto"/>
            </w:tcBorders>
            <w:shd w:val="clear" w:color="auto" w:fill="auto"/>
            <w:noWrap/>
            <w:vAlign w:val="bottom"/>
            <w:hideMark/>
          </w:tcPr>
          <w:p w14:paraId="0F7AA50E"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9230</w:t>
            </w:r>
          </w:p>
        </w:tc>
        <w:tc>
          <w:tcPr>
            <w:tcW w:w="1229" w:type="dxa"/>
            <w:tcBorders>
              <w:top w:val="nil"/>
              <w:left w:val="nil"/>
              <w:bottom w:val="single" w:sz="4" w:space="0" w:color="auto"/>
              <w:right w:val="single" w:sz="4" w:space="0" w:color="auto"/>
            </w:tcBorders>
            <w:shd w:val="clear" w:color="auto" w:fill="auto"/>
            <w:noWrap/>
            <w:vAlign w:val="bottom"/>
            <w:hideMark/>
          </w:tcPr>
          <w:p w14:paraId="6F1AD16A"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-410</w:t>
            </w:r>
          </w:p>
        </w:tc>
        <w:tc>
          <w:tcPr>
            <w:tcW w:w="1201" w:type="dxa"/>
            <w:tcBorders>
              <w:top w:val="nil"/>
              <w:left w:val="nil"/>
              <w:bottom w:val="single" w:sz="4" w:space="0" w:color="auto"/>
              <w:right w:val="single" w:sz="4" w:space="0" w:color="auto"/>
            </w:tcBorders>
            <w:shd w:val="clear" w:color="auto" w:fill="auto"/>
            <w:noWrap/>
            <w:vAlign w:val="bottom"/>
            <w:hideMark/>
          </w:tcPr>
          <w:p w14:paraId="72E0CCB6"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13870</w:t>
            </w:r>
          </w:p>
        </w:tc>
        <w:tc>
          <w:tcPr>
            <w:tcW w:w="1295" w:type="dxa"/>
            <w:tcBorders>
              <w:top w:val="nil"/>
              <w:left w:val="nil"/>
              <w:bottom w:val="single" w:sz="4" w:space="0" w:color="auto"/>
              <w:right w:val="single" w:sz="4" w:space="0" w:color="auto"/>
            </w:tcBorders>
            <w:shd w:val="clear" w:color="auto" w:fill="auto"/>
            <w:noWrap/>
            <w:vAlign w:val="bottom"/>
            <w:hideMark/>
          </w:tcPr>
          <w:p w14:paraId="351A500A"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-250</w:t>
            </w:r>
          </w:p>
        </w:tc>
      </w:tr>
      <w:tr w:rsidR="000B673A" w:rsidRPr="000B673A" w14:paraId="7C0542D0" w14:textId="77777777" w:rsidTr="000B673A">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5C363BCE" w14:textId="77777777" w:rsidR="000B673A" w:rsidRPr="000B673A" w:rsidRDefault="000B673A" w:rsidP="000B673A">
            <w:pPr>
              <w:rPr>
                <w:rFonts w:ascii="Aptos Narrow" w:hAnsi="Aptos Narrow"/>
                <w:color w:val="000000"/>
                <w:sz w:val="20"/>
                <w:szCs w:val="20"/>
              </w:rPr>
            </w:pPr>
            <w:r w:rsidRPr="000B673A">
              <w:rPr>
                <w:rFonts w:ascii="Aptos Narrow" w:hAnsi="Aptos Narrow"/>
                <w:color w:val="000000"/>
                <w:sz w:val="20"/>
                <w:szCs w:val="20"/>
              </w:rPr>
              <w:t xml:space="preserve">Bupropion/Naltrexone  </w:t>
            </w:r>
          </w:p>
        </w:tc>
        <w:tc>
          <w:tcPr>
            <w:tcW w:w="1800" w:type="dxa"/>
            <w:tcBorders>
              <w:top w:val="nil"/>
              <w:left w:val="nil"/>
              <w:bottom w:val="single" w:sz="4" w:space="0" w:color="auto"/>
              <w:right w:val="single" w:sz="4" w:space="0" w:color="auto"/>
            </w:tcBorders>
            <w:shd w:val="clear" w:color="auto" w:fill="auto"/>
            <w:noWrap/>
            <w:vAlign w:val="bottom"/>
            <w:hideMark/>
          </w:tcPr>
          <w:p w14:paraId="27A12F9F"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51.35 (14.17)</w:t>
            </w:r>
          </w:p>
        </w:tc>
        <w:tc>
          <w:tcPr>
            <w:tcW w:w="1170" w:type="dxa"/>
            <w:tcBorders>
              <w:top w:val="nil"/>
              <w:left w:val="nil"/>
              <w:bottom w:val="single" w:sz="4" w:space="0" w:color="auto"/>
              <w:right w:val="single" w:sz="4" w:space="0" w:color="auto"/>
            </w:tcBorders>
            <w:shd w:val="clear" w:color="auto" w:fill="auto"/>
            <w:noWrap/>
            <w:vAlign w:val="bottom"/>
            <w:hideMark/>
          </w:tcPr>
          <w:p w14:paraId="6DAC9BCF"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77270</w:t>
            </w:r>
          </w:p>
        </w:tc>
        <w:tc>
          <w:tcPr>
            <w:tcW w:w="1620" w:type="dxa"/>
            <w:tcBorders>
              <w:top w:val="nil"/>
              <w:left w:val="nil"/>
              <w:bottom w:val="single" w:sz="4" w:space="0" w:color="auto"/>
              <w:right w:val="single" w:sz="4" w:space="0" w:color="auto"/>
            </w:tcBorders>
            <w:shd w:val="clear" w:color="auto" w:fill="auto"/>
            <w:noWrap/>
            <w:vAlign w:val="bottom"/>
            <w:hideMark/>
          </w:tcPr>
          <w:p w14:paraId="11E2451F"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-300</w:t>
            </w:r>
          </w:p>
        </w:tc>
        <w:tc>
          <w:tcPr>
            <w:tcW w:w="1350" w:type="dxa"/>
            <w:tcBorders>
              <w:top w:val="nil"/>
              <w:left w:val="nil"/>
              <w:bottom w:val="single" w:sz="4" w:space="0" w:color="auto"/>
              <w:right w:val="single" w:sz="4" w:space="0" w:color="auto"/>
            </w:tcBorders>
            <w:shd w:val="clear" w:color="auto" w:fill="auto"/>
            <w:noWrap/>
            <w:vAlign w:val="bottom"/>
            <w:hideMark/>
          </w:tcPr>
          <w:p w14:paraId="30825F8C"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9560</w:t>
            </w:r>
          </w:p>
        </w:tc>
        <w:tc>
          <w:tcPr>
            <w:tcW w:w="1229" w:type="dxa"/>
            <w:tcBorders>
              <w:top w:val="nil"/>
              <w:left w:val="nil"/>
              <w:bottom w:val="single" w:sz="4" w:space="0" w:color="auto"/>
              <w:right w:val="single" w:sz="4" w:space="0" w:color="auto"/>
            </w:tcBorders>
            <w:shd w:val="clear" w:color="auto" w:fill="auto"/>
            <w:noWrap/>
            <w:vAlign w:val="bottom"/>
            <w:hideMark/>
          </w:tcPr>
          <w:p w14:paraId="14985AEC"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-80</w:t>
            </w:r>
          </w:p>
        </w:tc>
        <w:tc>
          <w:tcPr>
            <w:tcW w:w="1201" w:type="dxa"/>
            <w:tcBorders>
              <w:top w:val="nil"/>
              <w:left w:val="nil"/>
              <w:bottom w:val="single" w:sz="4" w:space="0" w:color="auto"/>
              <w:right w:val="single" w:sz="4" w:space="0" w:color="auto"/>
            </w:tcBorders>
            <w:shd w:val="clear" w:color="auto" w:fill="auto"/>
            <w:noWrap/>
            <w:vAlign w:val="bottom"/>
            <w:hideMark/>
          </w:tcPr>
          <w:p w14:paraId="33E4DA24"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14230</w:t>
            </w:r>
          </w:p>
        </w:tc>
        <w:tc>
          <w:tcPr>
            <w:tcW w:w="1295" w:type="dxa"/>
            <w:tcBorders>
              <w:top w:val="nil"/>
              <w:left w:val="nil"/>
              <w:bottom w:val="single" w:sz="4" w:space="0" w:color="auto"/>
              <w:right w:val="single" w:sz="4" w:space="0" w:color="auto"/>
            </w:tcBorders>
            <w:shd w:val="clear" w:color="auto" w:fill="auto"/>
            <w:noWrap/>
            <w:vAlign w:val="bottom"/>
            <w:hideMark/>
          </w:tcPr>
          <w:p w14:paraId="6D9158B6"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110</w:t>
            </w:r>
          </w:p>
        </w:tc>
      </w:tr>
      <w:tr w:rsidR="000B673A" w:rsidRPr="000B673A" w14:paraId="4CBC91FC" w14:textId="77777777" w:rsidTr="000B673A">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70E119C6" w14:textId="77777777" w:rsidR="000B673A" w:rsidRPr="000B673A" w:rsidRDefault="000B673A" w:rsidP="000B673A">
            <w:pPr>
              <w:rPr>
                <w:rFonts w:ascii="Aptos Narrow" w:hAnsi="Aptos Narrow"/>
                <w:color w:val="000000"/>
                <w:sz w:val="20"/>
                <w:szCs w:val="20"/>
              </w:rPr>
            </w:pPr>
            <w:r w:rsidRPr="000B673A">
              <w:rPr>
                <w:rFonts w:ascii="Aptos Narrow" w:hAnsi="Aptos Narrow"/>
                <w:color w:val="000000"/>
                <w:sz w:val="20"/>
                <w:szCs w:val="20"/>
              </w:rPr>
              <w:t xml:space="preserve">Liraglutide           </w:t>
            </w:r>
          </w:p>
        </w:tc>
        <w:tc>
          <w:tcPr>
            <w:tcW w:w="1800" w:type="dxa"/>
            <w:tcBorders>
              <w:top w:val="nil"/>
              <w:left w:val="nil"/>
              <w:bottom w:val="single" w:sz="4" w:space="0" w:color="auto"/>
              <w:right w:val="single" w:sz="4" w:space="0" w:color="auto"/>
            </w:tcBorders>
            <w:shd w:val="clear" w:color="auto" w:fill="auto"/>
            <w:noWrap/>
            <w:vAlign w:val="bottom"/>
            <w:hideMark/>
          </w:tcPr>
          <w:p w14:paraId="06A6B6A5"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51.23 (14.1)</w:t>
            </w:r>
          </w:p>
        </w:tc>
        <w:tc>
          <w:tcPr>
            <w:tcW w:w="1170" w:type="dxa"/>
            <w:tcBorders>
              <w:top w:val="nil"/>
              <w:left w:val="nil"/>
              <w:bottom w:val="single" w:sz="4" w:space="0" w:color="auto"/>
              <w:right w:val="single" w:sz="4" w:space="0" w:color="auto"/>
            </w:tcBorders>
            <w:shd w:val="clear" w:color="auto" w:fill="auto"/>
            <w:noWrap/>
            <w:vAlign w:val="bottom"/>
            <w:hideMark/>
          </w:tcPr>
          <w:p w14:paraId="44B99934"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76780</w:t>
            </w:r>
          </w:p>
        </w:tc>
        <w:tc>
          <w:tcPr>
            <w:tcW w:w="1620" w:type="dxa"/>
            <w:tcBorders>
              <w:top w:val="nil"/>
              <w:left w:val="nil"/>
              <w:bottom w:val="single" w:sz="4" w:space="0" w:color="auto"/>
              <w:right w:val="single" w:sz="4" w:space="0" w:color="auto"/>
            </w:tcBorders>
            <w:shd w:val="clear" w:color="auto" w:fill="auto"/>
            <w:noWrap/>
            <w:vAlign w:val="bottom"/>
            <w:hideMark/>
          </w:tcPr>
          <w:p w14:paraId="1F3741C0"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-790</w:t>
            </w:r>
          </w:p>
        </w:tc>
        <w:tc>
          <w:tcPr>
            <w:tcW w:w="1350" w:type="dxa"/>
            <w:tcBorders>
              <w:top w:val="nil"/>
              <w:left w:val="nil"/>
              <w:bottom w:val="single" w:sz="4" w:space="0" w:color="auto"/>
              <w:right w:val="single" w:sz="4" w:space="0" w:color="auto"/>
            </w:tcBorders>
            <w:shd w:val="clear" w:color="auto" w:fill="auto"/>
            <w:noWrap/>
            <w:vAlign w:val="bottom"/>
            <w:hideMark/>
          </w:tcPr>
          <w:p w14:paraId="25E21EC5"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8830</w:t>
            </w:r>
          </w:p>
        </w:tc>
        <w:tc>
          <w:tcPr>
            <w:tcW w:w="1229" w:type="dxa"/>
            <w:tcBorders>
              <w:top w:val="nil"/>
              <w:left w:val="nil"/>
              <w:bottom w:val="single" w:sz="4" w:space="0" w:color="auto"/>
              <w:right w:val="single" w:sz="4" w:space="0" w:color="auto"/>
            </w:tcBorders>
            <w:shd w:val="clear" w:color="auto" w:fill="auto"/>
            <w:noWrap/>
            <w:vAlign w:val="bottom"/>
            <w:hideMark/>
          </w:tcPr>
          <w:p w14:paraId="6EC331FF"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-810</w:t>
            </w:r>
          </w:p>
        </w:tc>
        <w:tc>
          <w:tcPr>
            <w:tcW w:w="1201" w:type="dxa"/>
            <w:tcBorders>
              <w:top w:val="nil"/>
              <w:left w:val="nil"/>
              <w:bottom w:val="single" w:sz="4" w:space="0" w:color="auto"/>
              <w:right w:val="single" w:sz="4" w:space="0" w:color="auto"/>
            </w:tcBorders>
            <w:shd w:val="clear" w:color="auto" w:fill="auto"/>
            <w:noWrap/>
            <w:vAlign w:val="bottom"/>
            <w:hideMark/>
          </w:tcPr>
          <w:p w14:paraId="5161F9F3"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14160</w:t>
            </w:r>
          </w:p>
        </w:tc>
        <w:tc>
          <w:tcPr>
            <w:tcW w:w="1295" w:type="dxa"/>
            <w:tcBorders>
              <w:top w:val="nil"/>
              <w:left w:val="nil"/>
              <w:bottom w:val="single" w:sz="4" w:space="0" w:color="auto"/>
              <w:right w:val="single" w:sz="4" w:space="0" w:color="auto"/>
            </w:tcBorders>
            <w:shd w:val="clear" w:color="auto" w:fill="auto"/>
            <w:noWrap/>
            <w:vAlign w:val="bottom"/>
            <w:hideMark/>
          </w:tcPr>
          <w:p w14:paraId="36BEB1ED"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40</w:t>
            </w:r>
          </w:p>
        </w:tc>
      </w:tr>
      <w:tr w:rsidR="000B673A" w:rsidRPr="000B673A" w14:paraId="0323518E" w14:textId="77777777" w:rsidTr="000B673A">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793955EC" w14:textId="77777777" w:rsidR="000B673A" w:rsidRPr="000B673A" w:rsidRDefault="000B673A" w:rsidP="000B673A">
            <w:pPr>
              <w:rPr>
                <w:rFonts w:ascii="Aptos Narrow" w:hAnsi="Aptos Narrow"/>
                <w:color w:val="000000"/>
                <w:sz w:val="20"/>
                <w:szCs w:val="20"/>
              </w:rPr>
            </w:pPr>
            <w:proofErr w:type="spellStart"/>
            <w:r w:rsidRPr="000B673A">
              <w:rPr>
                <w:rFonts w:ascii="Aptos Narrow" w:hAnsi="Aptos Narrow"/>
                <w:color w:val="000000"/>
                <w:sz w:val="20"/>
                <w:szCs w:val="20"/>
              </w:rPr>
              <w:t>Semaglutide</w:t>
            </w:r>
            <w:proofErr w:type="spellEnd"/>
            <w:r w:rsidRPr="000B673A">
              <w:rPr>
                <w:rFonts w:ascii="Aptos Narrow" w:hAnsi="Aptos Narrow"/>
                <w:color w:val="000000"/>
                <w:sz w:val="20"/>
                <w:szCs w:val="20"/>
              </w:rPr>
              <w:t xml:space="preserve">           </w:t>
            </w:r>
          </w:p>
        </w:tc>
        <w:tc>
          <w:tcPr>
            <w:tcW w:w="1800" w:type="dxa"/>
            <w:tcBorders>
              <w:top w:val="nil"/>
              <w:left w:val="nil"/>
              <w:bottom w:val="single" w:sz="4" w:space="0" w:color="auto"/>
              <w:right w:val="single" w:sz="4" w:space="0" w:color="auto"/>
            </w:tcBorders>
            <w:shd w:val="clear" w:color="auto" w:fill="auto"/>
            <w:noWrap/>
            <w:vAlign w:val="bottom"/>
            <w:hideMark/>
          </w:tcPr>
          <w:p w14:paraId="27A235B9"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51.35 (14.25)</w:t>
            </w:r>
          </w:p>
        </w:tc>
        <w:tc>
          <w:tcPr>
            <w:tcW w:w="1170" w:type="dxa"/>
            <w:tcBorders>
              <w:top w:val="nil"/>
              <w:left w:val="nil"/>
              <w:bottom w:val="single" w:sz="4" w:space="0" w:color="auto"/>
              <w:right w:val="single" w:sz="4" w:space="0" w:color="auto"/>
            </w:tcBorders>
            <w:shd w:val="clear" w:color="auto" w:fill="auto"/>
            <w:noWrap/>
            <w:vAlign w:val="bottom"/>
            <w:hideMark/>
          </w:tcPr>
          <w:p w14:paraId="14F3BEC5"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76130</w:t>
            </w:r>
          </w:p>
        </w:tc>
        <w:tc>
          <w:tcPr>
            <w:tcW w:w="1620" w:type="dxa"/>
            <w:tcBorders>
              <w:top w:val="nil"/>
              <w:left w:val="nil"/>
              <w:bottom w:val="single" w:sz="4" w:space="0" w:color="auto"/>
              <w:right w:val="single" w:sz="4" w:space="0" w:color="auto"/>
            </w:tcBorders>
            <w:shd w:val="clear" w:color="auto" w:fill="auto"/>
            <w:noWrap/>
            <w:vAlign w:val="bottom"/>
            <w:hideMark/>
          </w:tcPr>
          <w:p w14:paraId="65EA46C2"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-1440</w:t>
            </w:r>
          </w:p>
        </w:tc>
        <w:tc>
          <w:tcPr>
            <w:tcW w:w="1350" w:type="dxa"/>
            <w:tcBorders>
              <w:top w:val="nil"/>
              <w:left w:val="nil"/>
              <w:bottom w:val="single" w:sz="4" w:space="0" w:color="auto"/>
              <w:right w:val="single" w:sz="4" w:space="0" w:color="auto"/>
            </w:tcBorders>
            <w:shd w:val="clear" w:color="auto" w:fill="auto"/>
            <w:noWrap/>
            <w:vAlign w:val="bottom"/>
            <w:hideMark/>
          </w:tcPr>
          <w:p w14:paraId="67A96D58"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8730</w:t>
            </w:r>
          </w:p>
        </w:tc>
        <w:tc>
          <w:tcPr>
            <w:tcW w:w="1229" w:type="dxa"/>
            <w:tcBorders>
              <w:top w:val="nil"/>
              <w:left w:val="nil"/>
              <w:bottom w:val="single" w:sz="4" w:space="0" w:color="auto"/>
              <w:right w:val="single" w:sz="4" w:space="0" w:color="auto"/>
            </w:tcBorders>
            <w:shd w:val="clear" w:color="auto" w:fill="auto"/>
            <w:noWrap/>
            <w:vAlign w:val="bottom"/>
            <w:hideMark/>
          </w:tcPr>
          <w:p w14:paraId="69D4C63F"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-910</w:t>
            </w:r>
          </w:p>
        </w:tc>
        <w:tc>
          <w:tcPr>
            <w:tcW w:w="1201" w:type="dxa"/>
            <w:tcBorders>
              <w:top w:val="nil"/>
              <w:left w:val="nil"/>
              <w:bottom w:val="single" w:sz="4" w:space="0" w:color="auto"/>
              <w:right w:val="single" w:sz="4" w:space="0" w:color="auto"/>
            </w:tcBorders>
            <w:shd w:val="clear" w:color="auto" w:fill="auto"/>
            <w:noWrap/>
            <w:vAlign w:val="bottom"/>
            <w:hideMark/>
          </w:tcPr>
          <w:p w14:paraId="22C653B4"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13980</w:t>
            </w:r>
          </w:p>
        </w:tc>
        <w:tc>
          <w:tcPr>
            <w:tcW w:w="1295" w:type="dxa"/>
            <w:tcBorders>
              <w:top w:val="nil"/>
              <w:left w:val="nil"/>
              <w:bottom w:val="single" w:sz="4" w:space="0" w:color="auto"/>
              <w:right w:val="single" w:sz="4" w:space="0" w:color="auto"/>
            </w:tcBorders>
            <w:shd w:val="clear" w:color="auto" w:fill="auto"/>
            <w:noWrap/>
            <w:vAlign w:val="bottom"/>
            <w:hideMark/>
          </w:tcPr>
          <w:p w14:paraId="2D85DAB0" w14:textId="77777777" w:rsidR="000B673A" w:rsidRPr="000B673A" w:rsidRDefault="000B673A" w:rsidP="000B673A">
            <w:pPr>
              <w:jc w:val="right"/>
              <w:rPr>
                <w:rFonts w:ascii="Aptos Narrow" w:hAnsi="Aptos Narrow"/>
                <w:color w:val="000000"/>
                <w:sz w:val="20"/>
                <w:szCs w:val="20"/>
              </w:rPr>
            </w:pPr>
            <w:r w:rsidRPr="000B673A">
              <w:rPr>
                <w:rFonts w:ascii="Aptos Narrow" w:hAnsi="Aptos Narrow"/>
                <w:color w:val="000000"/>
                <w:sz w:val="20"/>
                <w:szCs w:val="20"/>
              </w:rPr>
              <w:t>-140</w:t>
            </w:r>
          </w:p>
        </w:tc>
      </w:tr>
    </w:tbl>
    <w:p w14:paraId="0C31DBD7" w14:textId="77777777" w:rsidR="000B673A" w:rsidRDefault="000B673A">
      <w:pPr>
        <w:rPr>
          <w:rFonts w:ascii="Aptos" w:hAnsi="Aptos"/>
        </w:rPr>
      </w:pPr>
    </w:p>
    <w:p w14:paraId="70FF4A27" w14:textId="762D0593" w:rsidR="005E0B12" w:rsidRDefault="005E0B12">
      <w:pPr>
        <w:rPr>
          <w:rFonts w:ascii="Aptos" w:hAnsi="Aptos"/>
        </w:rPr>
      </w:pPr>
      <w:r>
        <w:rPr>
          <w:rFonts w:ascii="Aptos" w:hAnsi="Aptos"/>
        </w:rPr>
        <w:t>Figure 2. Cost-effectiveness plane</w:t>
      </w:r>
    </w:p>
    <w:p w14:paraId="769E591A" w14:textId="68D2F620" w:rsidR="004D2C8B" w:rsidRPr="006D221B" w:rsidRDefault="005E0B12">
      <w:pPr>
        <w:rPr>
          <w:rFonts w:ascii="Aptos" w:hAnsi="Aptos"/>
        </w:rPr>
      </w:pPr>
      <w:r>
        <w:rPr>
          <w:noProof/>
        </w:rPr>
        <w:drawing>
          <wp:inline distT="0" distB="0" distL="0" distR="0" wp14:anchorId="0546B55A" wp14:editId="19008BC6">
            <wp:extent cx="4043898" cy="3537019"/>
            <wp:effectExtent l="0" t="0" r="0" b="0"/>
            <wp:docPr id="3" name="Picture 2" descr="A graph with numbers and lines&#10;&#10;AI-generated content may be incorrect.">
              <a:extLst xmlns:a="http://schemas.openxmlformats.org/drawingml/2006/main">
                <a:ext uri="{FF2B5EF4-FFF2-40B4-BE49-F238E27FC236}">
                  <a16:creationId xmlns:a16="http://schemas.microsoft.com/office/drawing/2014/main" id="{5BA3C843-F323-589E-8A90-357FF57C9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numbers and lines&#10;&#10;AI-generated content may be incorrect.">
                      <a:extLst>
                        <a:ext uri="{FF2B5EF4-FFF2-40B4-BE49-F238E27FC236}">
                          <a16:creationId xmlns:a16="http://schemas.microsoft.com/office/drawing/2014/main" id="{5BA3C843-F323-589E-8A90-357FF57C924A}"/>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098348" cy="3584644"/>
                    </a:xfrm>
                    <a:prstGeom prst="rect">
                      <a:avLst/>
                    </a:prstGeom>
                  </pic:spPr>
                </pic:pic>
              </a:graphicData>
            </a:graphic>
          </wp:inline>
        </w:drawing>
      </w:r>
      <w:r>
        <w:rPr>
          <w:noProof/>
        </w:rPr>
        <w:drawing>
          <wp:anchor distT="0" distB="0" distL="114300" distR="114300" simplePos="0" relativeHeight="251660288" behindDoc="0" locked="0" layoutInCell="1" allowOverlap="1" wp14:anchorId="029342D4" wp14:editId="00391860">
            <wp:simplePos x="0" y="0"/>
            <wp:positionH relativeFrom="column">
              <wp:posOffset>0</wp:posOffset>
            </wp:positionH>
            <wp:positionV relativeFrom="paragraph">
              <wp:posOffset>13093700</wp:posOffset>
            </wp:positionV>
            <wp:extent cx="3571875" cy="3287130"/>
            <wp:effectExtent l="0" t="0" r="0" b="2540"/>
            <wp:wrapNone/>
            <wp:docPr id="6" name="Picture 5" descr="A graph of a number of people&#10;&#10;AI-generated content may be incorrect.">
              <a:extLst xmlns:a="http://schemas.openxmlformats.org/drawingml/2006/main">
                <a:ext uri="{FF2B5EF4-FFF2-40B4-BE49-F238E27FC236}">
                  <a16:creationId xmlns:a16="http://schemas.microsoft.com/office/drawing/2014/main" id="{EB25D0BD-528F-D14A-99DA-83381A397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number of people&#10;&#10;AI-generated content may be incorrect.">
                      <a:extLst>
                        <a:ext uri="{FF2B5EF4-FFF2-40B4-BE49-F238E27FC236}">
                          <a16:creationId xmlns:a16="http://schemas.microsoft.com/office/drawing/2014/main" id="{EB25D0BD-528F-D14A-99DA-83381A397550}"/>
                        </a:ext>
                      </a:extLst>
                    </pic:cNvPr>
                    <pic:cNvPicPr>
                      <a:picLocks noChangeAspect="1"/>
                    </pic:cNvPicPr>
                  </pic:nvPicPr>
                  <pic:blipFill>
                    <a:blip r:embed="rId6"/>
                    <a:stretch>
                      <a:fillRect/>
                    </a:stretch>
                  </pic:blipFill>
                  <pic:spPr>
                    <a:xfrm>
                      <a:off x="0" y="0"/>
                      <a:ext cx="3571875" cy="3287130"/>
                    </a:xfrm>
                    <a:prstGeom prst="rect">
                      <a:avLst/>
                    </a:prstGeom>
                  </pic:spPr>
                </pic:pic>
              </a:graphicData>
            </a:graphic>
          </wp:anchor>
        </w:drawing>
      </w:r>
    </w:p>
    <w:p w14:paraId="1937EE9C" w14:textId="3707CE0C" w:rsidR="006831AD" w:rsidRDefault="006831AD">
      <w:pPr>
        <w:rPr>
          <w:rFonts w:ascii="Aptos" w:hAnsi="Aptos"/>
        </w:rPr>
      </w:pPr>
      <w:r>
        <w:rPr>
          <w:rFonts w:ascii="Aptos" w:hAnsi="Aptos"/>
        </w:rPr>
        <w:lastRenderedPageBreak/>
        <w:t xml:space="preserve">Figure 3. </w:t>
      </w:r>
      <w:r w:rsidR="00147EB7" w:rsidRPr="00147EB7">
        <w:rPr>
          <w:rFonts w:ascii="Aptos" w:hAnsi="Aptos"/>
        </w:rPr>
        <w:t xml:space="preserve">Tornado Diagram of </w:t>
      </w:r>
      <w:r w:rsidR="00965131" w:rsidRPr="00147EB7">
        <w:rPr>
          <w:rFonts w:ascii="Aptos" w:hAnsi="Aptos"/>
        </w:rPr>
        <w:t>one-way</w:t>
      </w:r>
      <w:r w:rsidR="00147EB7" w:rsidRPr="00147EB7">
        <w:rPr>
          <w:rFonts w:ascii="Aptos" w:hAnsi="Aptos"/>
        </w:rPr>
        <w:t xml:space="preserve"> sensitivity analysis by Incremental Cost Effectiveness Ratio for Phentermine/Topiramate</w:t>
      </w:r>
    </w:p>
    <w:p w14:paraId="697DC1F4" w14:textId="1BCA42B2" w:rsidR="00147EB7" w:rsidRDefault="00147EB7">
      <w:pPr>
        <w:rPr>
          <w:rFonts w:ascii="Aptos" w:hAnsi="Aptos"/>
        </w:rPr>
      </w:pPr>
      <w:r w:rsidRPr="00147EB7">
        <w:rPr>
          <w:rFonts w:ascii="Aptos" w:hAnsi="Aptos"/>
          <w:noProof/>
        </w:rPr>
        <w:drawing>
          <wp:inline distT="0" distB="0" distL="0" distR="0" wp14:anchorId="396D54D2" wp14:editId="07418D9B">
            <wp:extent cx="5943600" cy="3241040"/>
            <wp:effectExtent l="0" t="0" r="0" b="0"/>
            <wp:docPr id="5" name="Picture 4" descr="A graph with numbers and a bar&#10;&#10;AI-generated content may be incorrect.">
              <a:extLst xmlns:a="http://schemas.openxmlformats.org/drawingml/2006/main">
                <a:ext uri="{FF2B5EF4-FFF2-40B4-BE49-F238E27FC236}">
                  <a16:creationId xmlns:a16="http://schemas.microsoft.com/office/drawing/2014/main" id="{667B5D3B-A88D-7D0A-0492-B1D5B5666D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numbers and a bar&#10;&#10;AI-generated content may be incorrect.">
                      <a:extLst>
                        <a:ext uri="{FF2B5EF4-FFF2-40B4-BE49-F238E27FC236}">
                          <a16:creationId xmlns:a16="http://schemas.microsoft.com/office/drawing/2014/main" id="{667B5D3B-A88D-7D0A-0492-B1D5B5666DD1}"/>
                        </a:ext>
                      </a:extLst>
                    </pic:cNvPr>
                    <pic:cNvPicPr>
                      <a:picLocks noChangeAspect="1"/>
                    </pic:cNvPicPr>
                  </pic:nvPicPr>
                  <pic:blipFill>
                    <a:blip r:embed="rId7"/>
                    <a:stretch>
                      <a:fillRect/>
                    </a:stretch>
                  </pic:blipFill>
                  <pic:spPr>
                    <a:xfrm>
                      <a:off x="0" y="0"/>
                      <a:ext cx="5943600" cy="3241040"/>
                    </a:xfrm>
                    <a:prstGeom prst="rect">
                      <a:avLst/>
                    </a:prstGeom>
                  </pic:spPr>
                </pic:pic>
              </a:graphicData>
            </a:graphic>
          </wp:inline>
        </w:drawing>
      </w:r>
    </w:p>
    <w:p w14:paraId="3E28539E" w14:textId="28074281" w:rsidR="00E63770" w:rsidRDefault="00E63770">
      <w:pPr>
        <w:rPr>
          <w:rFonts w:ascii="Aptos" w:hAnsi="Aptos"/>
        </w:rPr>
      </w:pPr>
      <w:r>
        <w:rPr>
          <w:rFonts w:ascii="Aptos" w:hAnsi="Aptos"/>
        </w:rPr>
        <w:t xml:space="preserve">Figure 4. </w:t>
      </w:r>
      <w:r w:rsidR="00C71D13">
        <w:rPr>
          <w:rFonts w:ascii="Aptos" w:hAnsi="Aptos"/>
        </w:rPr>
        <w:t>Probabilistic Sensitivity Analysis</w:t>
      </w:r>
      <w:r w:rsidR="0085576A">
        <w:rPr>
          <w:rFonts w:ascii="Aptos" w:hAnsi="Aptos"/>
        </w:rPr>
        <w:t xml:space="preserve"> </w:t>
      </w:r>
      <w:r>
        <w:rPr>
          <w:rFonts w:ascii="Aptos" w:hAnsi="Aptos"/>
        </w:rPr>
        <w:t>Cost-effectiveness acceptability curve with second-order uncertainty</w:t>
      </w:r>
      <w:r w:rsidR="0085576A">
        <w:rPr>
          <w:rFonts w:ascii="Aptos" w:hAnsi="Aptos"/>
        </w:rPr>
        <w:t>, n=1000, 100 PSA’s</w:t>
      </w:r>
    </w:p>
    <w:p w14:paraId="40BAF9DC" w14:textId="7515F35B" w:rsidR="0085576A" w:rsidRPr="006D221B" w:rsidRDefault="0085576A">
      <w:pPr>
        <w:rPr>
          <w:rFonts w:ascii="Aptos" w:hAnsi="Aptos"/>
        </w:rPr>
      </w:pPr>
      <w:r>
        <w:rPr>
          <w:noProof/>
        </w:rPr>
        <w:drawing>
          <wp:inline distT="0" distB="0" distL="0" distR="0" wp14:anchorId="6625D521" wp14:editId="1B475C54">
            <wp:extent cx="4192839" cy="3908808"/>
            <wp:effectExtent l="0" t="0" r="0" b="3175"/>
            <wp:docPr id="618144176" name="Picture 5" descr="A graph of a number of people&#10;&#10;AI-generated content may be incorrect.">
              <a:extLst xmlns:a="http://schemas.openxmlformats.org/drawingml/2006/main">
                <a:ext uri="{FF2B5EF4-FFF2-40B4-BE49-F238E27FC236}">
                  <a16:creationId xmlns:a16="http://schemas.microsoft.com/office/drawing/2014/main" id="{EB25D0BD-528F-D14A-99DA-83381A397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44176" name="Picture 5" descr="A graph of a number of people&#10;&#10;AI-generated content may be incorrect.">
                      <a:extLst>
                        <a:ext uri="{FF2B5EF4-FFF2-40B4-BE49-F238E27FC236}">
                          <a16:creationId xmlns:a16="http://schemas.microsoft.com/office/drawing/2014/main" id="{EB25D0BD-528F-D14A-99DA-83381A397550}"/>
                        </a:ext>
                      </a:extLst>
                    </pic:cNvPr>
                    <pic:cNvPicPr>
                      <a:picLocks noChangeAspect="1"/>
                    </pic:cNvPicPr>
                  </pic:nvPicPr>
                  <pic:blipFill>
                    <a:blip r:embed="rId6"/>
                    <a:stretch>
                      <a:fillRect/>
                    </a:stretch>
                  </pic:blipFill>
                  <pic:spPr>
                    <a:xfrm>
                      <a:off x="0" y="0"/>
                      <a:ext cx="4284993" cy="3994719"/>
                    </a:xfrm>
                    <a:prstGeom prst="rect">
                      <a:avLst/>
                    </a:prstGeom>
                  </pic:spPr>
                </pic:pic>
              </a:graphicData>
            </a:graphic>
          </wp:inline>
        </w:drawing>
      </w:r>
    </w:p>
    <w:p w14:paraId="1983E946" w14:textId="77777777" w:rsidR="006A5452" w:rsidRPr="006D221B" w:rsidRDefault="006A5452">
      <w:pPr>
        <w:rPr>
          <w:rFonts w:ascii="Aptos" w:hAnsi="Aptos"/>
        </w:rPr>
      </w:pPr>
      <w:r w:rsidRPr="006D221B">
        <w:rPr>
          <w:rFonts w:ascii="Aptos" w:hAnsi="Aptos"/>
        </w:rPr>
        <w:br w:type="page"/>
      </w:r>
    </w:p>
    <w:p w14:paraId="7498E770" w14:textId="77777777" w:rsidR="006831AD" w:rsidRPr="006D221B" w:rsidRDefault="006831AD" w:rsidP="006A5452">
      <w:pPr>
        <w:rPr>
          <w:rFonts w:ascii="Aptos" w:hAnsi="Aptos"/>
        </w:rPr>
        <w:sectPr w:rsidR="006831AD" w:rsidRPr="006D221B" w:rsidSect="000B673A">
          <w:pgSz w:w="12240" w:h="15840"/>
          <w:pgMar w:top="1440" w:right="1440" w:bottom="1440" w:left="1440" w:header="720" w:footer="720" w:gutter="0"/>
          <w:cols w:space="720"/>
          <w:docGrid w:linePitch="360"/>
        </w:sectPr>
      </w:pPr>
    </w:p>
    <w:p w14:paraId="510243AC" w14:textId="27238A78" w:rsidR="000A02A7" w:rsidRPr="006D221B" w:rsidRDefault="000A02A7" w:rsidP="006A5452">
      <w:pPr>
        <w:spacing w:after="160"/>
        <w:rPr>
          <w:rFonts w:ascii="Aptos" w:hAnsi="Aptos" w:cstheme="minorBidi"/>
        </w:rPr>
      </w:pPr>
      <w:r w:rsidRPr="006D221B">
        <w:rPr>
          <w:rFonts w:ascii="Aptos" w:hAnsi="Aptos"/>
        </w:rPr>
        <w:lastRenderedPageBreak/>
        <w:t>Appendix Table 1. Strategy comparisons and trade-offs</w:t>
      </w:r>
    </w:p>
    <w:tbl>
      <w:tblPr>
        <w:tblW w:w="12950" w:type="dxa"/>
        <w:tblLook w:val="04A0" w:firstRow="1" w:lastRow="0" w:firstColumn="1" w:lastColumn="0" w:noHBand="0" w:noVBand="1"/>
      </w:tblPr>
      <w:tblGrid>
        <w:gridCol w:w="2121"/>
        <w:gridCol w:w="2080"/>
        <w:gridCol w:w="1323"/>
        <w:gridCol w:w="1062"/>
        <w:gridCol w:w="1616"/>
        <w:gridCol w:w="1887"/>
        <w:gridCol w:w="2861"/>
      </w:tblGrid>
      <w:tr w:rsidR="000A02A7" w:rsidRPr="006D221B" w14:paraId="55CB5FE7" w14:textId="77777777" w:rsidTr="000A02A7">
        <w:trPr>
          <w:trHeight w:val="78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D248" w14:textId="77777777" w:rsidR="000A02A7" w:rsidRPr="000A02A7" w:rsidRDefault="000A02A7" w:rsidP="000A02A7">
            <w:pPr>
              <w:jc w:val="center"/>
              <w:rPr>
                <w:rFonts w:ascii="Aptos" w:hAnsi="Aptos" w:cs="Calibri"/>
                <w:b/>
                <w:bCs/>
                <w:color w:val="000000"/>
                <w:sz w:val="18"/>
                <w:szCs w:val="18"/>
              </w:rPr>
            </w:pPr>
            <w:r w:rsidRPr="000A02A7">
              <w:rPr>
                <w:rFonts w:ascii="Aptos" w:hAnsi="Aptos" w:cs="Calibri"/>
                <w:b/>
                <w:bCs/>
                <w:color w:val="000000"/>
                <w:sz w:val="18"/>
                <w:szCs w:val="18"/>
              </w:rPr>
              <w:t>Strategy</w:t>
            </w:r>
          </w:p>
        </w:tc>
        <w:tc>
          <w:tcPr>
            <w:tcW w:w="2016" w:type="dxa"/>
            <w:tcBorders>
              <w:top w:val="single" w:sz="4" w:space="0" w:color="auto"/>
              <w:left w:val="nil"/>
              <w:bottom w:val="single" w:sz="4" w:space="0" w:color="auto"/>
              <w:right w:val="single" w:sz="4" w:space="0" w:color="auto"/>
            </w:tcBorders>
            <w:shd w:val="clear" w:color="auto" w:fill="auto"/>
            <w:vAlign w:val="center"/>
            <w:hideMark/>
          </w:tcPr>
          <w:p w14:paraId="42F4F2CA" w14:textId="77777777" w:rsidR="000A02A7" w:rsidRPr="000A02A7" w:rsidRDefault="000A02A7" w:rsidP="000A02A7">
            <w:pPr>
              <w:jc w:val="center"/>
              <w:rPr>
                <w:rFonts w:ascii="Aptos" w:hAnsi="Aptos" w:cs="Calibri"/>
                <w:b/>
                <w:bCs/>
                <w:color w:val="000000"/>
                <w:sz w:val="18"/>
                <w:szCs w:val="18"/>
              </w:rPr>
            </w:pPr>
            <w:r w:rsidRPr="000A02A7">
              <w:rPr>
                <w:rFonts w:ascii="Aptos" w:hAnsi="Aptos" w:cs="Calibri"/>
                <w:b/>
                <w:bCs/>
                <w:color w:val="000000"/>
                <w:sz w:val="18"/>
                <w:szCs w:val="18"/>
              </w:rPr>
              <w:t>Mechanism of Action</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14:paraId="4A131908" w14:textId="77777777" w:rsidR="000A02A7" w:rsidRPr="000A02A7" w:rsidRDefault="000A02A7" w:rsidP="000A02A7">
            <w:pPr>
              <w:jc w:val="center"/>
              <w:rPr>
                <w:rFonts w:ascii="Aptos" w:hAnsi="Aptos" w:cs="Calibri"/>
                <w:b/>
                <w:bCs/>
                <w:color w:val="000000"/>
                <w:sz w:val="18"/>
                <w:szCs w:val="18"/>
              </w:rPr>
            </w:pPr>
            <w:r w:rsidRPr="000A02A7">
              <w:rPr>
                <w:rFonts w:ascii="Aptos" w:hAnsi="Aptos" w:cs="Calibri"/>
                <w:b/>
                <w:bCs/>
                <w:color w:val="000000"/>
                <w:sz w:val="18"/>
                <w:szCs w:val="18"/>
              </w:rPr>
              <w:t>Route</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14:paraId="59B42617" w14:textId="77777777" w:rsidR="000A02A7" w:rsidRPr="000A02A7" w:rsidRDefault="000A02A7" w:rsidP="000A02A7">
            <w:pPr>
              <w:jc w:val="center"/>
              <w:rPr>
                <w:rFonts w:ascii="Aptos" w:hAnsi="Aptos" w:cs="Calibri"/>
                <w:b/>
                <w:bCs/>
                <w:color w:val="000000"/>
                <w:sz w:val="18"/>
                <w:szCs w:val="18"/>
              </w:rPr>
            </w:pPr>
            <w:r w:rsidRPr="000A02A7">
              <w:rPr>
                <w:rFonts w:ascii="Aptos" w:hAnsi="Aptos" w:cs="Calibri"/>
                <w:b/>
                <w:bCs/>
                <w:color w:val="000000"/>
                <w:sz w:val="18"/>
                <w:szCs w:val="18"/>
              </w:rPr>
              <w:t>Frequency</w:t>
            </w:r>
          </w:p>
        </w:tc>
        <w:tc>
          <w:tcPr>
            <w:tcW w:w="1650" w:type="dxa"/>
            <w:tcBorders>
              <w:top w:val="single" w:sz="4" w:space="0" w:color="auto"/>
              <w:left w:val="nil"/>
              <w:bottom w:val="single" w:sz="4" w:space="0" w:color="auto"/>
              <w:right w:val="single" w:sz="4" w:space="0" w:color="auto"/>
            </w:tcBorders>
            <w:shd w:val="clear" w:color="auto" w:fill="auto"/>
            <w:vAlign w:val="center"/>
            <w:hideMark/>
          </w:tcPr>
          <w:p w14:paraId="6F26268E" w14:textId="77777777" w:rsidR="000A02A7" w:rsidRPr="000A02A7" w:rsidRDefault="000A02A7" w:rsidP="000A02A7">
            <w:pPr>
              <w:jc w:val="center"/>
              <w:rPr>
                <w:rFonts w:ascii="Aptos" w:hAnsi="Aptos" w:cs="Calibri"/>
                <w:b/>
                <w:bCs/>
                <w:color w:val="000000"/>
                <w:sz w:val="18"/>
                <w:szCs w:val="18"/>
              </w:rPr>
            </w:pPr>
            <w:r w:rsidRPr="000A02A7">
              <w:rPr>
                <w:rFonts w:ascii="Aptos" w:hAnsi="Aptos" w:cs="Calibri"/>
                <w:b/>
                <w:bCs/>
                <w:color w:val="000000"/>
                <w:sz w:val="18"/>
                <w:szCs w:val="18"/>
              </w:rPr>
              <w:t xml:space="preserve">Annual Cost </w:t>
            </w:r>
            <w:r w:rsidRPr="000A02A7">
              <w:rPr>
                <w:rFonts w:ascii="Aptos" w:hAnsi="Aptos" w:cs="Calibri"/>
                <w:b/>
                <w:bCs/>
                <w:color w:val="000000"/>
                <w:sz w:val="18"/>
                <w:szCs w:val="18"/>
              </w:rPr>
              <w:br/>
              <w:t>(net price, ICER report, US FSS database)</w:t>
            </w:r>
          </w:p>
        </w:tc>
        <w:tc>
          <w:tcPr>
            <w:tcW w:w="1927" w:type="dxa"/>
            <w:tcBorders>
              <w:top w:val="single" w:sz="4" w:space="0" w:color="auto"/>
              <w:left w:val="nil"/>
              <w:bottom w:val="single" w:sz="4" w:space="0" w:color="auto"/>
              <w:right w:val="single" w:sz="4" w:space="0" w:color="auto"/>
            </w:tcBorders>
            <w:shd w:val="clear" w:color="auto" w:fill="auto"/>
            <w:vAlign w:val="center"/>
            <w:hideMark/>
          </w:tcPr>
          <w:p w14:paraId="25A20C80" w14:textId="77777777" w:rsidR="000A02A7" w:rsidRPr="000A02A7" w:rsidRDefault="000A02A7" w:rsidP="000A02A7">
            <w:pPr>
              <w:jc w:val="center"/>
              <w:rPr>
                <w:rFonts w:ascii="Aptos" w:hAnsi="Aptos" w:cs="Calibri"/>
                <w:b/>
                <w:bCs/>
                <w:color w:val="000000"/>
                <w:sz w:val="18"/>
                <w:szCs w:val="18"/>
              </w:rPr>
            </w:pPr>
            <w:r w:rsidRPr="000A02A7">
              <w:rPr>
                <w:rFonts w:ascii="Aptos" w:hAnsi="Aptos" w:cs="Calibri"/>
                <w:b/>
                <w:bCs/>
                <w:color w:val="000000"/>
                <w:sz w:val="18"/>
                <w:szCs w:val="18"/>
              </w:rPr>
              <w:t>Difference in % weight loss at 1 yr compared to placebo *</w:t>
            </w:r>
          </w:p>
        </w:tc>
        <w:tc>
          <w:tcPr>
            <w:tcW w:w="2925" w:type="dxa"/>
            <w:tcBorders>
              <w:top w:val="single" w:sz="4" w:space="0" w:color="auto"/>
              <w:left w:val="nil"/>
              <w:bottom w:val="single" w:sz="4" w:space="0" w:color="auto"/>
              <w:right w:val="single" w:sz="4" w:space="0" w:color="auto"/>
            </w:tcBorders>
            <w:shd w:val="clear" w:color="auto" w:fill="auto"/>
            <w:vAlign w:val="center"/>
            <w:hideMark/>
          </w:tcPr>
          <w:p w14:paraId="54C6482A" w14:textId="77777777" w:rsidR="000A02A7" w:rsidRPr="000A02A7" w:rsidRDefault="000A02A7" w:rsidP="000A02A7">
            <w:pPr>
              <w:jc w:val="center"/>
              <w:rPr>
                <w:rFonts w:ascii="Aptos" w:hAnsi="Aptos" w:cs="Calibri"/>
                <w:b/>
                <w:bCs/>
                <w:color w:val="000000"/>
                <w:sz w:val="18"/>
                <w:szCs w:val="18"/>
              </w:rPr>
            </w:pPr>
            <w:r w:rsidRPr="000A02A7">
              <w:rPr>
                <w:rFonts w:ascii="Aptos" w:hAnsi="Aptos" w:cs="Calibri"/>
                <w:b/>
                <w:bCs/>
                <w:color w:val="000000"/>
                <w:sz w:val="18"/>
                <w:szCs w:val="18"/>
              </w:rPr>
              <w:t>Common side-effects</w:t>
            </w:r>
          </w:p>
        </w:tc>
      </w:tr>
      <w:tr w:rsidR="000A02A7" w:rsidRPr="006D221B" w14:paraId="2A5A7FC6" w14:textId="77777777" w:rsidTr="000A02A7">
        <w:trPr>
          <w:trHeight w:val="780"/>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762B094A" w14:textId="77777777" w:rsidR="000A02A7" w:rsidRPr="000A02A7" w:rsidRDefault="000A02A7" w:rsidP="000A02A7">
            <w:pPr>
              <w:jc w:val="center"/>
              <w:rPr>
                <w:rFonts w:ascii="Aptos" w:hAnsi="Aptos" w:cs="Calibri"/>
                <w:color w:val="000000"/>
                <w:sz w:val="18"/>
                <w:szCs w:val="18"/>
              </w:rPr>
            </w:pPr>
            <w:proofErr w:type="spellStart"/>
            <w:r w:rsidRPr="000A02A7">
              <w:rPr>
                <w:rFonts w:ascii="Aptos" w:hAnsi="Aptos" w:cs="Calibri"/>
                <w:color w:val="000000"/>
                <w:sz w:val="18"/>
                <w:szCs w:val="18"/>
              </w:rPr>
              <w:t>Semaglutide</w:t>
            </w:r>
            <w:proofErr w:type="spellEnd"/>
          </w:p>
        </w:tc>
        <w:tc>
          <w:tcPr>
            <w:tcW w:w="2016" w:type="dxa"/>
            <w:tcBorders>
              <w:top w:val="nil"/>
              <w:left w:val="nil"/>
              <w:bottom w:val="single" w:sz="4" w:space="0" w:color="auto"/>
              <w:right w:val="single" w:sz="4" w:space="0" w:color="auto"/>
            </w:tcBorders>
            <w:shd w:val="clear" w:color="auto" w:fill="auto"/>
            <w:vAlign w:val="center"/>
            <w:hideMark/>
          </w:tcPr>
          <w:p w14:paraId="6C105D0F"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GLP-1 receptor agonist</w:t>
            </w:r>
          </w:p>
        </w:tc>
        <w:tc>
          <w:tcPr>
            <w:tcW w:w="1340" w:type="dxa"/>
            <w:tcBorders>
              <w:top w:val="nil"/>
              <w:left w:val="nil"/>
              <w:bottom w:val="single" w:sz="4" w:space="0" w:color="auto"/>
              <w:right w:val="single" w:sz="4" w:space="0" w:color="auto"/>
            </w:tcBorders>
            <w:shd w:val="clear" w:color="auto" w:fill="auto"/>
            <w:noWrap/>
            <w:vAlign w:val="center"/>
            <w:hideMark/>
          </w:tcPr>
          <w:p w14:paraId="4ACEE7FC"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Subcutaneous</w:t>
            </w:r>
          </w:p>
        </w:tc>
        <w:tc>
          <w:tcPr>
            <w:tcW w:w="1020" w:type="dxa"/>
            <w:tcBorders>
              <w:top w:val="nil"/>
              <w:left w:val="nil"/>
              <w:bottom w:val="single" w:sz="4" w:space="0" w:color="auto"/>
              <w:right w:val="single" w:sz="4" w:space="0" w:color="auto"/>
            </w:tcBorders>
            <w:shd w:val="clear" w:color="auto" w:fill="auto"/>
            <w:noWrap/>
            <w:vAlign w:val="center"/>
            <w:hideMark/>
          </w:tcPr>
          <w:p w14:paraId="7EA678CC"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Weekly</w:t>
            </w:r>
          </w:p>
        </w:tc>
        <w:tc>
          <w:tcPr>
            <w:tcW w:w="1650" w:type="dxa"/>
            <w:tcBorders>
              <w:top w:val="nil"/>
              <w:left w:val="nil"/>
              <w:bottom w:val="single" w:sz="4" w:space="0" w:color="auto"/>
              <w:right w:val="single" w:sz="4" w:space="0" w:color="auto"/>
            </w:tcBorders>
            <w:shd w:val="clear" w:color="auto" w:fill="auto"/>
            <w:noWrap/>
            <w:vAlign w:val="center"/>
            <w:hideMark/>
          </w:tcPr>
          <w:p w14:paraId="53752A89"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 xml:space="preserve">$13,618 </w:t>
            </w:r>
          </w:p>
        </w:tc>
        <w:tc>
          <w:tcPr>
            <w:tcW w:w="1927" w:type="dxa"/>
            <w:tcBorders>
              <w:top w:val="nil"/>
              <w:left w:val="nil"/>
              <w:bottom w:val="single" w:sz="4" w:space="0" w:color="auto"/>
              <w:right w:val="single" w:sz="4" w:space="0" w:color="auto"/>
            </w:tcBorders>
            <w:shd w:val="clear" w:color="auto" w:fill="auto"/>
            <w:noWrap/>
            <w:vAlign w:val="center"/>
            <w:hideMark/>
          </w:tcPr>
          <w:p w14:paraId="50EDB058"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-13.7 (-12.6 to -15.1)</w:t>
            </w:r>
          </w:p>
        </w:tc>
        <w:tc>
          <w:tcPr>
            <w:tcW w:w="2925" w:type="dxa"/>
            <w:tcBorders>
              <w:top w:val="nil"/>
              <w:left w:val="nil"/>
              <w:bottom w:val="single" w:sz="4" w:space="0" w:color="auto"/>
              <w:right w:val="single" w:sz="4" w:space="0" w:color="auto"/>
            </w:tcBorders>
            <w:shd w:val="clear" w:color="auto" w:fill="auto"/>
            <w:vAlign w:val="center"/>
            <w:hideMark/>
          </w:tcPr>
          <w:p w14:paraId="4993135C"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GI side effects: Nausea, vomiting, diarrhea, constipation, abdominal pain, headache, fatigue, GERD</w:t>
            </w:r>
          </w:p>
        </w:tc>
      </w:tr>
      <w:tr w:rsidR="000A02A7" w:rsidRPr="006D221B" w14:paraId="1987D7C6" w14:textId="77777777" w:rsidTr="000A02A7">
        <w:trPr>
          <w:trHeight w:val="320"/>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6CE4901D"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Liraglutide</w:t>
            </w:r>
          </w:p>
        </w:tc>
        <w:tc>
          <w:tcPr>
            <w:tcW w:w="2016" w:type="dxa"/>
            <w:tcBorders>
              <w:top w:val="nil"/>
              <w:left w:val="nil"/>
              <w:bottom w:val="single" w:sz="4" w:space="0" w:color="auto"/>
              <w:right w:val="single" w:sz="4" w:space="0" w:color="auto"/>
            </w:tcBorders>
            <w:shd w:val="clear" w:color="auto" w:fill="auto"/>
            <w:vAlign w:val="center"/>
            <w:hideMark/>
          </w:tcPr>
          <w:p w14:paraId="1779A9CA"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GLP-1 receptor agonist</w:t>
            </w:r>
          </w:p>
        </w:tc>
        <w:tc>
          <w:tcPr>
            <w:tcW w:w="1340" w:type="dxa"/>
            <w:tcBorders>
              <w:top w:val="nil"/>
              <w:left w:val="nil"/>
              <w:bottom w:val="single" w:sz="4" w:space="0" w:color="auto"/>
              <w:right w:val="single" w:sz="4" w:space="0" w:color="auto"/>
            </w:tcBorders>
            <w:shd w:val="clear" w:color="auto" w:fill="auto"/>
            <w:noWrap/>
            <w:vAlign w:val="center"/>
            <w:hideMark/>
          </w:tcPr>
          <w:p w14:paraId="31736A99"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Subcutaneous</w:t>
            </w:r>
          </w:p>
        </w:tc>
        <w:tc>
          <w:tcPr>
            <w:tcW w:w="1020" w:type="dxa"/>
            <w:tcBorders>
              <w:top w:val="nil"/>
              <w:left w:val="nil"/>
              <w:bottom w:val="single" w:sz="4" w:space="0" w:color="auto"/>
              <w:right w:val="single" w:sz="4" w:space="0" w:color="auto"/>
            </w:tcBorders>
            <w:shd w:val="clear" w:color="auto" w:fill="auto"/>
            <w:noWrap/>
            <w:vAlign w:val="center"/>
            <w:hideMark/>
          </w:tcPr>
          <w:p w14:paraId="33CD3C9C"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Daily</w:t>
            </w:r>
          </w:p>
        </w:tc>
        <w:tc>
          <w:tcPr>
            <w:tcW w:w="1650" w:type="dxa"/>
            <w:tcBorders>
              <w:top w:val="nil"/>
              <w:left w:val="nil"/>
              <w:bottom w:val="single" w:sz="4" w:space="0" w:color="auto"/>
              <w:right w:val="single" w:sz="4" w:space="0" w:color="auto"/>
            </w:tcBorders>
            <w:shd w:val="clear" w:color="auto" w:fill="auto"/>
            <w:noWrap/>
            <w:vAlign w:val="center"/>
            <w:hideMark/>
          </w:tcPr>
          <w:p w14:paraId="639AFC05"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 xml:space="preserve">$11,309 </w:t>
            </w:r>
          </w:p>
        </w:tc>
        <w:tc>
          <w:tcPr>
            <w:tcW w:w="1927" w:type="dxa"/>
            <w:tcBorders>
              <w:top w:val="nil"/>
              <w:left w:val="nil"/>
              <w:bottom w:val="single" w:sz="4" w:space="0" w:color="auto"/>
              <w:right w:val="single" w:sz="4" w:space="0" w:color="auto"/>
            </w:tcBorders>
            <w:shd w:val="clear" w:color="auto" w:fill="auto"/>
            <w:noWrap/>
            <w:vAlign w:val="center"/>
            <w:hideMark/>
          </w:tcPr>
          <w:p w14:paraId="4BC3335E"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-5.0 (-3.9 to -6.1)</w:t>
            </w:r>
          </w:p>
        </w:tc>
        <w:tc>
          <w:tcPr>
            <w:tcW w:w="2925" w:type="dxa"/>
            <w:tcBorders>
              <w:top w:val="nil"/>
              <w:left w:val="nil"/>
              <w:bottom w:val="single" w:sz="4" w:space="0" w:color="auto"/>
              <w:right w:val="single" w:sz="4" w:space="0" w:color="auto"/>
            </w:tcBorders>
            <w:shd w:val="clear" w:color="auto" w:fill="auto"/>
            <w:noWrap/>
            <w:vAlign w:val="center"/>
            <w:hideMark/>
          </w:tcPr>
          <w:p w14:paraId="1A96780A"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 xml:space="preserve">GI side effects </w:t>
            </w:r>
            <w:proofErr w:type="gramStart"/>
            <w:r w:rsidRPr="000A02A7">
              <w:rPr>
                <w:rFonts w:ascii="Aptos" w:hAnsi="Aptos" w:cs="Calibri"/>
                <w:color w:val="000000"/>
                <w:sz w:val="18"/>
                <w:szCs w:val="18"/>
              </w:rPr>
              <w:t>similar to</w:t>
            </w:r>
            <w:proofErr w:type="gramEnd"/>
            <w:r w:rsidRPr="000A02A7">
              <w:rPr>
                <w:rFonts w:ascii="Aptos" w:hAnsi="Aptos" w:cs="Calibri"/>
                <w:color w:val="000000"/>
                <w:sz w:val="18"/>
                <w:szCs w:val="18"/>
              </w:rPr>
              <w:t xml:space="preserve"> </w:t>
            </w:r>
            <w:proofErr w:type="spellStart"/>
            <w:r w:rsidRPr="000A02A7">
              <w:rPr>
                <w:rFonts w:ascii="Aptos" w:hAnsi="Aptos" w:cs="Calibri"/>
                <w:color w:val="000000"/>
                <w:sz w:val="18"/>
                <w:szCs w:val="18"/>
              </w:rPr>
              <w:t>Semaglutide</w:t>
            </w:r>
            <w:proofErr w:type="spellEnd"/>
          </w:p>
        </w:tc>
      </w:tr>
      <w:tr w:rsidR="000A02A7" w:rsidRPr="006D221B" w14:paraId="25E0D4DE" w14:textId="77777777" w:rsidTr="000A02A7">
        <w:trPr>
          <w:trHeight w:val="1300"/>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0B6D8CFE"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Bupropion/Naltrexone</w:t>
            </w:r>
          </w:p>
        </w:tc>
        <w:tc>
          <w:tcPr>
            <w:tcW w:w="2016" w:type="dxa"/>
            <w:tcBorders>
              <w:top w:val="nil"/>
              <w:left w:val="nil"/>
              <w:bottom w:val="single" w:sz="4" w:space="0" w:color="auto"/>
              <w:right w:val="single" w:sz="4" w:space="0" w:color="auto"/>
            </w:tcBorders>
            <w:shd w:val="clear" w:color="auto" w:fill="auto"/>
            <w:vAlign w:val="center"/>
            <w:hideMark/>
          </w:tcPr>
          <w:p w14:paraId="04C69962"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Combination opioid antagonist/aminoketone antidepressant</w:t>
            </w:r>
          </w:p>
        </w:tc>
        <w:tc>
          <w:tcPr>
            <w:tcW w:w="1340" w:type="dxa"/>
            <w:tcBorders>
              <w:top w:val="nil"/>
              <w:left w:val="nil"/>
              <w:bottom w:val="single" w:sz="4" w:space="0" w:color="auto"/>
              <w:right w:val="single" w:sz="4" w:space="0" w:color="auto"/>
            </w:tcBorders>
            <w:shd w:val="clear" w:color="auto" w:fill="auto"/>
            <w:noWrap/>
            <w:vAlign w:val="center"/>
            <w:hideMark/>
          </w:tcPr>
          <w:p w14:paraId="51F7056A"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Oral</w:t>
            </w:r>
          </w:p>
        </w:tc>
        <w:tc>
          <w:tcPr>
            <w:tcW w:w="1020" w:type="dxa"/>
            <w:tcBorders>
              <w:top w:val="nil"/>
              <w:left w:val="nil"/>
              <w:bottom w:val="single" w:sz="4" w:space="0" w:color="auto"/>
              <w:right w:val="single" w:sz="4" w:space="0" w:color="auto"/>
            </w:tcBorders>
            <w:shd w:val="clear" w:color="auto" w:fill="auto"/>
            <w:noWrap/>
            <w:vAlign w:val="center"/>
            <w:hideMark/>
          </w:tcPr>
          <w:p w14:paraId="0C9791EC"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Daily</w:t>
            </w:r>
          </w:p>
        </w:tc>
        <w:tc>
          <w:tcPr>
            <w:tcW w:w="1650" w:type="dxa"/>
            <w:tcBorders>
              <w:top w:val="nil"/>
              <w:left w:val="nil"/>
              <w:bottom w:val="single" w:sz="4" w:space="0" w:color="auto"/>
              <w:right w:val="single" w:sz="4" w:space="0" w:color="auto"/>
            </w:tcBorders>
            <w:shd w:val="clear" w:color="auto" w:fill="auto"/>
            <w:noWrap/>
            <w:vAlign w:val="center"/>
            <w:hideMark/>
          </w:tcPr>
          <w:p w14:paraId="2DC5B91E"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 xml:space="preserve">$2,034 </w:t>
            </w:r>
          </w:p>
        </w:tc>
        <w:tc>
          <w:tcPr>
            <w:tcW w:w="1927" w:type="dxa"/>
            <w:tcBorders>
              <w:top w:val="nil"/>
              <w:left w:val="nil"/>
              <w:bottom w:val="single" w:sz="4" w:space="0" w:color="auto"/>
              <w:right w:val="single" w:sz="4" w:space="0" w:color="auto"/>
            </w:tcBorders>
            <w:shd w:val="clear" w:color="auto" w:fill="auto"/>
            <w:noWrap/>
            <w:vAlign w:val="center"/>
            <w:hideMark/>
          </w:tcPr>
          <w:p w14:paraId="155B7816"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-4.6 (-3.0 to -6.0)</w:t>
            </w:r>
          </w:p>
        </w:tc>
        <w:tc>
          <w:tcPr>
            <w:tcW w:w="2925" w:type="dxa"/>
            <w:tcBorders>
              <w:top w:val="nil"/>
              <w:left w:val="nil"/>
              <w:bottom w:val="single" w:sz="4" w:space="0" w:color="auto"/>
              <w:right w:val="single" w:sz="4" w:space="0" w:color="auto"/>
            </w:tcBorders>
            <w:shd w:val="clear" w:color="auto" w:fill="auto"/>
            <w:vAlign w:val="center"/>
            <w:hideMark/>
          </w:tcPr>
          <w:p w14:paraId="711AA2B4"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Blurred vision, discouragement, dizziness, fear or nervousness, feeling sad or empty, headache, irritability, loss of interest or pleasure, insomnia, trouble concentrating, fatigue</w:t>
            </w:r>
          </w:p>
        </w:tc>
      </w:tr>
      <w:tr w:rsidR="000A02A7" w:rsidRPr="006D221B" w14:paraId="7741C378" w14:textId="77777777" w:rsidTr="000A02A7">
        <w:trPr>
          <w:trHeight w:val="780"/>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3D531DB1"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Phentermine/Topiramate</w:t>
            </w:r>
          </w:p>
        </w:tc>
        <w:tc>
          <w:tcPr>
            <w:tcW w:w="2016" w:type="dxa"/>
            <w:tcBorders>
              <w:top w:val="nil"/>
              <w:left w:val="nil"/>
              <w:bottom w:val="single" w:sz="4" w:space="0" w:color="auto"/>
              <w:right w:val="single" w:sz="4" w:space="0" w:color="auto"/>
            </w:tcBorders>
            <w:shd w:val="clear" w:color="auto" w:fill="auto"/>
            <w:vAlign w:val="center"/>
            <w:hideMark/>
          </w:tcPr>
          <w:p w14:paraId="38A6EF5C" w14:textId="7EDA7E12" w:rsidR="000A02A7" w:rsidRPr="000A02A7" w:rsidRDefault="00AD15D9" w:rsidP="000A02A7">
            <w:pPr>
              <w:jc w:val="center"/>
              <w:rPr>
                <w:rFonts w:ascii="Aptos" w:hAnsi="Aptos" w:cs="Calibri"/>
                <w:color w:val="000000"/>
                <w:sz w:val="18"/>
                <w:szCs w:val="18"/>
              </w:rPr>
            </w:pPr>
            <w:r>
              <w:rPr>
                <w:rFonts w:ascii="Aptos" w:hAnsi="Aptos" w:cs="Calibri"/>
                <w:color w:val="000000"/>
                <w:sz w:val="18"/>
                <w:szCs w:val="18"/>
              </w:rPr>
              <w:t>Central Nervous System stimulant/</w:t>
            </w:r>
            <w:r w:rsidR="00B41CF7">
              <w:rPr>
                <w:rFonts w:ascii="Aptos" w:hAnsi="Aptos" w:cs="Calibri"/>
                <w:color w:val="000000"/>
                <w:sz w:val="18"/>
                <w:szCs w:val="18"/>
              </w:rPr>
              <w:t>carbonic anhydrase inhibitor and glutamate receptors antagonist</w:t>
            </w:r>
          </w:p>
        </w:tc>
        <w:tc>
          <w:tcPr>
            <w:tcW w:w="1340" w:type="dxa"/>
            <w:tcBorders>
              <w:top w:val="nil"/>
              <w:left w:val="nil"/>
              <w:bottom w:val="single" w:sz="4" w:space="0" w:color="auto"/>
              <w:right w:val="single" w:sz="4" w:space="0" w:color="auto"/>
            </w:tcBorders>
            <w:shd w:val="clear" w:color="auto" w:fill="auto"/>
            <w:noWrap/>
            <w:vAlign w:val="center"/>
            <w:hideMark/>
          </w:tcPr>
          <w:p w14:paraId="77397103"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Oral</w:t>
            </w:r>
          </w:p>
        </w:tc>
        <w:tc>
          <w:tcPr>
            <w:tcW w:w="1020" w:type="dxa"/>
            <w:tcBorders>
              <w:top w:val="nil"/>
              <w:left w:val="nil"/>
              <w:bottom w:val="single" w:sz="4" w:space="0" w:color="auto"/>
              <w:right w:val="single" w:sz="4" w:space="0" w:color="auto"/>
            </w:tcBorders>
            <w:shd w:val="clear" w:color="auto" w:fill="auto"/>
            <w:noWrap/>
            <w:vAlign w:val="center"/>
            <w:hideMark/>
          </w:tcPr>
          <w:p w14:paraId="71B18310"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Daily</w:t>
            </w:r>
          </w:p>
        </w:tc>
        <w:tc>
          <w:tcPr>
            <w:tcW w:w="1650" w:type="dxa"/>
            <w:tcBorders>
              <w:top w:val="nil"/>
              <w:left w:val="nil"/>
              <w:bottom w:val="single" w:sz="4" w:space="0" w:color="auto"/>
              <w:right w:val="single" w:sz="4" w:space="0" w:color="auto"/>
            </w:tcBorders>
            <w:shd w:val="clear" w:color="auto" w:fill="auto"/>
            <w:noWrap/>
            <w:vAlign w:val="center"/>
            <w:hideMark/>
          </w:tcPr>
          <w:p w14:paraId="41FDEA22"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 xml:space="preserve">$1,355 </w:t>
            </w:r>
          </w:p>
        </w:tc>
        <w:tc>
          <w:tcPr>
            <w:tcW w:w="1927" w:type="dxa"/>
            <w:tcBorders>
              <w:top w:val="nil"/>
              <w:left w:val="nil"/>
              <w:bottom w:val="single" w:sz="4" w:space="0" w:color="auto"/>
              <w:right w:val="single" w:sz="4" w:space="0" w:color="auto"/>
            </w:tcBorders>
            <w:shd w:val="clear" w:color="auto" w:fill="auto"/>
            <w:noWrap/>
            <w:vAlign w:val="center"/>
            <w:hideMark/>
          </w:tcPr>
          <w:p w14:paraId="450BF4CA" w14:textId="77777777" w:rsidR="000A02A7" w:rsidRPr="000A02A7" w:rsidRDefault="000A02A7" w:rsidP="000A02A7">
            <w:pPr>
              <w:jc w:val="center"/>
              <w:rPr>
                <w:rFonts w:ascii="Aptos" w:hAnsi="Aptos" w:cs="Calibri"/>
                <w:color w:val="000000"/>
                <w:sz w:val="18"/>
                <w:szCs w:val="18"/>
              </w:rPr>
            </w:pPr>
            <w:r w:rsidRPr="000A02A7">
              <w:rPr>
                <w:rFonts w:ascii="Aptos" w:hAnsi="Aptos" w:cs="Calibri"/>
                <w:color w:val="000000"/>
                <w:sz w:val="18"/>
                <w:szCs w:val="18"/>
              </w:rPr>
              <w:t>-9.1 (-7.1 to -11)</w:t>
            </w:r>
          </w:p>
        </w:tc>
        <w:tc>
          <w:tcPr>
            <w:tcW w:w="2925" w:type="dxa"/>
            <w:tcBorders>
              <w:top w:val="nil"/>
              <w:left w:val="nil"/>
              <w:bottom w:val="single" w:sz="4" w:space="0" w:color="auto"/>
              <w:right w:val="single" w:sz="4" w:space="0" w:color="auto"/>
            </w:tcBorders>
            <w:shd w:val="clear" w:color="auto" w:fill="auto"/>
            <w:vAlign w:val="center"/>
            <w:hideMark/>
          </w:tcPr>
          <w:p w14:paraId="76BACC6F" w14:textId="0B2C2B10" w:rsidR="000A02A7" w:rsidRPr="000A02A7" w:rsidRDefault="000A02A7" w:rsidP="000A02A7">
            <w:pPr>
              <w:jc w:val="center"/>
              <w:rPr>
                <w:rFonts w:ascii="Aptos" w:hAnsi="Aptos" w:cs="Calibri"/>
                <w:color w:val="000000"/>
                <w:sz w:val="18"/>
                <w:szCs w:val="18"/>
              </w:rPr>
            </w:pPr>
            <w:r w:rsidRPr="006D221B">
              <w:rPr>
                <w:rFonts w:ascii="Aptos" w:hAnsi="Aptos" w:cs="Calibri"/>
                <w:color w:val="000000"/>
                <w:sz w:val="18"/>
                <w:szCs w:val="18"/>
              </w:rPr>
              <w:t>D</w:t>
            </w:r>
            <w:r w:rsidRPr="000A02A7">
              <w:rPr>
                <w:rFonts w:ascii="Aptos" w:hAnsi="Aptos" w:cs="Calibri"/>
                <w:color w:val="000000"/>
                <w:sz w:val="18"/>
                <w:szCs w:val="18"/>
              </w:rPr>
              <w:t xml:space="preserve">ysgeusia (taste disorder), insomnia, constipation, dry mouth, Paresthesia (tingling), dizziness, </w:t>
            </w:r>
          </w:p>
        </w:tc>
      </w:tr>
    </w:tbl>
    <w:p w14:paraId="54136C5C" w14:textId="77777777" w:rsidR="000A02A7" w:rsidRPr="006D221B" w:rsidRDefault="000A02A7" w:rsidP="000A02A7">
      <w:pPr>
        <w:rPr>
          <w:rFonts w:ascii="Aptos" w:hAnsi="Aptos"/>
          <w:i/>
          <w:iCs/>
          <w:sz w:val="16"/>
          <w:szCs w:val="16"/>
        </w:rPr>
      </w:pPr>
      <w:r w:rsidRPr="006D221B">
        <w:rPr>
          <w:rFonts w:ascii="Aptos" w:hAnsi="Aptos"/>
          <w:i/>
          <w:iCs/>
          <w:sz w:val="16"/>
          <w:szCs w:val="16"/>
        </w:rPr>
        <w:t>*among participants with obesity alone; source: ICER report 2022.</w:t>
      </w:r>
    </w:p>
    <w:p w14:paraId="5C64D3C8" w14:textId="77777777" w:rsidR="000A02A7" w:rsidRDefault="000A02A7">
      <w:pPr>
        <w:rPr>
          <w:rFonts w:ascii="Aptos" w:hAnsi="Aptos"/>
        </w:rPr>
      </w:pPr>
    </w:p>
    <w:p w14:paraId="2E88968B" w14:textId="0E6BE086" w:rsidR="0085576A" w:rsidRDefault="0085576A">
      <w:pPr>
        <w:rPr>
          <w:rFonts w:ascii="Aptos" w:hAnsi="Aptos"/>
          <w:color w:val="000000"/>
        </w:rPr>
      </w:pPr>
      <w:r>
        <w:rPr>
          <w:rFonts w:ascii="Aptos" w:hAnsi="Aptos"/>
        </w:rPr>
        <w:t>Appendix Table 2.</w:t>
      </w:r>
      <w:r w:rsidR="00822CCC">
        <w:rPr>
          <w:rFonts w:ascii="Aptos" w:hAnsi="Aptos"/>
        </w:rPr>
        <w:t xml:space="preserve"> </w:t>
      </w:r>
      <w:r w:rsidR="00822CCC" w:rsidRPr="004B787F">
        <w:rPr>
          <w:rFonts w:ascii="Aptos" w:hAnsi="Aptos"/>
          <w:color w:val="000000"/>
        </w:rPr>
        <w:t>Estimated</w:t>
      </w:r>
      <w:r w:rsidR="00822CCC">
        <w:rPr>
          <w:rFonts w:ascii="Aptos" w:hAnsi="Aptos"/>
          <w:color w:val="000000"/>
        </w:rPr>
        <w:t xml:space="preserve"> 2</w:t>
      </w:r>
      <w:r w:rsidR="00A40A40">
        <w:rPr>
          <w:rFonts w:ascii="Aptos" w:hAnsi="Aptos"/>
          <w:color w:val="000000"/>
        </w:rPr>
        <w:t>-</w:t>
      </w:r>
      <w:r w:rsidR="00822CCC">
        <w:rPr>
          <w:rFonts w:ascii="Aptos" w:hAnsi="Aptos"/>
          <w:color w:val="000000"/>
        </w:rPr>
        <w:t>year postpartum</w:t>
      </w:r>
      <w:r w:rsidR="00822CCC" w:rsidRPr="004B787F">
        <w:rPr>
          <w:rFonts w:ascii="Aptos" w:hAnsi="Aptos"/>
          <w:color w:val="000000"/>
        </w:rPr>
        <w:t xml:space="preserve"> </w:t>
      </w:r>
      <w:r w:rsidR="00822CCC">
        <w:rPr>
          <w:rFonts w:ascii="Aptos" w:hAnsi="Aptos"/>
          <w:color w:val="000000"/>
        </w:rPr>
        <w:t>Costs ($), quality-adjusted life years (QALYs), and incremental c</w:t>
      </w:r>
      <w:r w:rsidR="00822CCC" w:rsidRPr="004B787F">
        <w:rPr>
          <w:rFonts w:ascii="Aptos" w:hAnsi="Aptos"/>
          <w:color w:val="000000"/>
        </w:rPr>
        <w:t>ost-effectiveness</w:t>
      </w:r>
      <w:r w:rsidR="00822CCC">
        <w:rPr>
          <w:rFonts w:ascii="Aptos" w:hAnsi="Aptos"/>
          <w:color w:val="000000"/>
        </w:rPr>
        <w:t xml:space="preserve"> ratios ($/QALY)</w:t>
      </w:r>
      <w:r w:rsidR="00822CCC" w:rsidRPr="004B787F">
        <w:rPr>
          <w:rFonts w:ascii="Aptos" w:hAnsi="Aptos"/>
          <w:color w:val="000000"/>
        </w:rPr>
        <w:t xml:space="preserve"> of weight loss medications</w:t>
      </w:r>
      <w:r w:rsidR="00822CCC">
        <w:rPr>
          <w:rFonts w:ascii="Aptos" w:hAnsi="Aptos"/>
          <w:color w:val="000000"/>
        </w:rPr>
        <w:t xml:space="preserve"> for base-case analysis</w:t>
      </w:r>
    </w:p>
    <w:tbl>
      <w:tblPr>
        <w:tblW w:w="10509" w:type="dxa"/>
        <w:tblLook w:val="04A0" w:firstRow="1" w:lastRow="0" w:firstColumn="1" w:lastColumn="0" w:noHBand="0" w:noVBand="1"/>
      </w:tblPr>
      <w:tblGrid>
        <w:gridCol w:w="2600"/>
        <w:gridCol w:w="2409"/>
        <w:gridCol w:w="1720"/>
        <w:gridCol w:w="1720"/>
        <w:gridCol w:w="2060"/>
      </w:tblGrid>
      <w:tr w:rsidR="00A40A40" w:rsidRPr="00A40A40" w14:paraId="15BBB24D" w14:textId="77777777" w:rsidTr="00A40A40">
        <w:trPr>
          <w:trHeight w:val="320"/>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DA068" w14:textId="77777777" w:rsidR="00A40A40" w:rsidRPr="00A40A40" w:rsidRDefault="00A40A40">
            <w:pPr>
              <w:rPr>
                <w:rFonts w:ascii="Aptos Narrow" w:hAnsi="Aptos Narrow"/>
                <w:b/>
                <w:bCs/>
                <w:color w:val="000000"/>
                <w:sz w:val="20"/>
                <w:szCs w:val="20"/>
              </w:rPr>
            </w:pPr>
            <w:r w:rsidRPr="00A40A40">
              <w:rPr>
                <w:rFonts w:ascii="Aptos Narrow" w:hAnsi="Aptos Narrow"/>
                <w:b/>
                <w:bCs/>
                <w:color w:val="000000"/>
                <w:sz w:val="20"/>
                <w:szCs w:val="20"/>
              </w:rPr>
              <w:t xml:space="preserve">Strategy              </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146FBA2F" w14:textId="77777777" w:rsidR="00A40A40" w:rsidRPr="00A40A40" w:rsidRDefault="00A40A40">
            <w:pPr>
              <w:rPr>
                <w:rFonts w:ascii="Aptos Narrow" w:hAnsi="Aptos Narrow"/>
                <w:b/>
                <w:bCs/>
                <w:color w:val="000000"/>
                <w:sz w:val="20"/>
                <w:szCs w:val="20"/>
              </w:rPr>
            </w:pPr>
            <w:r w:rsidRPr="00A40A40">
              <w:rPr>
                <w:rFonts w:ascii="Aptos Narrow" w:hAnsi="Aptos Narrow"/>
                <w:b/>
                <w:bCs/>
                <w:color w:val="000000"/>
                <w:sz w:val="20"/>
                <w:szCs w:val="20"/>
              </w:rPr>
              <w:t xml:space="preserve">Cost               </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D464F0E" w14:textId="77777777" w:rsidR="00A40A40" w:rsidRPr="00A40A40" w:rsidRDefault="00A40A40">
            <w:pPr>
              <w:rPr>
                <w:rFonts w:ascii="Aptos Narrow" w:hAnsi="Aptos Narrow"/>
                <w:b/>
                <w:bCs/>
                <w:color w:val="000000"/>
                <w:sz w:val="20"/>
                <w:szCs w:val="20"/>
              </w:rPr>
            </w:pPr>
            <w:r w:rsidRPr="00A40A40">
              <w:rPr>
                <w:rFonts w:ascii="Aptos Narrow" w:hAnsi="Aptos Narrow"/>
                <w:b/>
                <w:bCs/>
                <w:color w:val="000000"/>
                <w:sz w:val="20"/>
                <w:szCs w:val="20"/>
              </w:rPr>
              <w:t xml:space="preserve">QALE        </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2D53857C" w14:textId="77777777" w:rsidR="00A40A40" w:rsidRPr="00A40A40" w:rsidRDefault="00A40A40">
            <w:pPr>
              <w:rPr>
                <w:rFonts w:ascii="Aptos Narrow" w:hAnsi="Aptos Narrow"/>
                <w:b/>
                <w:bCs/>
                <w:color w:val="000000"/>
                <w:sz w:val="20"/>
                <w:szCs w:val="20"/>
              </w:rPr>
            </w:pPr>
            <w:r w:rsidRPr="00A40A40">
              <w:rPr>
                <w:rFonts w:ascii="Aptos Narrow" w:hAnsi="Aptos Narrow"/>
                <w:b/>
                <w:bCs/>
                <w:color w:val="000000"/>
                <w:sz w:val="20"/>
                <w:szCs w:val="20"/>
              </w:rPr>
              <w:t xml:space="preserve">ICER       </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78349EC4" w14:textId="77777777" w:rsidR="00A40A40" w:rsidRPr="00A40A40" w:rsidRDefault="00A40A40">
            <w:pPr>
              <w:rPr>
                <w:rFonts w:ascii="Aptos Narrow" w:hAnsi="Aptos Narrow"/>
                <w:b/>
                <w:bCs/>
                <w:color w:val="000000"/>
                <w:sz w:val="20"/>
                <w:szCs w:val="20"/>
              </w:rPr>
            </w:pPr>
            <w:r w:rsidRPr="00A40A40">
              <w:rPr>
                <w:rFonts w:ascii="Aptos Narrow" w:hAnsi="Aptos Narrow"/>
                <w:b/>
                <w:bCs/>
                <w:color w:val="000000"/>
                <w:sz w:val="20"/>
                <w:szCs w:val="20"/>
              </w:rPr>
              <w:t xml:space="preserve">Notes             </w:t>
            </w:r>
          </w:p>
        </w:tc>
      </w:tr>
      <w:tr w:rsidR="00A40A40" w:rsidRPr="00A40A40" w14:paraId="1F30D1E9" w14:textId="77777777" w:rsidTr="00A40A40">
        <w:trPr>
          <w:trHeight w:val="161"/>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5CB3F96E"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Lifestyle Therapy     </w:t>
            </w:r>
          </w:p>
        </w:tc>
        <w:tc>
          <w:tcPr>
            <w:tcW w:w="2409" w:type="dxa"/>
            <w:tcBorders>
              <w:top w:val="nil"/>
              <w:left w:val="nil"/>
              <w:bottom w:val="single" w:sz="4" w:space="0" w:color="auto"/>
              <w:right w:val="single" w:sz="4" w:space="0" w:color="auto"/>
            </w:tcBorders>
            <w:shd w:val="clear" w:color="auto" w:fill="auto"/>
            <w:noWrap/>
            <w:vAlign w:val="bottom"/>
            <w:hideMark/>
          </w:tcPr>
          <w:p w14:paraId="7F74D968"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                  39,498,875.32 </w:t>
            </w:r>
          </w:p>
        </w:tc>
        <w:tc>
          <w:tcPr>
            <w:tcW w:w="1720" w:type="dxa"/>
            <w:tcBorders>
              <w:top w:val="nil"/>
              <w:left w:val="nil"/>
              <w:bottom w:val="single" w:sz="4" w:space="0" w:color="auto"/>
              <w:right w:val="single" w:sz="4" w:space="0" w:color="auto"/>
            </w:tcBorders>
            <w:shd w:val="clear" w:color="auto" w:fill="auto"/>
            <w:noWrap/>
            <w:vAlign w:val="bottom"/>
            <w:hideMark/>
          </w:tcPr>
          <w:p w14:paraId="40C572ED" w14:textId="77777777" w:rsidR="00A40A40" w:rsidRPr="00A40A40" w:rsidRDefault="00A40A40">
            <w:pPr>
              <w:jc w:val="right"/>
              <w:rPr>
                <w:rFonts w:ascii="Aptos Narrow" w:hAnsi="Aptos Narrow"/>
                <w:color w:val="000000"/>
                <w:sz w:val="20"/>
                <w:szCs w:val="20"/>
              </w:rPr>
            </w:pPr>
            <w:r w:rsidRPr="00A40A40">
              <w:rPr>
                <w:rFonts w:ascii="Aptos Narrow" w:hAnsi="Aptos Narrow"/>
                <w:color w:val="000000"/>
                <w:sz w:val="20"/>
                <w:szCs w:val="20"/>
              </w:rPr>
              <w:t>16313.5622</w:t>
            </w:r>
          </w:p>
        </w:tc>
        <w:tc>
          <w:tcPr>
            <w:tcW w:w="1720" w:type="dxa"/>
            <w:tcBorders>
              <w:top w:val="nil"/>
              <w:left w:val="nil"/>
              <w:bottom w:val="single" w:sz="4" w:space="0" w:color="auto"/>
              <w:right w:val="single" w:sz="4" w:space="0" w:color="auto"/>
            </w:tcBorders>
            <w:shd w:val="clear" w:color="auto" w:fill="auto"/>
            <w:noWrap/>
            <w:vAlign w:val="bottom"/>
            <w:hideMark/>
          </w:tcPr>
          <w:p w14:paraId="71D6C995"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w:t>
            </w:r>
          </w:p>
        </w:tc>
        <w:tc>
          <w:tcPr>
            <w:tcW w:w="2060" w:type="dxa"/>
            <w:tcBorders>
              <w:top w:val="nil"/>
              <w:left w:val="nil"/>
              <w:bottom w:val="single" w:sz="4" w:space="0" w:color="auto"/>
              <w:right w:val="single" w:sz="4" w:space="0" w:color="auto"/>
            </w:tcBorders>
            <w:shd w:val="clear" w:color="auto" w:fill="auto"/>
            <w:noWrap/>
            <w:vAlign w:val="bottom"/>
            <w:hideMark/>
          </w:tcPr>
          <w:p w14:paraId="58005103"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Baseline          </w:t>
            </w:r>
          </w:p>
        </w:tc>
      </w:tr>
      <w:tr w:rsidR="00A40A40" w:rsidRPr="00A40A40" w14:paraId="6CAEDE46" w14:textId="77777777" w:rsidTr="00A40A40">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EF187C0"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Phentermine/Topiramate</w:t>
            </w:r>
          </w:p>
        </w:tc>
        <w:tc>
          <w:tcPr>
            <w:tcW w:w="2409" w:type="dxa"/>
            <w:tcBorders>
              <w:top w:val="nil"/>
              <w:left w:val="nil"/>
              <w:bottom w:val="single" w:sz="4" w:space="0" w:color="auto"/>
              <w:right w:val="single" w:sz="4" w:space="0" w:color="auto"/>
            </w:tcBorders>
            <w:shd w:val="clear" w:color="auto" w:fill="auto"/>
            <w:noWrap/>
            <w:vAlign w:val="bottom"/>
            <w:hideMark/>
          </w:tcPr>
          <w:p w14:paraId="02F19BC2"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                  64,286,838.08 </w:t>
            </w:r>
          </w:p>
        </w:tc>
        <w:tc>
          <w:tcPr>
            <w:tcW w:w="1720" w:type="dxa"/>
            <w:tcBorders>
              <w:top w:val="nil"/>
              <w:left w:val="nil"/>
              <w:bottom w:val="single" w:sz="4" w:space="0" w:color="auto"/>
              <w:right w:val="single" w:sz="4" w:space="0" w:color="auto"/>
            </w:tcBorders>
            <w:shd w:val="clear" w:color="auto" w:fill="auto"/>
            <w:noWrap/>
            <w:vAlign w:val="bottom"/>
            <w:hideMark/>
          </w:tcPr>
          <w:p w14:paraId="09F10E23" w14:textId="77777777" w:rsidR="00A40A40" w:rsidRPr="00A40A40" w:rsidRDefault="00A40A40">
            <w:pPr>
              <w:jc w:val="right"/>
              <w:rPr>
                <w:rFonts w:ascii="Aptos Narrow" w:hAnsi="Aptos Narrow"/>
                <w:color w:val="000000"/>
                <w:sz w:val="20"/>
                <w:szCs w:val="20"/>
              </w:rPr>
            </w:pPr>
            <w:r w:rsidRPr="00A40A40">
              <w:rPr>
                <w:rFonts w:ascii="Aptos Narrow" w:hAnsi="Aptos Narrow"/>
                <w:color w:val="000000"/>
                <w:sz w:val="20"/>
                <w:szCs w:val="20"/>
              </w:rPr>
              <w:t>16526.6785</w:t>
            </w:r>
          </w:p>
        </w:tc>
        <w:tc>
          <w:tcPr>
            <w:tcW w:w="1720" w:type="dxa"/>
            <w:tcBorders>
              <w:top w:val="nil"/>
              <w:left w:val="nil"/>
              <w:bottom w:val="single" w:sz="4" w:space="0" w:color="auto"/>
              <w:right w:val="single" w:sz="4" w:space="0" w:color="auto"/>
            </w:tcBorders>
            <w:shd w:val="clear" w:color="auto" w:fill="auto"/>
            <w:noWrap/>
            <w:vAlign w:val="bottom"/>
            <w:hideMark/>
          </w:tcPr>
          <w:p w14:paraId="7FB81214" w14:textId="77777777" w:rsidR="00A40A40" w:rsidRPr="00A40A40" w:rsidRDefault="00A40A40">
            <w:pPr>
              <w:jc w:val="right"/>
              <w:rPr>
                <w:rFonts w:ascii="Aptos Narrow" w:hAnsi="Aptos Narrow"/>
                <w:color w:val="000000"/>
                <w:sz w:val="20"/>
                <w:szCs w:val="20"/>
              </w:rPr>
            </w:pPr>
            <w:r w:rsidRPr="00A40A40">
              <w:rPr>
                <w:rFonts w:ascii="Aptos Narrow" w:hAnsi="Aptos Narrow"/>
                <w:color w:val="000000"/>
                <w:sz w:val="20"/>
                <w:szCs w:val="20"/>
              </w:rPr>
              <w:t>116311.9118</w:t>
            </w:r>
          </w:p>
        </w:tc>
        <w:tc>
          <w:tcPr>
            <w:tcW w:w="2060" w:type="dxa"/>
            <w:tcBorders>
              <w:top w:val="nil"/>
              <w:left w:val="nil"/>
              <w:bottom w:val="single" w:sz="4" w:space="0" w:color="auto"/>
              <w:right w:val="single" w:sz="4" w:space="0" w:color="auto"/>
            </w:tcBorders>
            <w:shd w:val="clear" w:color="auto" w:fill="auto"/>
            <w:noWrap/>
            <w:vAlign w:val="bottom"/>
            <w:hideMark/>
          </w:tcPr>
          <w:p w14:paraId="539A9765"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w:t>
            </w:r>
          </w:p>
        </w:tc>
      </w:tr>
      <w:tr w:rsidR="00A40A40" w:rsidRPr="00A40A40" w14:paraId="76F8226D" w14:textId="77777777" w:rsidTr="00A40A40">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0B920271"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Bupropion/Naltrexone  </w:t>
            </w:r>
          </w:p>
        </w:tc>
        <w:tc>
          <w:tcPr>
            <w:tcW w:w="2409" w:type="dxa"/>
            <w:tcBorders>
              <w:top w:val="nil"/>
              <w:left w:val="nil"/>
              <w:bottom w:val="single" w:sz="4" w:space="0" w:color="auto"/>
              <w:right w:val="single" w:sz="4" w:space="0" w:color="auto"/>
            </w:tcBorders>
            <w:shd w:val="clear" w:color="auto" w:fill="auto"/>
            <w:noWrap/>
            <w:vAlign w:val="bottom"/>
            <w:hideMark/>
          </w:tcPr>
          <w:p w14:paraId="7B7468D0"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                  77,433,040.90 </w:t>
            </w:r>
          </w:p>
        </w:tc>
        <w:tc>
          <w:tcPr>
            <w:tcW w:w="1720" w:type="dxa"/>
            <w:tcBorders>
              <w:top w:val="nil"/>
              <w:left w:val="nil"/>
              <w:bottom w:val="single" w:sz="4" w:space="0" w:color="auto"/>
              <w:right w:val="single" w:sz="4" w:space="0" w:color="auto"/>
            </w:tcBorders>
            <w:shd w:val="clear" w:color="auto" w:fill="auto"/>
            <w:noWrap/>
            <w:vAlign w:val="bottom"/>
            <w:hideMark/>
          </w:tcPr>
          <w:p w14:paraId="3BE5E382" w14:textId="77777777" w:rsidR="00A40A40" w:rsidRPr="00A40A40" w:rsidRDefault="00A40A40">
            <w:pPr>
              <w:jc w:val="right"/>
              <w:rPr>
                <w:rFonts w:ascii="Aptos Narrow" w:hAnsi="Aptos Narrow"/>
                <w:color w:val="000000"/>
                <w:sz w:val="20"/>
                <w:szCs w:val="20"/>
              </w:rPr>
            </w:pPr>
            <w:r w:rsidRPr="00A40A40">
              <w:rPr>
                <w:rFonts w:ascii="Aptos Narrow" w:hAnsi="Aptos Narrow"/>
                <w:color w:val="000000"/>
                <w:sz w:val="20"/>
                <w:szCs w:val="20"/>
              </w:rPr>
              <w:t>16419.5467</w:t>
            </w:r>
          </w:p>
        </w:tc>
        <w:tc>
          <w:tcPr>
            <w:tcW w:w="1720" w:type="dxa"/>
            <w:tcBorders>
              <w:top w:val="nil"/>
              <w:left w:val="nil"/>
              <w:bottom w:val="single" w:sz="4" w:space="0" w:color="auto"/>
              <w:right w:val="single" w:sz="4" w:space="0" w:color="auto"/>
            </w:tcBorders>
            <w:shd w:val="clear" w:color="auto" w:fill="auto"/>
            <w:noWrap/>
            <w:vAlign w:val="bottom"/>
            <w:hideMark/>
          </w:tcPr>
          <w:p w14:paraId="7D55B3EF"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w:t>
            </w:r>
          </w:p>
        </w:tc>
        <w:tc>
          <w:tcPr>
            <w:tcW w:w="2060" w:type="dxa"/>
            <w:tcBorders>
              <w:top w:val="nil"/>
              <w:left w:val="nil"/>
              <w:bottom w:val="single" w:sz="4" w:space="0" w:color="auto"/>
              <w:right w:val="single" w:sz="4" w:space="0" w:color="auto"/>
            </w:tcBorders>
            <w:shd w:val="clear" w:color="auto" w:fill="auto"/>
            <w:noWrap/>
            <w:vAlign w:val="bottom"/>
            <w:hideMark/>
          </w:tcPr>
          <w:p w14:paraId="5BE4E37D"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Strongly Dominated</w:t>
            </w:r>
          </w:p>
        </w:tc>
      </w:tr>
      <w:tr w:rsidR="00A40A40" w:rsidRPr="00A40A40" w14:paraId="013E6838" w14:textId="77777777" w:rsidTr="00A40A40">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84D9EA5"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Liraglutide           </w:t>
            </w:r>
          </w:p>
        </w:tc>
        <w:tc>
          <w:tcPr>
            <w:tcW w:w="2409" w:type="dxa"/>
            <w:tcBorders>
              <w:top w:val="nil"/>
              <w:left w:val="nil"/>
              <w:bottom w:val="single" w:sz="4" w:space="0" w:color="auto"/>
              <w:right w:val="single" w:sz="4" w:space="0" w:color="auto"/>
            </w:tcBorders>
            <w:shd w:val="clear" w:color="auto" w:fill="auto"/>
            <w:noWrap/>
            <w:vAlign w:val="bottom"/>
            <w:hideMark/>
          </w:tcPr>
          <w:p w14:paraId="44CBDAC3"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               252,018,805.69 </w:t>
            </w:r>
          </w:p>
        </w:tc>
        <w:tc>
          <w:tcPr>
            <w:tcW w:w="1720" w:type="dxa"/>
            <w:tcBorders>
              <w:top w:val="nil"/>
              <w:left w:val="nil"/>
              <w:bottom w:val="single" w:sz="4" w:space="0" w:color="auto"/>
              <w:right w:val="single" w:sz="4" w:space="0" w:color="auto"/>
            </w:tcBorders>
            <w:shd w:val="clear" w:color="auto" w:fill="auto"/>
            <w:noWrap/>
            <w:vAlign w:val="bottom"/>
            <w:hideMark/>
          </w:tcPr>
          <w:p w14:paraId="5B9434DE" w14:textId="77777777" w:rsidR="00A40A40" w:rsidRPr="00A40A40" w:rsidRDefault="00A40A40">
            <w:pPr>
              <w:jc w:val="right"/>
              <w:rPr>
                <w:rFonts w:ascii="Aptos Narrow" w:hAnsi="Aptos Narrow"/>
                <w:color w:val="000000"/>
                <w:sz w:val="20"/>
                <w:szCs w:val="20"/>
              </w:rPr>
            </w:pPr>
            <w:r w:rsidRPr="00A40A40">
              <w:rPr>
                <w:rFonts w:ascii="Aptos Narrow" w:hAnsi="Aptos Narrow"/>
                <w:color w:val="000000"/>
                <w:sz w:val="20"/>
                <w:szCs w:val="20"/>
              </w:rPr>
              <w:t>16428.8194</w:t>
            </w:r>
          </w:p>
        </w:tc>
        <w:tc>
          <w:tcPr>
            <w:tcW w:w="1720" w:type="dxa"/>
            <w:tcBorders>
              <w:top w:val="nil"/>
              <w:left w:val="nil"/>
              <w:bottom w:val="single" w:sz="4" w:space="0" w:color="auto"/>
              <w:right w:val="single" w:sz="4" w:space="0" w:color="auto"/>
            </w:tcBorders>
            <w:shd w:val="clear" w:color="auto" w:fill="auto"/>
            <w:noWrap/>
            <w:vAlign w:val="bottom"/>
            <w:hideMark/>
          </w:tcPr>
          <w:p w14:paraId="5FBD142B"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w:t>
            </w:r>
          </w:p>
        </w:tc>
        <w:tc>
          <w:tcPr>
            <w:tcW w:w="2060" w:type="dxa"/>
            <w:tcBorders>
              <w:top w:val="nil"/>
              <w:left w:val="nil"/>
              <w:bottom w:val="single" w:sz="4" w:space="0" w:color="auto"/>
              <w:right w:val="single" w:sz="4" w:space="0" w:color="auto"/>
            </w:tcBorders>
            <w:shd w:val="clear" w:color="auto" w:fill="auto"/>
            <w:noWrap/>
            <w:vAlign w:val="bottom"/>
            <w:hideMark/>
          </w:tcPr>
          <w:p w14:paraId="73BBA88F"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Strongly Dominated</w:t>
            </w:r>
          </w:p>
        </w:tc>
      </w:tr>
      <w:tr w:rsidR="00A40A40" w:rsidRPr="00A40A40" w14:paraId="551DD741" w14:textId="77777777" w:rsidTr="00A40A40">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5230DFF8" w14:textId="77777777" w:rsidR="00A40A40" w:rsidRPr="00A40A40" w:rsidRDefault="00A40A40">
            <w:pPr>
              <w:rPr>
                <w:rFonts w:ascii="Aptos Narrow" w:hAnsi="Aptos Narrow"/>
                <w:color w:val="000000"/>
                <w:sz w:val="20"/>
                <w:szCs w:val="20"/>
              </w:rPr>
            </w:pPr>
            <w:proofErr w:type="spellStart"/>
            <w:r w:rsidRPr="00A40A40">
              <w:rPr>
                <w:rFonts w:ascii="Aptos Narrow" w:hAnsi="Aptos Narrow"/>
                <w:color w:val="000000"/>
                <w:sz w:val="20"/>
                <w:szCs w:val="20"/>
              </w:rPr>
              <w:t>Semaglutide</w:t>
            </w:r>
            <w:proofErr w:type="spellEnd"/>
            <w:r w:rsidRPr="00A40A40">
              <w:rPr>
                <w:rFonts w:ascii="Aptos Narrow" w:hAnsi="Aptos Narrow"/>
                <w:color w:val="000000"/>
                <w:sz w:val="20"/>
                <w:szCs w:val="20"/>
              </w:rPr>
              <w:t xml:space="preserve">           </w:t>
            </w:r>
          </w:p>
        </w:tc>
        <w:tc>
          <w:tcPr>
            <w:tcW w:w="2409" w:type="dxa"/>
            <w:tcBorders>
              <w:top w:val="nil"/>
              <w:left w:val="nil"/>
              <w:bottom w:val="single" w:sz="4" w:space="0" w:color="auto"/>
              <w:right w:val="single" w:sz="4" w:space="0" w:color="auto"/>
            </w:tcBorders>
            <w:shd w:val="clear" w:color="auto" w:fill="auto"/>
            <w:noWrap/>
            <w:vAlign w:val="bottom"/>
            <w:hideMark/>
          </w:tcPr>
          <w:p w14:paraId="380D0CB4"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               295,102,917.61 </w:t>
            </w:r>
          </w:p>
        </w:tc>
        <w:tc>
          <w:tcPr>
            <w:tcW w:w="1720" w:type="dxa"/>
            <w:tcBorders>
              <w:top w:val="nil"/>
              <w:left w:val="nil"/>
              <w:bottom w:val="single" w:sz="4" w:space="0" w:color="auto"/>
              <w:right w:val="single" w:sz="4" w:space="0" w:color="auto"/>
            </w:tcBorders>
            <w:shd w:val="clear" w:color="auto" w:fill="auto"/>
            <w:noWrap/>
            <w:vAlign w:val="bottom"/>
            <w:hideMark/>
          </w:tcPr>
          <w:p w14:paraId="67AD3200" w14:textId="77777777" w:rsidR="00A40A40" w:rsidRPr="00A40A40" w:rsidRDefault="00A40A40">
            <w:pPr>
              <w:jc w:val="right"/>
              <w:rPr>
                <w:rFonts w:ascii="Aptos Narrow" w:hAnsi="Aptos Narrow"/>
                <w:color w:val="000000"/>
                <w:sz w:val="20"/>
                <w:szCs w:val="20"/>
              </w:rPr>
            </w:pPr>
            <w:r w:rsidRPr="00A40A40">
              <w:rPr>
                <w:rFonts w:ascii="Aptos Narrow" w:hAnsi="Aptos Narrow"/>
                <w:color w:val="000000"/>
                <w:sz w:val="20"/>
                <w:szCs w:val="20"/>
              </w:rPr>
              <w:t>16633.3992</w:t>
            </w:r>
          </w:p>
        </w:tc>
        <w:tc>
          <w:tcPr>
            <w:tcW w:w="1720" w:type="dxa"/>
            <w:tcBorders>
              <w:top w:val="nil"/>
              <w:left w:val="nil"/>
              <w:bottom w:val="single" w:sz="4" w:space="0" w:color="auto"/>
              <w:right w:val="single" w:sz="4" w:space="0" w:color="auto"/>
            </w:tcBorders>
            <w:shd w:val="clear" w:color="auto" w:fill="auto"/>
            <w:noWrap/>
            <w:vAlign w:val="bottom"/>
            <w:hideMark/>
          </w:tcPr>
          <w:p w14:paraId="7A641751" w14:textId="77777777" w:rsidR="00A40A40" w:rsidRPr="00A40A40" w:rsidRDefault="00A40A40">
            <w:pPr>
              <w:jc w:val="right"/>
              <w:rPr>
                <w:rFonts w:ascii="Aptos Narrow" w:hAnsi="Aptos Narrow"/>
                <w:color w:val="000000"/>
                <w:sz w:val="20"/>
                <w:szCs w:val="20"/>
              </w:rPr>
            </w:pPr>
            <w:r w:rsidRPr="00A40A40">
              <w:rPr>
                <w:rFonts w:ascii="Aptos Narrow" w:hAnsi="Aptos Narrow"/>
                <w:color w:val="000000"/>
                <w:sz w:val="20"/>
                <w:szCs w:val="20"/>
              </w:rPr>
              <w:t>2162804.474</w:t>
            </w:r>
          </w:p>
        </w:tc>
        <w:tc>
          <w:tcPr>
            <w:tcW w:w="2060" w:type="dxa"/>
            <w:tcBorders>
              <w:top w:val="nil"/>
              <w:left w:val="nil"/>
              <w:bottom w:val="single" w:sz="4" w:space="0" w:color="auto"/>
              <w:right w:val="single" w:sz="4" w:space="0" w:color="auto"/>
            </w:tcBorders>
            <w:shd w:val="clear" w:color="auto" w:fill="auto"/>
            <w:noWrap/>
            <w:vAlign w:val="bottom"/>
            <w:hideMark/>
          </w:tcPr>
          <w:p w14:paraId="6CDF7F26" w14:textId="77777777" w:rsidR="00A40A40" w:rsidRPr="00A40A40" w:rsidRDefault="00A40A40">
            <w:pPr>
              <w:rPr>
                <w:rFonts w:ascii="Aptos Narrow" w:hAnsi="Aptos Narrow"/>
                <w:color w:val="000000"/>
                <w:sz w:val="20"/>
                <w:szCs w:val="20"/>
              </w:rPr>
            </w:pPr>
            <w:r w:rsidRPr="00A40A40">
              <w:rPr>
                <w:rFonts w:ascii="Aptos Narrow" w:hAnsi="Aptos Narrow"/>
                <w:color w:val="000000"/>
                <w:sz w:val="20"/>
                <w:szCs w:val="20"/>
              </w:rPr>
              <w:t xml:space="preserve">                  </w:t>
            </w:r>
          </w:p>
        </w:tc>
      </w:tr>
    </w:tbl>
    <w:p w14:paraId="1D92D1AA" w14:textId="77777777" w:rsidR="00822CCC" w:rsidRDefault="00822CCC">
      <w:pPr>
        <w:rPr>
          <w:rFonts w:ascii="Aptos" w:hAnsi="Aptos"/>
          <w:color w:val="000000"/>
        </w:rPr>
      </w:pPr>
    </w:p>
    <w:p w14:paraId="68B50A78" w14:textId="77777777" w:rsidR="008B34EB" w:rsidRDefault="008B34EB">
      <w:pPr>
        <w:rPr>
          <w:rFonts w:ascii="Aptos" w:hAnsi="Aptos"/>
          <w:color w:val="000000"/>
        </w:rPr>
      </w:pPr>
    </w:p>
    <w:p w14:paraId="5FD153D6" w14:textId="77777777" w:rsidR="008B34EB" w:rsidRDefault="008B34EB">
      <w:pPr>
        <w:rPr>
          <w:rFonts w:ascii="Aptos" w:hAnsi="Aptos"/>
          <w:color w:val="000000"/>
        </w:rPr>
      </w:pPr>
    </w:p>
    <w:p w14:paraId="5A701359" w14:textId="77777777" w:rsidR="008B34EB" w:rsidRDefault="008B34EB">
      <w:pPr>
        <w:rPr>
          <w:rFonts w:ascii="Aptos" w:hAnsi="Aptos"/>
          <w:color w:val="000000"/>
        </w:rPr>
      </w:pPr>
    </w:p>
    <w:p w14:paraId="45C7ED1E" w14:textId="77777777" w:rsidR="008B34EB" w:rsidRDefault="008B34EB">
      <w:pPr>
        <w:rPr>
          <w:rFonts w:ascii="Aptos" w:hAnsi="Aptos"/>
          <w:color w:val="000000"/>
        </w:rPr>
      </w:pPr>
    </w:p>
    <w:p w14:paraId="2E8B7D97" w14:textId="18A324D0" w:rsidR="00822CCC" w:rsidRDefault="00822CCC">
      <w:pPr>
        <w:rPr>
          <w:rFonts w:ascii="Aptos" w:hAnsi="Aptos"/>
          <w:color w:val="000000"/>
        </w:rPr>
      </w:pPr>
      <w:r>
        <w:rPr>
          <w:rFonts w:ascii="Aptos" w:hAnsi="Aptos"/>
          <w:color w:val="000000"/>
        </w:rPr>
        <w:t xml:space="preserve">Appendix Table 3. </w:t>
      </w:r>
      <w:r w:rsidR="00A40A40">
        <w:rPr>
          <w:rFonts w:ascii="Aptos" w:hAnsi="Aptos"/>
          <w:color w:val="000000"/>
        </w:rPr>
        <w:t xml:space="preserve">Estimated 2-year postpartum Health Outcomes </w:t>
      </w:r>
    </w:p>
    <w:tbl>
      <w:tblPr>
        <w:tblW w:w="13940" w:type="dxa"/>
        <w:tblLook w:val="04A0" w:firstRow="1" w:lastRow="0" w:firstColumn="1" w:lastColumn="0" w:noHBand="0" w:noVBand="1"/>
      </w:tblPr>
      <w:tblGrid>
        <w:gridCol w:w="2600"/>
        <w:gridCol w:w="2400"/>
        <w:gridCol w:w="1720"/>
        <w:gridCol w:w="1720"/>
        <w:gridCol w:w="2060"/>
        <w:gridCol w:w="1720"/>
        <w:gridCol w:w="1720"/>
      </w:tblGrid>
      <w:tr w:rsidR="008B34EB" w:rsidRPr="008B34EB" w14:paraId="23408F60" w14:textId="77777777" w:rsidTr="008B34EB">
        <w:trPr>
          <w:trHeight w:val="692"/>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03467" w14:textId="77777777" w:rsidR="008B34EB" w:rsidRPr="008B34EB" w:rsidRDefault="008B34EB">
            <w:pPr>
              <w:rPr>
                <w:rFonts w:ascii="Aptos Narrow" w:hAnsi="Aptos Narrow"/>
                <w:b/>
                <w:bCs/>
                <w:color w:val="000000"/>
                <w:sz w:val="20"/>
                <w:szCs w:val="20"/>
              </w:rPr>
            </w:pPr>
            <w:r w:rsidRPr="008B34EB">
              <w:rPr>
                <w:rFonts w:ascii="Aptos Narrow" w:hAnsi="Aptos Narrow"/>
                <w:b/>
                <w:bCs/>
                <w:color w:val="000000"/>
                <w:sz w:val="20"/>
                <w:szCs w:val="20"/>
              </w:rPr>
              <w:t xml:space="preserve">Strategy              </w:t>
            </w:r>
          </w:p>
        </w:tc>
        <w:tc>
          <w:tcPr>
            <w:tcW w:w="2400" w:type="dxa"/>
            <w:tcBorders>
              <w:top w:val="single" w:sz="4" w:space="0" w:color="auto"/>
              <w:left w:val="nil"/>
              <w:bottom w:val="single" w:sz="4" w:space="0" w:color="auto"/>
              <w:right w:val="single" w:sz="4" w:space="0" w:color="auto"/>
            </w:tcBorders>
            <w:shd w:val="clear" w:color="auto" w:fill="auto"/>
            <w:vAlign w:val="bottom"/>
            <w:hideMark/>
          </w:tcPr>
          <w:p w14:paraId="5BC734D3" w14:textId="5EB13459" w:rsidR="008B34EB" w:rsidRPr="008B34EB" w:rsidRDefault="008B34EB">
            <w:pPr>
              <w:rPr>
                <w:rFonts w:ascii="Aptos Narrow" w:hAnsi="Aptos Narrow"/>
                <w:b/>
                <w:bCs/>
                <w:color w:val="000000"/>
                <w:sz w:val="20"/>
                <w:szCs w:val="20"/>
              </w:rPr>
            </w:pPr>
            <w:r w:rsidRPr="008B34EB">
              <w:rPr>
                <w:rFonts w:ascii="Aptos Narrow" w:hAnsi="Aptos Narrow"/>
                <w:b/>
                <w:bCs/>
                <w:color w:val="000000"/>
                <w:sz w:val="20"/>
                <w:szCs w:val="20"/>
              </w:rPr>
              <w:t xml:space="preserve">#HTN </w:t>
            </w:r>
            <w:r w:rsidR="00086514">
              <w:rPr>
                <w:rFonts w:ascii="Aptos Narrow" w:hAnsi="Aptos Narrow"/>
                <w:b/>
                <w:bCs/>
                <w:color w:val="000000"/>
                <w:sz w:val="20"/>
                <w:szCs w:val="20"/>
              </w:rPr>
              <w:t>cases</w:t>
            </w:r>
            <w:r w:rsidRPr="008B34EB">
              <w:rPr>
                <w:rFonts w:ascii="Aptos Narrow" w:hAnsi="Aptos Narrow"/>
                <w:b/>
                <w:bCs/>
                <w:color w:val="000000"/>
                <w:sz w:val="20"/>
                <w:szCs w:val="20"/>
              </w:rPr>
              <w:t xml:space="preserve"> per 100,000 people</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14:paraId="04426197" w14:textId="39DBD805" w:rsidR="008B34EB" w:rsidRPr="008B34EB" w:rsidRDefault="008B34EB">
            <w:pPr>
              <w:rPr>
                <w:rFonts w:ascii="Aptos Narrow" w:hAnsi="Aptos Narrow"/>
                <w:b/>
                <w:bCs/>
                <w:color w:val="000000"/>
                <w:sz w:val="20"/>
                <w:szCs w:val="20"/>
              </w:rPr>
            </w:pPr>
            <w:r w:rsidRPr="008B34EB">
              <w:rPr>
                <w:rFonts w:ascii="Aptos Narrow" w:hAnsi="Aptos Narrow"/>
                <w:b/>
                <w:bCs/>
                <w:color w:val="000000"/>
                <w:sz w:val="20"/>
                <w:szCs w:val="20"/>
              </w:rPr>
              <w:t xml:space="preserve">Incremental HTN </w:t>
            </w:r>
            <w:r w:rsidR="00086514">
              <w:rPr>
                <w:rFonts w:ascii="Aptos Narrow" w:hAnsi="Aptos Narrow"/>
                <w:b/>
                <w:bCs/>
                <w:color w:val="000000"/>
                <w:sz w:val="20"/>
                <w:szCs w:val="20"/>
              </w:rPr>
              <w:t>cases</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14:paraId="01A696A8" w14:textId="54E48E1A" w:rsidR="008B34EB" w:rsidRPr="008B34EB" w:rsidRDefault="008B34EB">
            <w:pPr>
              <w:rPr>
                <w:rFonts w:ascii="Aptos Narrow" w:hAnsi="Aptos Narrow"/>
                <w:b/>
                <w:bCs/>
                <w:color w:val="000000"/>
                <w:sz w:val="20"/>
                <w:szCs w:val="20"/>
              </w:rPr>
            </w:pPr>
            <w:r w:rsidRPr="008B34EB">
              <w:rPr>
                <w:rFonts w:ascii="Aptos Narrow" w:hAnsi="Aptos Narrow"/>
                <w:b/>
                <w:bCs/>
                <w:color w:val="000000"/>
                <w:sz w:val="20"/>
                <w:szCs w:val="20"/>
              </w:rPr>
              <w:t xml:space="preserve">#CVD </w:t>
            </w:r>
            <w:r w:rsidR="00086514">
              <w:rPr>
                <w:rFonts w:ascii="Aptos Narrow" w:hAnsi="Aptos Narrow"/>
                <w:b/>
                <w:bCs/>
                <w:color w:val="000000"/>
                <w:sz w:val="20"/>
                <w:szCs w:val="20"/>
              </w:rPr>
              <w:t>cases</w:t>
            </w:r>
            <w:r w:rsidR="00086514" w:rsidRPr="008B34EB">
              <w:rPr>
                <w:rFonts w:ascii="Aptos Narrow" w:hAnsi="Aptos Narrow"/>
                <w:b/>
                <w:bCs/>
                <w:color w:val="000000"/>
                <w:sz w:val="20"/>
                <w:szCs w:val="20"/>
              </w:rPr>
              <w:t xml:space="preserve"> </w:t>
            </w:r>
            <w:r w:rsidRPr="008B34EB">
              <w:rPr>
                <w:rFonts w:ascii="Aptos Narrow" w:hAnsi="Aptos Narrow"/>
                <w:b/>
                <w:bCs/>
                <w:color w:val="000000"/>
                <w:sz w:val="20"/>
                <w:szCs w:val="20"/>
              </w:rPr>
              <w:t>per 100,000 people</w:t>
            </w:r>
          </w:p>
        </w:tc>
        <w:tc>
          <w:tcPr>
            <w:tcW w:w="2060" w:type="dxa"/>
            <w:tcBorders>
              <w:top w:val="single" w:sz="4" w:space="0" w:color="auto"/>
              <w:left w:val="nil"/>
              <w:bottom w:val="single" w:sz="4" w:space="0" w:color="auto"/>
              <w:right w:val="single" w:sz="4" w:space="0" w:color="auto"/>
            </w:tcBorders>
            <w:shd w:val="clear" w:color="auto" w:fill="auto"/>
            <w:vAlign w:val="bottom"/>
            <w:hideMark/>
          </w:tcPr>
          <w:p w14:paraId="6EEE525E" w14:textId="460C7DF2" w:rsidR="008B34EB" w:rsidRPr="008B34EB" w:rsidRDefault="008B34EB">
            <w:pPr>
              <w:rPr>
                <w:rFonts w:ascii="Aptos Narrow" w:hAnsi="Aptos Narrow"/>
                <w:b/>
                <w:bCs/>
                <w:color w:val="000000"/>
                <w:sz w:val="20"/>
                <w:szCs w:val="20"/>
              </w:rPr>
            </w:pPr>
            <w:r w:rsidRPr="008B34EB">
              <w:rPr>
                <w:rFonts w:ascii="Aptos Narrow" w:hAnsi="Aptos Narrow"/>
                <w:b/>
                <w:bCs/>
                <w:color w:val="000000"/>
                <w:sz w:val="20"/>
                <w:szCs w:val="20"/>
              </w:rPr>
              <w:t xml:space="preserve">Incremental CVD </w:t>
            </w:r>
            <w:r w:rsidR="00086514">
              <w:rPr>
                <w:rFonts w:ascii="Aptos Narrow" w:hAnsi="Aptos Narrow"/>
                <w:b/>
                <w:bCs/>
                <w:color w:val="000000"/>
                <w:sz w:val="20"/>
                <w:szCs w:val="20"/>
              </w:rPr>
              <w:t>cases</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14:paraId="47DAC7DA" w14:textId="41B1286C" w:rsidR="008B34EB" w:rsidRPr="008B34EB" w:rsidRDefault="008B34EB">
            <w:pPr>
              <w:rPr>
                <w:rFonts w:ascii="Aptos Narrow" w:hAnsi="Aptos Narrow"/>
                <w:b/>
                <w:bCs/>
                <w:color w:val="000000"/>
                <w:sz w:val="20"/>
                <w:szCs w:val="20"/>
              </w:rPr>
            </w:pPr>
            <w:r w:rsidRPr="008B34EB">
              <w:rPr>
                <w:rFonts w:ascii="Aptos Narrow" w:hAnsi="Aptos Narrow"/>
                <w:b/>
                <w:bCs/>
                <w:color w:val="000000"/>
                <w:sz w:val="20"/>
                <w:szCs w:val="20"/>
              </w:rPr>
              <w:t xml:space="preserve">#T2DM </w:t>
            </w:r>
            <w:r w:rsidR="00086514">
              <w:rPr>
                <w:rFonts w:ascii="Aptos Narrow" w:hAnsi="Aptos Narrow"/>
                <w:b/>
                <w:bCs/>
                <w:color w:val="000000"/>
                <w:sz w:val="20"/>
                <w:szCs w:val="20"/>
              </w:rPr>
              <w:t>cases</w:t>
            </w:r>
            <w:r w:rsidR="00086514" w:rsidRPr="008B34EB">
              <w:rPr>
                <w:rFonts w:ascii="Aptos Narrow" w:hAnsi="Aptos Narrow"/>
                <w:b/>
                <w:bCs/>
                <w:color w:val="000000"/>
                <w:sz w:val="20"/>
                <w:szCs w:val="20"/>
              </w:rPr>
              <w:t xml:space="preserve"> </w:t>
            </w:r>
            <w:r w:rsidRPr="008B34EB">
              <w:rPr>
                <w:rFonts w:ascii="Aptos Narrow" w:hAnsi="Aptos Narrow"/>
                <w:b/>
                <w:bCs/>
                <w:color w:val="000000"/>
                <w:sz w:val="20"/>
                <w:szCs w:val="20"/>
              </w:rPr>
              <w:t>per 100,000 people</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14:paraId="2F31C432" w14:textId="7BB1CAA3" w:rsidR="008B34EB" w:rsidRPr="008B34EB" w:rsidRDefault="008B34EB">
            <w:pPr>
              <w:rPr>
                <w:rFonts w:ascii="Aptos Narrow" w:hAnsi="Aptos Narrow"/>
                <w:b/>
                <w:bCs/>
                <w:color w:val="000000"/>
                <w:sz w:val="20"/>
                <w:szCs w:val="20"/>
              </w:rPr>
            </w:pPr>
            <w:r w:rsidRPr="008B34EB">
              <w:rPr>
                <w:rFonts w:ascii="Aptos Narrow" w:hAnsi="Aptos Narrow"/>
                <w:b/>
                <w:bCs/>
                <w:color w:val="000000"/>
                <w:sz w:val="20"/>
                <w:szCs w:val="20"/>
              </w:rPr>
              <w:t xml:space="preserve">Incremental T2DM </w:t>
            </w:r>
            <w:r w:rsidR="00086514">
              <w:rPr>
                <w:rFonts w:ascii="Aptos Narrow" w:hAnsi="Aptos Narrow"/>
                <w:b/>
                <w:bCs/>
                <w:color w:val="000000"/>
                <w:sz w:val="20"/>
                <w:szCs w:val="20"/>
              </w:rPr>
              <w:t>cases</w:t>
            </w:r>
          </w:p>
        </w:tc>
      </w:tr>
      <w:tr w:rsidR="008B34EB" w:rsidRPr="008B34EB" w14:paraId="23710DF5" w14:textId="77777777" w:rsidTr="008B34EB">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7EC92E36" w14:textId="77777777" w:rsidR="008B34EB" w:rsidRPr="008B34EB" w:rsidRDefault="008B34EB">
            <w:pPr>
              <w:rPr>
                <w:rFonts w:ascii="Aptos Narrow" w:hAnsi="Aptos Narrow"/>
                <w:color w:val="000000"/>
                <w:sz w:val="20"/>
                <w:szCs w:val="20"/>
              </w:rPr>
            </w:pPr>
            <w:r w:rsidRPr="008B34EB">
              <w:rPr>
                <w:rFonts w:ascii="Aptos Narrow" w:hAnsi="Aptos Narrow"/>
                <w:color w:val="000000"/>
                <w:sz w:val="20"/>
                <w:szCs w:val="20"/>
              </w:rPr>
              <w:t xml:space="preserve">Lifestyle Therapy     </w:t>
            </w:r>
          </w:p>
        </w:tc>
        <w:tc>
          <w:tcPr>
            <w:tcW w:w="2400" w:type="dxa"/>
            <w:tcBorders>
              <w:top w:val="nil"/>
              <w:left w:val="nil"/>
              <w:bottom w:val="single" w:sz="4" w:space="0" w:color="auto"/>
              <w:right w:val="single" w:sz="4" w:space="0" w:color="auto"/>
            </w:tcBorders>
            <w:shd w:val="clear" w:color="auto" w:fill="auto"/>
            <w:noWrap/>
            <w:vAlign w:val="bottom"/>
            <w:hideMark/>
          </w:tcPr>
          <w:p w14:paraId="06FED3BE"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9070</w:t>
            </w:r>
          </w:p>
        </w:tc>
        <w:tc>
          <w:tcPr>
            <w:tcW w:w="1720" w:type="dxa"/>
            <w:tcBorders>
              <w:top w:val="nil"/>
              <w:left w:val="nil"/>
              <w:bottom w:val="single" w:sz="4" w:space="0" w:color="auto"/>
              <w:right w:val="single" w:sz="4" w:space="0" w:color="auto"/>
            </w:tcBorders>
            <w:shd w:val="clear" w:color="auto" w:fill="auto"/>
            <w:noWrap/>
            <w:vAlign w:val="bottom"/>
            <w:hideMark/>
          </w:tcPr>
          <w:p w14:paraId="790DD8BE"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Ref</w:t>
            </w:r>
          </w:p>
        </w:tc>
        <w:tc>
          <w:tcPr>
            <w:tcW w:w="1720" w:type="dxa"/>
            <w:tcBorders>
              <w:top w:val="nil"/>
              <w:left w:val="nil"/>
              <w:bottom w:val="single" w:sz="4" w:space="0" w:color="auto"/>
              <w:right w:val="single" w:sz="4" w:space="0" w:color="auto"/>
            </w:tcBorders>
            <w:shd w:val="clear" w:color="auto" w:fill="auto"/>
            <w:noWrap/>
            <w:vAlign w:val="bottom"/>
            <w:hideMark/>
          </w:tcPr>
          <w:p w14:paraId="2340DE1F"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460</w:t>
            </w:r>
          </w:p>
        </w:tc>
        <w:tc>
          <w:tcPr>
            <w:tcW w:w="2060" w:type="dxa"/>
            <w:tcBorders>
              <w:top w:val="nil"/>
              <w:left w:val="nil"/>
              <w:bottom w:val="single" w:sz="4" w:space="0" w:color="auto"/>
              <w:right w:val="single" w:sz="4" w:space="0" w:color="auto"/>
            </w:tcBorders>
            <w:shd w:val="clear" w:color="auto" w:fill="auto"/>
            <w:noWrap/>
            <w:vAlign w:val="bottom"/>
            <w:hideMark/>
          </w:tcPr>
          <w:p w14:paraId="0A9610B9"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Ref</w:t>
            </w:r>
          </w:p>
        </w:tc>
        <w:tc>
          <w:tcPr>
            <w:tcW w:w="1720" w:type="dxa"/>
            <w:tcBorders>
              <w:top w:val="nil"/>
              <w:left w:val="nil"/>
              <w:bottom w:val="single" w:sz="4" w:space="0" w:color="auto"/>
              <w:right w:val="single" w:sz="4" w:space="0" w:color="auto"/>
            </w:tcBorders>
            <w:shd w:val="clear" w:color="auto" w:fill="auto"/>
            <w:noWrap/>
            <w:vAlign w:val="bottom"/>
            <w:hideMark/>
          </w:tcPr>
          <w:p w14:paraId="3A0C4B4B"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1050</w:t>
            </w:r>
          </w:p>
        </w:tc>
        <w:tc>
          <w:tcPr>
            <w:tcW w:w="1720" w:type="dxa"/>
            <w:tcBorders>
              <w:top w:val="nil"/>
              <w:left w:val="nil"/>
              <w:bottom w:val="single" w:sz="4" w:space="0" w:color="auto"/>
              <w:right w:val="single" w:sz="4" w:space="0" w:color="auto"/>
            </w:tcBorders>
            <w:shd w:val="clear" w:color="auto" w:fill="auto"/>
            <w:noWrap/>
            <w:vAlign w:val="bottom"/>
            <w:hideMark/>
          </w:tcPr>
          <w:p w14:paraId="04B15E08"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Ref</w:t>
            </w:r>
          </w:p>
        </w:tc>
      </w:tr>
      <w:tr w:rsidR="008B34EB" w:rsidRPr="008B34EB" w14:paraId="464717D0" w14:textId="77777777" w:rsidTr="008B34EB">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43313A8F" w14:textId="77777777" w:rsidR="008B34EB" w:rsidRPr="008B34EB" w:rsidRDefault="008B34EB">
            <w:pPr>
              <w:rPr>
                <w:rFonts w:ascii="Aptos Narrow" w:hAnsi="Aptos Narrow"/>
                <w:color w:val="000000"/>
                <w:sz w:val="20"/>
                <w:szCs w:val="20"/>
              </w:rPr>
            </w:pPr>
            <w:r w:rsidRPr="008B34EB">
              <w:rPr>
                <w:rFonts w:ascii="Aptos Narrow" w:hAnsi="Aptos Narrow"/>
                <w:color w:val="000000"/>
                <w:sz w:val="20"/>
                <w:szCs w:val="20"/>
              </w:rPr>
              <w:t>Phentermine/Topiramate</w:t>
            </w:r>
          </w:p>
        </w:tc>
        <w:tc>
          <w:tcPr>
            <w:tcW w:w="2400" w:type="dxa"/>
            <w:tcBorders>
              <w:top w:val="nil"/>
              <w:left w:val="nil"/>
              <w:bottom w:val="single" w:sz="4" w:space="0" w:color="auto"/>
              <w:right w:val="single" w:sz="4" w:space="0" w:color="auto"/>
            </w:tcBorders>
            <w:shd w:val="clear" w:color="auto" w:fill="auto"/>
            <w:noWrap/>
            <w:vAlign w:val="bottom"/>
            <w:hideMark/>
          </w:tcPr>
          <w:p w14:paraId="52A04F86"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7940</w:t>
            </w:r>
          </w:p>
        </w:tc>
        <w:tc>
          <w:tcPr>
            <w:tcW w:w="1720" w:type="dxa"/>
            <w:tcBorders>
              <w:top w:val="nil"/>
              <w:left w:val="nil"/>
              <w:bottom w:val="single" w:sz="4" w:space="0" w:color="auto"/>
              <w:right w:val="single" w:sz="4" w:space="0" w:color="auto"/>
            </w:tcBorders>
            <w:shd w:val="clear" w:color="auto" w:fill="auto"/>
            <w:noWrap/>
            <w:vAlign w:val="bottom"/>
            <w:hideMark/>
          </w:tcPr>
          <w:p w14:paraId="6B179DC5"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-1130</w:t>
            </w:r>
          </w:p>
        </w:tc>
        <w:tc>
          <w:tcPr>
            <w:tcW w:w="1720" w:type="dxa"/>
            <w:tcBorders>
              <w:top w:val="nil"/>
              <w:left w:val="nil"/>
              <w:bottom w:val="single" w:sz="4" w:space="0" w:color="auto"/>
              <w:right w:val="single" w:sz="4" w:space="0" w:color="auto"/>
            </w:tcBorders>
            <w:shd w:val="clear" w:color="auto" w:fill="auto"/>
            <w:noWrap/>
            <w:vAlign w:val="bottom"/>
            <w:hideMark/>
          </w:tcPr>
          <w:p w14:paraId="040C8375"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480</w:t>
            </w:r>
          </w:p>
        </w:tc>
        <w:tc>
          <w:tcPr>
            <w:tcW w:w="2060" w:type="dxa"/>
            <w:tcBorders>
              <w:top w:val="nil"/>
              <w:left w:val="nil"/>
              <w:bottom w:val="single" w:sz="4" w:space="0" w:color="auto"/>
              <w:right w:val="single" w:sz="4" w:space="0" w:color="auto"/>
            </w:tcBorders>
            <w:shd w:val="clear" w:color="auto" w:fill="auto"/>
            <w:noWrap/>
            <w:vAlign w:val="bottom"/>
            <w:hideMark/>
          </w:tcPr>
          <w:p w14:paraId="6F1BE0C4"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20</w:t>
            </w:r>
          </w:p>
        </w:tc>
        <w:tc>
          <w:tcPr>
            <w:tcW w:w="1720" w:type="dxa"/>
            <w:tcBorders>
              <w:top w:val="nil"/>
              <w:left w:val="nil"/>
              <w:bottom w:val="single" w:sz="4" w:space="0" w:color="auto"/>
              <w:right w:val="single" w:sz="4" w:space="0" w:color="auto"/>
            </w:tcBorders>
            <w:shd w:val="clear" w:color="auto" w:fill="auto"/>
            <w:noWrap/>
            <w:vAlign w:val="bottom"/>
            <w:hideMark/>
          </w:tcPr>
          <w:p w14:paraId="1B8AA110"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930</w:t>
            </w:r>
          </w:p>
        </w:tc>
        <w:tc>
          <w:tcPr>
            <w:tcW w:w="1720" w:type="dxa"/>
            <w:tcBorders>
              <w:top w:val="nil"/>
              <w:left w:val="nil"/>
              <w:bottom w:val="single" w:sz="4" w:space="0" w:color="auto"/>
              <w:right w:val="single" w:sz="4" w:space="0" w:color="auto"/>
            </w:tcBorders>
            <w:shd w:val="clear" w:color="auto" w:fill="auto"/>
            <w:noWrap/>
            <w:vAlign w:val="bottom"/>
            <w:hideMark/>
          </w:tcPr>
          <w:p w14:paraId="30519ED5"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-120</w:t>
            </w:r>
          </w:p>
        </w:tc>
      </w:tr>
      <w:tr w:rsidR="008B34EB" w:rsidRPr="008B34EB" w14:paraId="55BFB501" w14:textId="77777777" w:rsidTr="008B34EB">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0695683" w14:textId="77777777" w:rsidR="008B34EB" w:rsidRPr="008B34EB" w:rsidRDefault="008B34EB">
            <w:pPr>
              <w:rPr>
                <w:rFonts w:ascii="Aptos Narrow" w:hAnsi="Aptos Narrow"/>
                <w:color w:val="000000"/>
                <w:sz w:val="20"/>
                <w:szCs w:val="20"/>
              </w:rPr>
            </w:pPr>
            <w:r w:rsidRPr="008B34EB">
              <w:rPr>
                <w:rFonts w:ascii="Aptos Narrow" w:hAnsi="Aptos Narrow"/>
                <w:color w:val="000000"/>
                <w:sz w:val="20"/>
                <w:szCs w:val="20"/>
              </w:rPr>
              <w:t xml:space="preserve">Bupropion/Naltrexone  </w:t>
            </w:r>
          </w:p>
        </w:tc>
        <w:tc>
          <w:tcPr>
            <w:tcW w:w="2400" w:type="dxa"/>
            <w:tcBorders>
              <w:top w:val="nil"/>
              <w:left w:val="nil"/>
              <w:bottom w:val="single" w:sz="4" w:space="0" w:color="auto"/>
              <w:right w:val="single" w:sz="4" w:space="0" w:color="auto"/>
            </w:tcBorders>
            <w:shd w:val="clear" w:color="auto" w:fill="auto"/>
            <w:noWrap/>
            <w:vAlign w:val="bottom"/>
            <w:hideMark/>
          </w:tcPr>
          <w:p w14:paraId="5428B229"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8810</w:t>
            </w:r>
          </w:p>
        </w:tc>
        <w:tc>
          <w:tcPr>
            <w:tcW w:w="1720" w:type="dxa"/>
            <w:tcBorders>
              <w:top w:val="nil"/>
              <w:left w:val="nil"/>
              <w:bottom w:val="single" w:sz="4" w:space="0" w:color="auto"/>
              <w:right w:val="single" w:sz="4" w:space="0" w:color="auto"/>
            </w:tcBorders>
            <w:shd w:val="clear" w:color="auto" w:fill="auto"/>
            <w:noWrap/>
            <w:vAlign w:val="bottom"/>
            <w:hideMark/>
          </w:tcPr>
          <w:p w14:paraId="3847AF2E"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-260</w:t>
            </w:r>
          </w:p>
        </w:tc>
        <w:tc>
          <w:tcPr>
            <w:tcW w:w="1720" w:type="dxa"/>
            <w:tcBorders>
              <w:top w:val="nil"/>
              <w:left w:val="nil"/>
              <w:bottom w:val="single" w:sz="4" w:space="0" w:color="auto"/>
              <w:right w:val="single" w:sz="4" w:space="0" w:color="auto"/>
            </w:tcBorders>
            <w:shd w:val="clear" w:color="auto" w:fill="auto"/>
            <w:noWrap/>
            <w:vAlign w:val="bottom"/>
            <w:hideMark/>
          </w:tcPr>
          <w:p w14:paraId="31183AD9"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500</w:t>
            </w:r>
          </w:p>
        </w:tc>
        <w:tc>
          <w:tcPr>
            <w:tcW w:w="2060" w:type="dxa"/>
            <w:tcBorders>
              <w:top w:val="nil"/>
              <w:left w:val="nil"/>
              <w:bottom w:val="single" w:sz="4" w:space="0" w:color="auto"/>
              <w:right w:val="single" w:sz="4" w:space="0" w:color="auto"/>
            </w:tcBorders>
            <w:shd w:val="clear" w:color="auto" w:fill="auto"/>
            <w:noWrap/>
            <w:vAlign w:val="bottom"/>
            <w:hideMark/>
          </w:tcPr>
          <w:p w14:paraId="09966715"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40</w:t>
            </w:r>
          </w:p>
        </w:tc>
        <w:tc>
          <w:tcPr>
            <w:tcW w:w="1720" w:type="dxa"/>
            <w:tcBorders>
              <w:top w:val="nil"/>
              <w:left w:val="nil"/>
              <w:bottom w:val="single" w:sz="4" w:space="0" w:color="auto"/>
              <w:right w:val="single" w:sz="4" w:space="0" w:color="auto"/>
            </w:tcBorders>
            <w:shd w:val="clear" w:color="auto" w:fill="auto"/>
            <w:noWrap/>
            <w:vAlign w:val="bottom"/>
            <w:hideMark/>
          </w:tcPr>
          <w:p w14:paraId="69FD58B5"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1020</w:t>
            </w:r>
          </w:p>
        </w:tc>
        <w:tc>
          <w:tcPr>
            <w:tcW w:w="1720" w:type="dxa"/>
            <w:tcBorders>
              <w:top w:val="nil"/>
              <w:left w:val="nil"/>
              <w:bottom w:val="single" w:sz="4" w:space="0" w:color="auto"/>
              <w:right w:val="single" w:sz="4" w:space="0" w:color="auto"/>
            </w:tcBorders>
            <w:shd w:val="clear" w:color="auto" w:fill="auto"/>
            <w:noWrap/>
            <w:vAlign w:val="bottom"/>
            <w:hideMark/>
          </w:tcPr>
          <w:p w14:paraId="37410DEB"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-30</w:t>
            </w:r>
          </w:p>
        </w:tc>
      </w:tr>
      <w:tr w:rsidR="008B34EB" w:rsidRPr="008B34EB" w14:paraId="165A779A" w14:textId="77777777" w:rsidTr="008B34EB">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68FCFE4" w14:textId="77777777" w:rsidR="008B34EB" w:rsidRPr="008B34EB" w:rsidRDefault="008B34EB">
            <w:pPr>
              <w:rPr>
                <w:rFonts w:ascii="Aptos Narrow" w:hAnsi="Aptos Narrow"/>
                <w:color w:val="000000"/>
                <w:sz w:val="20"/>
                <w:szCs w:val="20"/>
              </w:rPr>
            </w:pPr>
            <w:r w:rsidRPr="008B34EB">
              <w:rPr>
                <w:rFonts w:ascii="Aptos Narrow" w:hAnsi="Aptos Narrow"/>
                <w:color w:val="000000"/>
                <w:sz w:val="20"/>
                <w:szCs w:val="20"/>
              </w:rPr>
              <w:t xml:space="preserve">Liraglutide           </w:t>
            </w:r>
          </w:p>
        </w:tc>
        <w:tc>
          <w:tcPr>
            <w:tcW w:w="2400" w:type="dxa"/>
            <w:tcBorders>
              <w:top w:val="nil"/>
              <w:left w:val="nil"/>
              <w:bottom w:val="single" w:sz="4" w:space="0" w:color="auto"/>
              <w:right w:val="single" w:sz="4" w:space="0" w:color="auto"/>
            </w:tcBorders>
            <w:shd w:val="clear" w:color="auto" w:fill="auto"/>
            <w:noWrap/>
            <w:vAlign w:val="bottom"/>
            <w:hideMark/>
          </w:tcPr>
          <w:p w14:paraId="46272037"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8480</w:t>
            </w:r>
          </w:p>
        </w:tc>
        <w:tc>
          <w:tcPr>
            <w:tcW w:w="1720" w:type="dxa"/>
            <w:tcBorders>
              <w:top w:val="nil"/>
              <w:left w:val="nil"/>
              <w:bottom w:val="single" w:sz="4" w:space="0" w:color="auto"/>
              <w:right w:val="single" w:sz="4" w:space="0" w:color="auto"/>
            </w:tcBorders>
            <w:shd w:val="clear" w:color="auto" w:fill="auto"/>
            <w:noWrap/>
            <w:vAlign w:val="bottom"/>
            <w:hideMark/>
          </w:tcPr>
          <w:p w14:paraId="660BB545"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-590</w:t>
            </w:r>
          </w:p>
        </w:tc>
        <w:tc>
          <w:tcPr>
            <w:tcW w:w="1720" w:type="dxa"/>
            <w:tcBorders>
              <w:top w:val="nil"/>
              <w:left w:val="nil"/>
              <w:bottom w:val="single" w:sz="4" w:space="0" w:color="auto"/>
              <w:right w:val="single" w:sz="4" w:space="0" w:color="auto"/>
            </w:tcBorders>
            <w:shd w:val="clear" w:color="auto" w:fill="auto"/>
            <w:noWrap/>
            <w:vAlign w:val="bottom"/>
            <w:hideMark/>
          </w:tcPr>
          <w:p w14:paraId="6A36095B"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460</w:t>
            </w:r>
          </w:p>
        </w:tc>
        <w:tc>
          <w:tcPr>
            <w:tcW w:w="2060" w:type="dxa"/>
            <w:tcBorders>
              <w:top w:val="nil"/>
              <w:left w:val="nil"/>
              <w:bottom w:val="single" w:sz="4" w:space="0" w:color="auto"/>
              <w:right w:val="single" w:sz="4" w:space="0" w:color="auto"/>
            </w:tcBorders>
            <w:shd w:val="clear" w:color="auto" w:fill="auto"/>
            <w:noWrap/>
            <w:vAlign w:val="bottom"/>
            <w:hideMark/>
          </w:tcPr>
          <w:p w14:paraId="3611DA7A"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0</w:t>
            </w:r>
          </w:p>
        </w:tc>
        <w:tc>
          <w:tcPr>
            <w:tcW w:w="1720" w:type="dxa"/>
            <w:tcBorders>
              <w:top w:val="nil"/>
              <w:left w:val="nil"/>
              <w:bottom w:val="single" w:sz="4" w:space="0" w:color="auto"/>
              <w:right w:val="single" w:sz="4" w:space="0" w:color="auto"/>
            </w:tcBorders>
            <w:shd w:val="clear" w:color="auto" w:fill="auto"/>
            <w:noWrap/>
            <w:vAlign w:val="bottom"/>
            <w:hideMark/>
          </w:tcPr>
          <w:p w14:paraId="65F73BCE"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1080</w:t>
            </w:r>
          </w:p>
        </w:tc>
        <w:tc>
          <w:tcPr>
            <w:tcW w:w="1720" w:type="dxa"/>
            <w:tcBorders>
              <w:top w:val="nil"/>
              <w:left w:val="nil"/>
              <w:bottom w:val="single" w:sz="4" w:space="0" w:color="auto"/>
              <w:right w:val="single" w:sz="4" w:space="0" w:color="auto"/>
            </w:tcBorders>
            <w:shd w:val="clear" w:color="auto" w:fill="auto"/>
            <w:noWrap/>
            <w:vAlign w:val="bottom"/>
            <w:hideMark/>
          </w:tcPr>
          <w:p w14:paraId="58BE4499"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30</w:t>
            </w:r>
          </w:p>
        </w:tc>
      </w:tr>
      <w:tr w:rsidR="008B34EB" w:rsidRPr="008B34EB" w14:paraId="771FBBA7" w14:textId="77777777" w:rsidTr="008B34EB">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7AB1681" w14:textId="77777777" w:rsidR="008B34EB" w:rsidRPr="008B34EB" w:rsidRDefault="008B34EB">
            <w:pPr>
              <w:rPr>
                <w:rFonts w:ascii="Aptos Narrow" w:hAnsi="Aptos Narrow"/>
                <w:color w:val="000000"/>
                <w:sz w:val="20"/>
                <w:szCs w:val="20"/>
              </w:rPr>
            </w:pPr>
            <w:proofErr w:type="spellStart"/>
            <w:r w:rsidRPr="008B34EB">
              <w:rPr>
                <w:rFonts w:ascii="Aptos Narrow" w:hAnsi="Aptos Narrow"/>
                <w:color w:val="000000"/>
                <w:sz w:val="20"/>
                <w:szCs w:val="20"/>
              </w:rPr>
              <w:t>Semaglutide</w:t>
            </w:r>
            <w:proofErr w:type="spellEnd"/>
            <w:r w:rsidRPr="008B34EB">
              <w:rPr>
                <w:rFonts w:ascii="Aptos Narrow" w:hAnsi="Aptos Narrow"/>
                <w:color w:val="000000"/>
                <w:sz w:val="20"/>
                <w:szCs w:val="20"/>
              </w:rPr>
              <w:t xml:space="preserve">           </w:t>
            </w:r>
          </w:p>
        </w:tc>
        <w:tc>
          <w:tcPr>
            <w:tcW w:w="2400" w:type="dxa"/>
            <w:tcBorders>
              <w:top w:val="nil"/>
              <w:left w:val="nil"/>
              <w:bottom w:val="single" w:sz="4" w:space="0" w:color="auto"/>
              <w:right w:val="single" w:sz="4" w:space="0" w:color="auto"/>
            </w:tcBorders>
            <w:shd w:val="clear" w:color="auto" w:fill="auto"/>
            <w:noWrap/>
            <w:vAlign w:val="bottom"/>
            <w:hideMark/>
          </w:tcPr>
          <w:p w14:paraId="698B183F"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7650</w:t>
            </w:r>
          </w:p>
        </w:tc>
        <w:tc>
          <w:tcPr>
            <w:tcW w:w="1720" w:type="dxa"/>
            <w:tcBorders>
              <w:top w:val="nil"/>
              <w:left w:val="nil"/>
              <w:bottom w:val="single" w:sz="4" w:space="0" w:color="auto"/>
              <w:right w:val="single" w:sz="4" w:space="0" w:color="auto"/>
            </w:tcBorders>
            <w:shd w:val="clear" w:color="auto" w:fill="auto"/>
            <w:noWrap/>
            <w:vAlign w:val="bottom"/>
            <w:hideMark/>
          </w:tcPr>
          <w:p w14:paraId="182E0A5F"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-1420</w:t>
            </w:r>
          </w:p>
        </w:tc>
        <w:tc>
          <w:tcPr>
            <w:tcW w:w="1720" w:type="dxa"/>
            <w:tcBorders>
              <w:top w:val="nil"/>
              <w:left w:val="nil"/>
              <w:bottom w:val="single" w:sz="4" w:space="0" w:color="auto"/>
              <w:right w:val="single" w:sz="4" w:space="0" w:color="auto"/>
            </w:tcBorders>
            <w:shd w:val="clear" w:color="auto" w:fill="auto"/>
            <w:noWrap/>
            <w:vAlign w:val="bottom"/>
            <w:hideMark/>
          </w:tcPr>
          <w:p w14:paraId="39509E0D"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480</w:t>
            </w:r>
          </w:p>
        </w:tc>
        <w:tc>
          <w:tcPr>
            <w:tcW w:w="2060" w:type="dxa"/>
            <w:tcBorders>
              <w:top w:val="nil"/>
              <w:left w:val="nil"/>
              <w:bottom w:val="single" w:sz="4" w:space="0" w:color="auto"/>
              <w:right w:val="single" w:sz="4" w:space="0" w:color="auto"/>
            </w:tcBorders>
            <w:shd w:val="clear" w:color="auto" w:fill="auto"/>
            <w:noWrap/>
            <w:vAlign w:val="bottom"/>
            <w:hideMark/>
          </w:tcPr>
          <w:p w14:paraId="64CC33C2"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20</w:t>
            </w:r>
          </w:p>
        </w:tc>
        <w:tc>
          <w:tcPr>
            <w:tcW w:w="1720" w:type="dxa"/>
            <w:tcBorders>
              <w:top w:val="nil"/>
              <w:left w:val="nil"/>
              <w:bottom w:val="single" w:sz="4" w:space="0" w:color="auto"/>
              <w:right w:val="single" w:sz="4" w:space="0" w:color="auto"/>
            </w:tcBorders>
            <w:shd w:val="clear" w:color="auto" w:fill="auto"/>
            <w:noWrap/>
            <w:vAlign w:val="bottom"/>
            <w:hideMark/>
          </w:tcPr>
          <w:p w14:paraId="08EA8DEB"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980</w:t>
            </w:r>
          </w:p>
        </w:tc>
        <w:tc>
          <w:tcPr>
            <w:tcW w:w="1720" w:type="dxa"/>
            <w:tcBorders>
              <w:top w:val="nil"/>
              <w:left w:val="nil"/>
              <w:bottom w:val="single" w:sz="4" w:space="0" w:color="auto"/>
              <w:right w:val="single" w:sz="4" w:space="0" w:color="auto"/>
            </w:tcBorders>
            <w:shd w:val="clear" w:color="auto" w:fill="auto"/>
            <w:noWrap/>
            <w:vAlign w:val="bottom"/>
            <w:hideMark/>
          </w:tcPr>
          <w:p w14:paraId="29532E30" w14:textId="77777777" w:rsidR="008B34EB" w:rsidRPr="008B34EB" w:rsidRDefault="008B34EB">
            <w:pPr>
              <w:jc w:val="right"/>
              <w:rPr>
                <w:rFonts w:ascii="Aptos Narrow" w:hAnsi="Aptos Narrow"/>
                <w:color w:val="000000"/>
                <w:sz w:val="20"/>
                <w:szCs w:val="20"/>
              </w:rPr>
            </w:pPr>
            <w:r w:rsidRPr="008B34EB">
              <w:rPr>
                <w:rFonts w:ascii="Aptos Narrow" w:hAnsi="Aptos Narrow"/>
                <w:color w:val="000000"/>
                <w:sz w:val="20"/>
                <w:szCs w:val="20"/>
              </w:rPr>
              <w:t>-70</w:t>
            </w:r>
          </w:p>
        </w:tc>
      </w:tr>
    </w:tbl>
    <w:p w14:paraId="56523DC0" w14:textId="77777777" w:rsidR="00A40A40" w:rsidRDefault="00A40A40">
      <w:pPr>
        <w:rPr>
          <w:rFonts w:ascii="Aptos" w:hAnsi="Aptos"/>
        </w:rPr>
      </w:pPr>
    </w:p>
    <w:p w14:paraId="3CFA04F2" w14:textId="77777777" w:rsidR="0085576A" w:rsidRDefault="0085576A">
      <w:pPr>
        <w:rPr>
          <w:rFonts w:ascii="Aptos" w:hAnsi="Aptos"/>
        </w:rPr>
      </w:pPr>
    </w:p>
    <w:p w14:paraId="4036F023" w14:textId="77777777" w:rsidR="0085576A" w:rsidRPr="006D221B" w:rsidRDefault="0085576A">
      <w:pPr>
        <w:rPr>
          <w:rFonts w:ascii="Aptos" w:hAnsi="Aptos"/>
        </w:rPr>
      </w:pPr>
    </w:p>
    <w:p w14:paraId="1DFF53DA" w14:textId="67409840" w:rsidR="005C34A6" w:rsidRPr="006D221B" w:rsidRDefault="005C34A6">
      <w:pPr>
        <w:rPr>
          <w:rFonts w:ascii="Aptos" w:hAnsi="Aptos"/>
        </w:rPr>
      </w:pPr>
      <w:r w:rsidRPr="006D221B">
        <w:rPr>
          <w:rFonts w:ascii="Aptos" w:hAnsi="Aptos"/>
        </w:rPr>
        <w:br w:type="page"/>
      </w:r>
    </w:p>
    <w:p w14:paraId="341DC916" w14:textId="7DEB3CD8" w:rsidR="005C34A6" w:rsidRPr="006D221B" w:rsidRDefault="005C34A6">
      <w:pPr>
        <w:rPr>
          <w:rFonts w:ascii="Aptos" w:hAnsi="Aptos"/>
        </w:rPr>
      </w:pPr>
      <w:r w:rsidRPr="006D221B">
        <w:rPr>
          <w:rFonts w:ascii="Aptos" w:hAnsi="Aptos"/>
        </w:rPr>
        <w:lastRenderedPageBreak/>
        <w:t>Reference</w:t>
      </w:r>
      <w:r w:rsidR="00792CCA">
        <w:rPr>
          <w:rFonts w:ascii="Aptos" w:hAnsi="Aptos"/>
        </w:rPr>
        <w:t xml:space="preserve"> (Tables, exhibits, and appendix)</w:t>
      </w:r>
    </w:p>
    <w:p w14:paraId="7DEB2E79" w14:textId="77777777" w:rsidR="00411D40" w:rsidRPr="006D221B" w:rsidRDefault="005C34A6" w:rsidP="00411D40">
      <w:pPr>
        <w:pStyle w:val="Bibliography"/>
        <w:rPr>
          <w:rFonts w:ascii="Aptos" w:hAnsi="Aptos"/>
        </w:rPr>
      </w:pPr>
      <w:r w:rsidRPr="006D221B">
        <w:rPr>
          <w:rFonts w:ascii="Aptos" w:hAnsi="Aptos"/>
        </w:rPr>
        <w:fldChar w:fldCharType="begin"/>
      </w:r>
      <w:r w:rsidR="00777735" w:rsidRPr="006D221B">
        <w:rPr>
          <w:rFonts w:ascii="Aptos" w:hAnsi="Aptos"/>
        </w:rPr>
        <w:instrText xml:space="preserve"> ADDIN ZOTERO_BIBL {"uncited":[],"omitted":[],"custom":[]} CSL_BIBLIOGRAPHY </w:instrText>
      </w:r>
      <w:r w:rsidRPr="006D221B">
        <w:rPr>
          <w:rFonts w:ascii="Aptos" w:hAnsi="Aptos"/>
        </w:rPr>
        <w:fldChar w:fldCharType="separate"/>
      </w:r>
      <w:r w:rsidR="00411D40" w:rsidRPr="006D221B">
        <w:rPr>
          <w:rFonts w:ascii="Aptos" w:hAnsi="Aptos"/>
        </w:rPr>
        <w:t>1.</w:t>
      </w:r>
      <w:r w:rsidR="00411D40" w:rsidRPr="006D221B">
        <w:rPr>
          <w:rFonts w:ascii="Aptos" w:hAnsi="Aptos"/>
        </w:rPr>
        <w:tab/>
        <w:t xml:space="preserve">Gadde KM, Allison DB, Ryan DH, et al. Effects of low-dose, controlled-release, phentermine plus topiramate combination on weight and associated comorbidities in overweight and obese adults (CONQUER): a randomised, placebo-controlled, phase 3 trial. </w:t>
      </w:r>
      <w:r w:rsidR="00411D40" w:rsidRPr="006D221B">
        <w:rPr>
          <w:rFonts w:ascii="Aptos" w:hAnsi="Aptos"/>
          <w:i/>
          <w:iCs/>
        </w:rPr>
        <w:t>The Lancet</w:t>
      </w:r>
      <w:r w:rsidR="00411D40" w:rsidRPr="006D221B">
        <w:rPr>
          <w:rFonts w:ascii="Aptos" w:hAnsi="Aptos"/>
        </w:rPr>
        <w:t>. 2011;377(9774):1341-1352. doi:10.1016/S0140-6736(11)60205-5</w:t>
      </w:r>
    </w:p>
    <w:p w14:paraId="4262E14D" w14:textId="77777777" w:rsidR="00411D40" w:rsidRPr="006D221B" w:rsidRDefault="00411D40" w:rsidP="00411D40">
      <w:pPr>
        <w:pStyle w:val="Bibliography"/>
        <w:rPr>
          <w:rFonts w:ascii="Aptos" w:hAnsi="Aptos"/>
        </w:rPr>
      </w:pPr>
      <w:r w:rsidRPr="006D221B">
        <w:rPr>
          <w:rFonts w:ascii="Aptos" w:hAnsi="Aptos"/>
        </w:rPr>
        <w:t>2.</w:t>
      </w:r>
      <w:r w:rsidRPr="006D221B">
        <w:rPr>
          <w:rFonts w:ascii="Aptos" w:hAnsi="Aptos"/>
        </w:rPr>
        <w:tab/>
        <w:t>Allison DB, Gadde KM, Garvey WT, et al. Controlled</w:t>
      </w:r>
      <w:r w:rsidRPr="006D221B">
        <w:rPr>
          <w:rFonts w:ascii="Cambria Math" w:hAnsi="Cambria Math" w:cs="Cambria Math"/>
        </w:rPr>
        <w:t>‐</w:t>
      </w:r>
      <w:r w:rsidRPr="006D221B">
        <w:rPr>
          <w:rFonts w:ascii="Aptos" w:hAnsi="Aptos"/>
        </w:rPr>
        <w:t xml:space="preserve">Release Phentermine/Topiramate in Severely Obese Adults: A Randomized Controlled Trial (EQUIP). </w:t>
      </w:r>
      <w:r w:rsidRPr="006D221B">
        <w:rPr>
          <w:rFonts w:ascii="Aptos" w:hAnsi="Aptos"/>
          <w:i/>
          <w:iCs/>
        </w:rPr>
        <w:t>Obesity</w:t>
      </w:r>
      <w:r w:rsidRPr="006D221B">
        <w:rPr>
          <w:rFonts w:ascii="Aptos" w:hAnsi="Aptos"/>
        </w:rPr>
        <w:t>. 2012;20(2):330-342. doi:10.1038/oby.2011.330</w:t>
      </w:r>
    </w:p>
    <w:p w14:paraId="666A1EDD" w14:textId="77777777" w:rsidR="00411D40" w:rsidRPr="006D221B" w:rsidRDefault="00411D40" w:rsidP="00411D40">
      <w:pPr>
        <w:pStyle w:val="Bibliography"/>
        <w:rPr>
          <w:rFonts w:ascii="Aptos" w:hAnsi="Aptos"/>
        </w:rPr>
      </w:pPr>
      <w:r w:rsidRPr="006D221B">
        <w:rPr>
          <w:rFonts w:ascii="Aptos" w:hAnsi="Aptos"/>
        </w:rPr>
        <w:t>3.</w:t>
      </w:r>
      <w:r w:rsidRPr="006D221B">
        <w:rPr>
          <w:rFonts w:ascii="Aptos" w:hAnsi="Aptos"/>
        </w:rPr>
        <w:tab/>
        <w:t xml:space="preserve">Greenway FL, Fujioka K, Plodkowski RA, et al. Effect of naltrexone plus bupropion on weight loss in overweight and obese adults (COR-I): a multicentre, randomised, double-blind, placebo-controlled, phase 3 trial. </w:t>
      </w:r>
      <w:r w:rsidRPr="006D221B">
        <w:rPr>
          <w:rFonts w:ascii="Aptos" w:hAnsi="Aptos"/>
          <w:i/>
          <w:iCs/>
        </w:rPr>
        <w:t>The Lancet</w:t>
      </w:r>
      <w:r w:rsidRPr="006D221B">
        <w:rPr>
          <w:rFonts w:ascii="Aptos" w:hAnsi="Aptos"/>
        </w:rPr>
        <w:t>. 2010;376(9741):595-605. doi:10.1016/S0140-6736(10)60888-4</w:t>
      </w:r>
    </w:p>
    <w:p w14:paraId="102EE09A" w14:textId="77777777" w:rsidR="00411D40" w:rsidRPr="006D221B" w:rsidRDefault="00411D40" w:rsidP="00411D40">
      <w:pPr>
        <w:pStyle w:val="Bibliography"/>
        <w:rPr>
          <w:rFonts w:ascii="Aptos" w:hAnsi="Aptos"/>
        </w:rPr>
      </w:pPr>
      <w:r w:rsidRPr="006D221B">
        <w:rPr>
          <w:rFonts w:ascii="Aptos" w:hAnsi="Aptos"/>
        </w:rPr>
        <w:t>4.</w:t>
      </w:r>
      <w:r w:rsidRPr="006D221B">
        <w:rPr>
          <w:rFonts w:ascii="Aptos" w:hAnsi="Aptos"/>
        </w:rPr>
        <w:tab/>
        <w:t xml:space="preserve">Pi-Sunyer X, Astrup A, Fujioka K, et al. A Randomized, Controlled Trial of 3.0 mg of Liraglutide in Weight Management. </w:t>
      </w:r>
      <w:r w:rsidRPr="006D221B">
        <w:rPr>
          <w:rFonts w:ascii="Aptos" w:hAnsi="Aptos"/>
          <w:i/>
          <w:iCs/>
        </w:rPr>
        <w:t>N Engl J Med</w:t>
      </w:r>
      <w:r w:rsidRPr="006D221B">
        <w:rPr>
          <w:rFonts w:ascii="Aptos" w:hAnsi="Aptos"/>
        </w:rPr>
        <w:t>. 2015;373(1):11-22. doi:10.1056/NEJMoa1411892</w:t>
      </w:r>
    </w:p>
    <w:p w14:paraId="716B1F07" w14:textId="77777777" w:rsidR="00411D40" w:rsidRPr="006D221B" w:rsidRDefault="00411D40" w:rsidP="00411D40">
      <w:pPr>
        <w:pStyle w:val="Bibliography"/>
        <w:rPr>
          <w:rFonts w:ascii="Aptos" w:hAnsi="Aptos"/>
        </w:rPr>
      </w:pPr>
      <w:r w:rsidRPr="006D221B">
        <w:rPr>
          <w:rFonts w:ascii="Aptos" w:hAnsi="Aptos"/>
        </w:rPr>
        <w:t>5.</w:t>
      </w:r>
      <w:r w:rsidRPr="006D221B">
        <w:rPr>
          <w:rFonts w:ascii="Aptos" w:hAnsi="Aptos"/>
        </w:rPr>
        <w:tab/>
        <w:t xml:space="preserve">Wilding JPH, Batterham RL, Calanna S, et al. Once-Weekly Semaglutide in Adults with Overweight or Obesity. </w:t>
      </w:r>
      <w:r w:rsidRPr="006D221B">
        <w:rPr>
          <w:rFonts w:ascii="Aptos" w:hAnsi="Aptos"/>
          <w:i/>
          <w:iCs/>
        </w:rPr>
        <w:t>N Engl J Med</w:t>
      </w:r>
      <w:r w:rsidRPr="006D221B">
        <w:rPr>
          <w:rFonts w:ascii="Aptos" w:hAnsi="Aptos"/>
        </w:rPr>
        <w:t>. 2021;384(11):989-1002. doi:10.1056/NEJMoa2032183</w:t>
      </w:r>
    </w:p>
    <w:p w14:paraId="35923A64" w14:textId="77777777" w:rsidR="00411D40" w:rsidRPr="006D221B" w:rsidRDefault="00411D40" w:rsidP="00411D40">
      <w:pPr>
        <w:pStyle w:val="Bibliography"/>
        <w:rPr>
          <w:rFonts w:ascii="Aptos" w:hAnsi="Aptos"/>
        </w:rPr>
      </w:pPr>
      <w:r w:rsidRPr="006D221B">
        <w:rPr>
          <w:rFonts w:ascii="Aptos" w:hAnsi="Aptos"/>
        </w:rPr>
        <w:t>6.</w:t>
      </w:r>
      <w:r w:rsidRPr="006D221B">
        <w:rPr>
          <w:rFonts w:ascii="Aptos" w:hAnsi="Aptos"/>
        </w:rPr>
        <w:tab/>
        <w:t xml:space="preserve">Rubino DM, Greenway FL, Khalid U, et al. Effect of Weekly Subcutaneous Semaglutide vs Daily Liraglutide on Body Weight in Adults With Overweight or Obesity Without Diabetes: The STEP 8 Randomized Clinical Trial. </w:t>
      </w:r>
      <w:r w:rsidRPr="006D221B">
        <w:rPr>
          <w:rFonts w:ascii="Aptos" w:hAnsi="Aptos"/>
          <w:i/>
          <w:iCs/>
        </w:rPr>
        <w:t>JAMA</w:t>
      </w:r>
      <w:r w:rsidRPr="006D221B">
        <w:rPr>
          <w:rFonts w:ascii="Aptos" w:hAnsi="Aptos"/>
        </w:rPr>
        <w:t>. 2022;327(2):138-150. doi:10.1001/jama.2021.23619</w:t>
      </w:r>
    </w:p>
    <w:p w14:paraId="45D6E8EB" w14:textId="77777777" w:rsidR="00411D40" w:rsidRPr="006D221B" w:rsidRDefault="00411D40" w:rsidP="00411D40">
      <w:pPr>
        <w:pStyle w:val="Bibliography"/>
        <w:rPr>
          <w:rFonts w:ascii="Aptos" w:hAnsi="Aptos"/>
        </w:rPr>
      </w:pPr>
      <w:r w:rsidRPr="006D221B">
        <w:rPr>
          <w:rFonts w:ascii="Aptos" w:hAnsi="Aptos"/>
        </w:rPr>
        <w:t>7.</w:t>
      </w:r>
      <w:r w:rsidRPr="006D221B">
        <w:rPr>
          <w:rFonts w:ascii="Aptos" w:hAnsi="Aptos"/>
        </w:rPr>
        <w:tab/>
        <w:t xml:space="preserve">Allen H, Daw J. Perinatal Smoking Patterns From Preconception to 1-Year Post Partum. </w:t>
      </w:r>
      <w:r w:rsidRPr="006D221B">
        <w:rPr>
          <w:rFonts w:ascii="Aptos" w:hAnsi="Aptos"/>
          <w:i/>
          <w:iCs/>
        </w:rPr>
        <w:t>JAMA Netw Open</w:t>
      </w:r>
      <w:r w:rsidRPr="006D221B">
        <w:rPr>
          <w:rFonts w:ascii="Aptos" w:hAnsi="Aptos"/>
        </w:rPr>
        <w:t>. 2025;8(1):e2454974. doi:10.1001/jamanetworkopen.2024.54974</w:t>
      </w:r>
    </w:p>
    <w:p w14:paraId="60B249FF" w14:textId="77777777" w:rsidR="00411D40" w:rsidRPr="006D221B" w:rsidRDefault="00411D40" w:rsidP="00411D40">
      <w:pPr>
        <w:pStyle w:val="Bibliography"/>
        <w:rPr>
          <w:rFonts w:ascii="Aptos" w:hAnsi="Aptos"/>
        </w:rPr>
      </w:pPr>
      <w:r w:rsidRPr="006D221B">
        <w:rPr>
          <w:rFonts w:ascii="Aptos" w:hAnsi="Aptos"/>
        </w:rPr>
        <w:t>8.</w:t>
      </w:r>
      <w:r w:rsidRPr="006D221B">
        <w:rPr>
          <w:rFonts w:ascii="Aptos" w:hAnsi="Aptos"/>
        </w:rPr>
        <w:tab/>
        <w:t xml:space="preserve">Martin SS, Aday AW, Allen NB, et al. 2025 Heart Disease and Stroke Statistics: A Report of US and Global Data From the American Heart Association. </w:t>
      </w:r>
      <w:r w:rsidRPr="006D221B">
        <w:rPr>
          <w:rFonts w:ascii="Aptos" w:hAnsi="Aptos"/>
          <w:i/>
          <w:iCs/>
        </w:rPr>
        <w:t>Circulation</w:t>
      </w:r>
      <w:r w:rsidRPr="006D221B">
        <w:rPr>
          <w:rFonts w:ascii="Aptos" w:hAnsi="Aptos"/>
        </w:rPr>
        <w:t>. 2025;151(8):e41-e660. doi:10.1161/CIR.0000000000001303</w:t>
      </w:r>
    </w:p>
    <w:p w14:paraId="32CDB88B" w14:textId="77777777" w:rsidR="00411D40" w:rsidRPr="006D221B" w:rsidRDefault="00411D40" w:rsidP="00411D40">
      <w:pPr>
        <w:pStyle w:val="Bibliography"/>
        <w:rPr>
          <w:rFonts w:ascii="Aptos" w:hAnsi="Aptos"/>
        </w:rPr>
      </w:pPr>
      <w:r w:rsidRPr="006D221B">
        <w:rPr>
          <w:rFonts w:ascii="Aptos" w:hAnsi="Aptos"/>
        </w:rPr>
        <w:t>9.</w:t>
      </w:r>
      <w:r w:rsidRPr="006D221B">
        <w:rPr>
          <w:rFonts w:ascii="Aptos" w:hAnsi="Aptos"/>
        </w:rPr>
        <w:tab/>
        <w:t xml:space="preserve">Atlas SJ, Kim K, Nhan E, et al. Medications for obesity management: Effectiveness and value: A summary from the Institute for Clinical and Economic Review’s New England Comparative Effectiveness Public Advisory Council. </w:t>
      </w:r>
      <w:r w:rsidRPr="006D221B">
        <w:rPr>
          <w:rFonts w:ascii="Aptos" w:hAnsi="Aptos"/>
          <w:i/>
          <w:iCs/>
        </w:rPr>
        <w:t>J Manag Care Spec Pharm</w:t>
      </w:r>
      <w:r w:rsidRPr="006D221B">
        <w:rPr>
          <w:rFonts w:ascii="Aptos" w:hAnsi="Aptos"/>
        </w:rPr>
        <w:t>. 2023;29(5):569-575. doi:10.18553/jmcp.2023.29.5.569</w:t>
      </w:r>
    </w:p>
    <w:p w14:paraId="192D7E78" w14:textId="77777777" w:rsidR="00411D40" w:rsidRPr="006D221B" w:rsidRDefault="00411D40" w:rsidP="00411D40">
      <w:pPr>
        <w:pStyle w:val="Bibliography"/>
        <w:rPr>
          <w:rFonts w:ascii="Aptos" w:hAnsi="Aptos"/>
        </w:rPr>
      </w:pPr>
      <w:r w:rsidRPr="006D221B">
        <w:rPr>
          <w:rFonts w:ascii="Aptos" w:hAnsi="Aptos"/>
        </w:rPr>
        <w:lastRenderedPageBreak/>
        <w:t>10.</w:t>
      </w:r>
      <w:r w:rsidRPr="006D221B">
        <w:rPr>
          <w:rFonts w:ascii="Aptos" w:hAnsi="Aptos"/>
        </w:rPr>
        <w:tab/>
        <w:t xml:space="preserve">Parikh NI, Pencina MJ, Wang TJ, et al. A risk score for predicting near-term incidence of hypertension: the Framingham Heart Study. </w:t>
      </w:r>
      <w:r w:rsidRPr="006D221B">
        <w:rPr>
          <w:rFonts w:ascii="Aptos" w:hAnsi="Aptos"/>
          <w:i/>
          <w:iCs/>
        </w:rPr>
        <w:t>Ann Intern Med</w:t>
      </w:r>
      <w:r w:rsidRPr="006D221B">
        <w:rPr>
          <w:rFonts w:ascii="Aptos" w:hAnsi="Aptos"/>
        </w:rPr>
        <w:t>. 2008;148(2):102-110. doi:10.7326/0003-4819-148-2-200801150-00005</w:t>
      </w:r>
    </w:p>
    <w:p w14:paraId="0159907F" w14:textId="77777777" w:rsidR="00411D40" w:rsidRPr="006D221B" w:rsidRDefault="00411D40" w:rsidP="00411D40">
      <w:pPr>
        <w:pStyle w:val="Bibliography"/>
        <w:rPr>
          <w:rFonts w:ascii="Aptos" w:hAnsi="Aptos"/>
        </w:rPr>
      </w:pPr>
      <w:r w:rsidRPr="006D221B">
        <w:rPr>
          <w:rFonts w:ascii="Aptos" w:hAnsi="Aptos"/>
        </w:rPr>
        <w:t>11.</w:t>
      </w:r>
      <w:r w:rsidRPr="006D221B">
        <w:rPr>
          <w:rFonts w:ascii="Aptos" w:hAnsi="Aptos"/>
        </w:rPr>
        <w:tab/>
        <w:t xml:space="preserve">D’Agostino RB, Vasan RS, Pencina MJ, et al. General Cardiovascular Risk Profile for Use in Primary Care: The Framingham Heart Study. </w:t>
      </w:r>
      <w:r w:rsidRPr="006D221B">
        <w:rPr>
          <w:rFonts w:ascii="Aptos" w:hAnsi="Aptos"/>
          <w:i/>
          <w:iCs/>
        </w:rPr>
        <w:t>Circulation</w:t>
      </w:r>
      <w:r w:rsidRPr="006D221B">
        <w:rPr>
          <w:rFonts w:ascii="Aptos" w:hAnsi="Aptos"/>
        </w:rPr>
        <w:t>. 2008;117(6):743-753. doi:10.1161/CIRCULATIONAHA.107.699579</w:t>
      </w:r>
    </w:p>
    <w:p w14:paraId="640915E0" w14:textId="77777777" w:rsidR="00411D40" w:rsidRPr="006D221B" w:rsidRDefault="00411D40" w:rsidP="00411D40">
      <w:pPr>
        <w:pStyle w:val="Bibliography"/>
        <w:rPr>
          <w:rFonts w:ascii="Aptos" w:hAnsi="Aptos"/>
        </w:rPr>
      </w:pPr>
      <w:r w:rsidRPr="006D221B">
        <w:rPr>
          <w:rFonts w:ascii="Aptos" w:hAnsi="Aptos"/>
        </w:rPr>
        <w:t>12.</w:t>
      </w:r>
      <w:r w:rsidRPr="006D221B">
        <w:rPr>
          <w:rFonts w:ascii="Aptos" w:hAnsi="Aptos"/>
        </w:rPr>
        <w:tab/>
        <w:t xml:space="preserve">Wilson PWF, Meigs JB, Sullivan L, Fox CS, Nathan DM, D’Agostino RB. Prediction of incident diabetes mellitus in middle-aged adults: the Framingham Offspring Study. </w:t>
      </w:r>
      <w:r w:rsidRPr="006D221B">
        <w:rPr>
          <w:rFonts w:ascii="Aptos" w:hAnsi="Aptos"/>
          <w:i/>
          <w:iCs/>
        </w:rPr>
        <w:t>Arch Intern Med</w:t>
      </w:r>
      <w:r w:rsidRPr="006D221B">
        <w:rPr>
          <w:rFonts w:ascii="Aptos" w:hAnsi="Aptos"/>
        </w:rPr>
        <w:t>. 2007;167(10):1068-1074. doi:10.1001/archinte.167.10.1068</w:t>
      </w:r>
    </w:p>
    <w:p w14:paraId="4B9925FD" w14:textId="77777777" w:rsidR="00411D40" w:rsidRPr="006D221B" w:rsidRDefault="00411D40" w:rsidP="00411D40">
      <w:pPr>
        <w:pStyle w:val="Bibliography"/>
        <w:rPr>
          <w:rFonts w:ascii="Aptos" w:hAnsi="Aptos"/>
        </w:rPr>
      </w:pPr>
      <w:r w:rsidRPr="006D221B">
        <w:rPr>
          <w:rFonts w:ascii="Aptos" w:hAnsi="Aptos"/>
        </w:rPr>
        <w:t>13.</w:t>
      </w:r>
      <w:r w:rsidRPr="006D221B">
        <w:rPr>
          <w:rFonts w:ascii="Aptos" w:hAnsi="Aptos"/>
        </w:rPr>
        <w:tab/>
        <w:t xml:space="preserve">Sullivan PW, Lawrence WF, Ghushchyan V. A national catalog of preference-based scores for chronic conditions in the United States. </w:t>
      </w:r>
      <w:r w:rsidRPr="006D221B">
        <w:rPr>
          <w:rFonts w:ascii="Aptos" w:hAnsi="Aptos"/>
          <w:i/>
          <w:iCs/>
        </w:rPr>
        <w:t>Med Care</w:t>
      </w:r>
      <w:r w:rsidRPr="006D221B">
        <w:rPr>
          <w:rFonts w:ascii="Aptos" w:hAnsi="Aptos"/>
        </w:rPr>
        <w:t>. 2005;43(7):736-749. doi:10.1097/01.mlr.0000172050.67085.4f</w:t>
      </w:r>
    </w:p>
    <w:p w14:paraId="4D534AA1" w14:textId="77777777" w:rsidR="00411D40" w:rsidRPr="006D221B" w:rsidRDefault="00411D40" w:rsidP="00411D40">
      <w:pPr>
        <w:pStyle w:val="Bibliography"/>
        <w:rPr>
          <w:rFonts w:ascii="Aptos" w:hAnsi="Aptos"/>
        </w:rPr>
      </w:pPr>
      <w:r w:rsidRPr="006D221B">
        <w:rPr>
          <w:rFonts w:ascii="Aptos" w:hAnsi="Aptos"/>
        </w:rPr>
        <w:t>14.</w:t>
      </w:r>
      <w:r w:rsidRPr="006D221B">
        <w:rPr>
          <w:rFonts w:ascii="Aptos" w:hAnsi="Aptos"/>
        </w:rPr>
        <w:tab/>
        <w:t xml:space="preserve">Kazi DS, Elkind MSV, Deutsch A, et al. Forecasting the Economic Burden of Cardiovascular Disease and Stroke in the United States Through 2050: A Presidential Advisory From the American Heart Association. </w:t>
      </w:r>
      <w:r w:rsidRPr="006D221B">
        <w:rPr>
          <w:rFonts w:ascii="Aptos" w:hAnsi="Aptos"/>
          <w:i/>
          <w:iCs/>
        </w:rPr>
        <w:t>Circulation</w:t>
      </w:r>
      <w:r w:rsidRPr="006D221B">
        <w:rPr>
          <w:rFonts w:ascii="Aptos" w:hAnsi="Aptos"/>
        </w:rPr>
        <w:t>. 2024;150(4):e89-e101. doi:10.1161/CIR.0000000000001258</w:t>
      </w:r>
    </w:p>
    <w:p w14:paraId="0F62D5A9" w14:textId="77777777" w:rsidR="00411D40" w:rsidRPr="006D221B" w:rsidRDefault="00411D40" w:rsidP="00411D40">
      <w:pPr>
        <w:pStyle w:val="Bibliography"/>
        <w:rPr>
          <w:rFonts w:ascii="Aptos" w:hAnsi="Aptos"/>
        </w:rPr>
      </w:pPr>
      <w:r w:rsidRPr="006D221B">
        <w:rPr>
          <w:rFonts w:ascii="Aptos" w:hAnsi="Aptos"/>
        </w:rPr>
        <w:t>15.</w:t>
      </w:r>
      <w:r w:rsidRPr="006D221B">
        <w:rPr>
          <w:rFonts w:ascii="Aptos" w:hAnsi="Aptos"/>
        </w:rPr>
        <w:tab/>
        <w:t xml:space="preserve">Parker ED, Lin J, Mahoney T, et al. Economic Costs of Diabetes in the U.S. in 2022. </w:t>
      </w:r>
      <w:r w:rsidRPr="006D221B">
        <w:rPr>
          <w:rFonts w:ascii="Aptos" w:hAnsi="Aptos"/>
          <w:i/>
          <w:iCs/>
        </w:rPr>
        <w:t>Diabetes Care</w:t>
      </w:r>
      <w:r w:rsidRPr="006D221B">
        <w:rPr>
          <w:rFonts w:ascii="Aptos" w:hAnsi="Aptos"/>
        </w:rPr>
        <w:t>. 2023;47(1):26-43. doi:10.2337/dci23-0085</w:t>
      </w:r>
    </w:p>
    <w:p w14:paraId="5DAB7FB2" w14:textId="77777777" w:rsidR="00411D40" w:rsidRPr="006D221B" w:rsidRDefault="00411D40" w:rsidP="00411D40">
      <w:pPr>
        <w:pStyle w:val="Bibliography"/>
        <w:rPr>
          <w:rFonts w:ascii="Aptos" w:hAnsi="Aptos"/>
        </w:rPr>
      </w:pPr>
      <w:r w:rsidRPr="006D221B">
        <w:rPr>
          <w:rFonts w:ascii="Aptos" w:hAnsi="Aptos"/>
        </w:rPr>
        <w:t>16.</w:t>
      </w:r>
      <w:r w:rsidRPr="006D221B">
        <w:rPr>
          <w:rFonts w:ascii="Aptos" w:hAnsi="Aptos"/>
        </w:rPr>
        <w:tab/>
        <w:t xml:space="preserve">Kirkland EB, Heincelman M, Bishu KG, et al. Trends in Healthcare Expenditures Among US Adults With Hypertension: National Estimates, 2003–2014. </w:t>
      </w:r>
      <w:r w:rsidRPr="006D221B">
        <w:rPr>
          <w:rFonts w:ascii="Aptos" w:hAnsi="Aptos"/>
          <w:i/>
          <w:iCs/>
        </w:rPr>
        <w:t>J Am Heart Assoc</w:t>
      </w:r>
      <w:r w:rsidRPr="006D221B">
        <w:rPr>
          <w:rFonts w:ascii="Aptos" w:hAnsi="Aptos"/>
        </w:rPr>
        <w:t>. 2018;7(11):e008731. doi:10.1161/JAHA.118.008731</w:t>
      </w:r>
    </w:p>
    <w:p w14:paraId="7AF351F0" w14:textId="43D63966" w:rsidR="00D36263" w:rsidRDefault="005C34A6">
      <w:pPr>
        <w:rPr>
          <w:rFonts w:ascii="Aptos" w:hAnsi="Aptos"/>
        </w:rPr>
      </w:pPr>
      <w:r w:rsidRPr="006D221B">
        <w:rPr>
          <w:rFonts w:ascii="Aptos" w:hAnsi="Aptos"/>
        </w:rPr>
        <w:fldChar w:fldCharType="end"/>
      </w:r>
    </w:p>
    <w:p w14:paraId="0C64D9C5" w14:textId="77777777" w:rsidR="00D36263" w:rsidRDefault="00D36263">
      <w:pPr>
        <w:spacing w:after="160" w:line="278" w:lineRule="auto"/>
        <w:rPr>
          <w:rFonts w:ascii="Aptos" w:hAnsi="Aptos"/>
        </w:rPr>
      </w:pPr>
      <w:r>
        <w:rPr>
          <w:rFonts w:ascii="Aptos" w:hAnsi="Aptos"/>
        </w:rPr>
        <w:br w:type="page"/>
      </w:r>
    </w:p>
    <w:p w14:paraId="14031AA2" w14:textId="77777777" w:rsidR="00D36263" w:rsidRDefault="00D36263" w:rsidP="00D36263">
      <w:pPr>
        <w:pStyle w:val="Heading1"/>
      </w:pPr>
      <w:bookmarkStart w:id="1" w:name="cheers-2022-checklist"/>
      <w:r>
        <w:lastRenderedPageBreak/>
        <w:t>CHEERS 2022 Checklist</w:t>
      </w:r>
    </w:p>
    <w:tbl>
      <w:tblPr>
        <w:tblW w:w="0" w:type="auto"/>
        <w:jc w:val="center"/>
        <w:tblLook w:val="0420" w:firstRow="1" w:lastRow="0" w:firstColumn="0" w:lastColumn="0" w:noHBand="0" w:noVBand="1"/>
      </w:tblPr>
      <w:tblGrid>
        <w:gridCol w:w="3796"/>
        <w:gridCol w:w="542"/>
        <w:gridCol w:w="6547"/>
        <w:gridCol w:w="2055"/>
      </w:tblGrid>
      <w:tr w:rsidR="00D36263" w14:paraId="7C15F178" w14:textId="77777777" w:rsidTr="00C5380D">
        <w:trPr>
          <w:cantSplit/>
          <w:tblHeader/>
          <w:jc w:val="center"/>
        </w:trPr>
        <w:tc>
          <w:tcPr>
            <w:tcW w:w="0" w:type="auto"/>
            <w:tcBorders>
              <w:top w:val="single" w:sz="8" w:space="0" w:color="000000"/>
              <w:left w:val="single" w:sz="8" w:space="0" w:color="000000"/>
              <w:bottom w:val="single" w:sz="8" w:space="0" w:color="000000"/>
            </w:tcBorders>
            <w:shd w:val="clear" w:color="auto" w:fill="63639A"/>
            <w:tcMar>
              <w:top w:w="0" w:type="dxa"/>
              <w:left w:w="0" w:type="dxa"/>
              <w:bottom w:w="0" w:type="dxa"/>
              <w:right w:w="0" w:type="dxa"/>
            </w:tcMar>
            <w:vAlign w:val="center"/>
          </w:tcPr>
          <w:p w14:paraId="562177F1" w14:textId="77777777" w:rsidR="00D36263" w:rsidRDefault="00D36263" w:rsidP="00C5380D">
            <w:pPr>
              <w:spacing w:before="100" w:after="100"/>
              <w:ind w:left="100" w:right="100"/>
            </w:pPr>
            <w:r>
              <w:rPr>
                <w:rFonts w:ascii="DejaVu Sans" w:eastAsia="DejaVu Sans" w:hAnsi="DejaVu Sans" w:cs="DejaVu Sans"/>
                <w:b/>
                <w:color w:val="FFFFFF"/>
                <w:sz w:val="18"/>
                <w:szCs w:val="18"/>
              </w:rPr>
              <w:t>Topic</w:t>
            </w:r>
          </w:p>
        </w:tc>
        <w:tc>
          <w:tcPr>
            <w:tcW w:w="0" w:type="auto"/>
            <w:tcBorders>
              <w:top w:val="single" w:sz="8" w:space="0" w:color="000000"/>
              <w:bottom w:val="single" w:sz="8" w:space="0" w:color="000000"/>
            </w:tcBorders>
            <w:shd w:val="clear" w:color="auto" w:fill="63639A"/>
            <w:tcMar>
              <w:top w:w="0" w:type="dxa"/>
              <w:left w:w="0" w:type="dxa"/>
              <w:bottom w:w="0" w:type="dxa"/>
              <w:right w:w="0" w:type="dxa"/>
            </w:tcMar>
            <w:vAlign w:val="center"/>
          </w:tcPr>
          <w:p w14:paraId="5D033024" w14:textId="77777777" w:rsidR="00D36263" w:rsidRDefault="00D36263" w:rsidP="00C5380D">
            <w:pPr>
              <w:spacing w:before="100" w:after="100"/>
              <w:ind w:left="100" w:right="100"/>
              <w:jc w:val="center"/>
            </w:pPr>
            <w:r>
              <w:rPr>
                <w:rFonts w:ascii="DejaVu Sans" w:eastAsia="DejaVu Sans" w:hAnsi="DejaVu Sans" w:cs="DejaVu Sans"/>
                <w:b/>
                <w:color w:val="FFFFFF"/>
                <w:sz w:val="18"/>
                <w:szCs w:val="18"/>
              </w:rPr>
              <w:t>No.</w:t>
            </w:r>
          </w:p>
        </w:tc>
        <w:tc>
          <w:tcPr>
            <w:tcW w:w="0" w:type="auto"/>
            <w:tcBorders>
              <w:top w:val="single" w:sz="8" w:space="0" w:color="000000"/>
              <w:bottom w:val="single" w:sz="8" w:space="0" w:color="000000"/>
            </w:tcBorders>
            <w:shd w:val="clear" w:color="auto" w:fill="63639A"/>
            <w:tcMar>
              <w:top w:w="0" w:type="dxa"/>
              <w:left w:w="0" w:type="dxa"/>
              <w:bottom w:w="0" w:type="dxa"/>
              <w:right w:w="0" w:type="dxa"/>
            </w:tcMar>
            <w:vAlign w:val="center"/>
          </w:tcPr>
          <w:p w14:paraId="5E5ABBE1" w14:textId="77777777" w:rsidR="00D36263" w:rsidRDefault="00D36263" w:rsidP="00C5380D">
            <w:pPr>
              <w:spacing w:before="100" w:after="100"/>
              <w:ind w:left="100" w:right="100"/>
            </w:pPr>
            <w:r>
              <w:rPr>
                <w:rFonts w:ascii="DejaVu Sans" w:eastAsia="DejaVu Sans" w:hAnsi="DejaVu Sans" w:cs="DejaVu Sans"/>
                <w:b/>
                <w:color w:val="FFFFFF"/>
                <w:sz w:val="18"/>
                <w:szCs w:val="18"/>
              </w:rPr>
              <w:t>Item</w:t>
            </w:r>
          </w:p>
        </w:tc>
        <w:tc>
          <w:tcPr>
            <w:tcW w:w="0" w:type="auto"/>
            <w:tcBorders>
              <w:top w:val="single" w:sz="8" w:space="0" w:color="000000"/>
              <w:bottom w:val="single" w:sz="8" w:space="0" w:color="000000"/>
              <w:right w:val="single" w:sz="8" w:space="0" w:color="000000"/>
            </w:tcBorders>
            <w:shd w:val="clear" w:color="auto" w:fill="63639A"/>
            <w:tcMar>
              <w:top w:w="0" w:type="dxa"/>
              <w:left w:w="0" w:type="dxa"/>
              <w:bottom w:w="0" w:type="dxa"/>
              <w:right w:w="0" w:type="dxa"/>
            </w:tcMar>
            <w:vAlign w:val="center"/>
          </w:tcPr>
          <w:p w14:paraId="59E688AB" w14:textId="77777777" w:rsidR="00D36263" w:rsidRDefault="00D36263" w:rsidP="00C5380D">
            <w:pPr>
              <w:spacing w:before="100" w:after="100"/>
              <w:ind w:left="100" w:right="100"/>
              <w:jc w:val="center"/>
            </w:pPr>
            <w:r>
              <w:rPr>
                <w:rFonts w:ascii="DejaVu Sans" w:eastAsia="DejaVu Sans" w:hAnsi="DejaVu Sans" w:cs="DejaVu Sans"/>
                <w:b/>
                <w:color w:val="FFFFFF"/>
                <w:sz w:val="18"/>
                <w:szCs w:val="18"/>
              </w:rPr>
              <w:t>Location where item is reported</w:t>
            </w:r>
          </w:p>
        </w:tc>
      </w:tr>
      <w:tr w:rsidR="00D36263" w14:paraId="57088158" w14:textId="77777777" w:rsidTr="00C5380D">
        <w:trPr>
          <w:cantSplit/>
          <w:jc w:val="center"/>
        </w:trPr>
        <w:tc>
          <w:tcPr>
            <w:tcW w:w="0" w:type="auto"/>
            <w:vMerge w:val="restart"/>
            <w:tcBorders>
              <w:left w:val="single" w:sz="8" w:space="0" w:color="000000"/>
            </w:tcBorders>
            <w:shd w:val="clear" w:color="auto" w:fill="FFFFCC"/>
            <w:tcMar>
              <w:top w:w="0" w:type="dxa"/>
              <w:left w:w="0" w:type="dxa"/>
              <w:bottom w:w="0" w:type="dxa"/>
              <w:right w:w="0" w:type="dxa"/>
            </w:tcMar>
          </w:tcPr>
          <w:p w14:paraId="70DD7144" w14:textId="77777777" w:rsidR="00D36263" w:rsidRDefault="00D36263" w:rsidP="00C5380D">
            <w:pPr>
              <w:spacing w:before="100" w:after="100"/>
              <w:ind w:left="100" w:right="100"/>
            </w:pPr>
            <w:r>
              <w:rPr>
                <w:rFonts w:ascii="DejaVu Sans" w:eastAsia="DejaVu Sans" w:hAnsi="DejaVu Sans" w:cs="DejaVu Sans"/>
                <w:b/>
                <w:color w:val="000000"/>
                <w:sz w:val="18"/>
                <w:szCs w:val="18"/>
              </w:rPr>
              <w:t>Title</w:t>
            </w:r>
          </w:p>
        </w:tc>
        <w:tc>
          <w:tcPr>
            <w:tcW w:w="0" w:type="auto"/>
            <w:shd w:val="clear" w:color="auto" w:fill="FFFFCC"/>
            <w:tcMar>
              <w:top w:w="0" w:type="dxa"/>
              <w:left w:w="0" w:type="dxa"/>
              <w:bottom w:w="0" w:type="dxa"/>
              <w:right w:w="0" w:type="dxa"/>
            </w:tcMar>
          </w:tcPr>
          <w:p w14:paraId="7A4F3476" w14:textId="77777777" w:rsidR="00D36263" w:rsidRDefault="00D36263" w:rsidP="00C5380D">
            <w:pPr>
              <w:spacing w:before="100" w:after="100"/>
              <w:ind w:left="100" w:right="100"/>
              <w:jc w:val="center"/>
            </w:pPr>
          </w:p>
        </w:tc>
        <w:tc>
          <w:tcPr>
            <w:tcW w:w="0" w:type="auto"/>
            <w:shd w:val="clear" w:color="auto" w:fill="FFFFCC"/>
            <w:tcMar>
              <w:top w:w="0" w:type="dxa"/>
              <w:left w:w="0" w:type="dxa"/>
              <w:bottom w:w="0" w:type="dxa"/>
              <w:right w:w="0" w:type="dxa"/>
            </w:tcMar>
          </w:tcPr>
          <w:p w14:paraId="4B9C8F53" w14:textId="77777777" w:rsidR="00D36263" w:rsidRDefault="00D36263" w:rsidP="00C5380D">
            <w:pPr>
              <w:spacing w:before="100" w:after="100"/>
              <w:ind w:left="100" w:right="100"/>
            </w:pPr>
          </w:p>
        </w:tc>
        <w:tc>
          <w:tcPr>
            <w:tcW w:w="0" w:type="auto"/>
            <w:tcBorders>
              <w:right w:val="single" w:sz="8" w:space="0" w:color="000000"/>
            </w:tcBorders>
            <w:shd w:val="clear" w:color="auto" w:fill="FFFFCC"/>
            <w:tcMar>
              <w:top w:w="0" w:type="dxa"/>
              <w:left w:w="0" w:type="dxa"/>
              <w:bottom w:w="0" w:type="dxa"/>
              <w:right w:w="0" w:type="dxa"/>
            </w:tcMar>
          </w:tcPr>
          <w:p w14:paraId="503331C0" w14:textId="77777777" w:rsidR="00D36263" w:rsidRDefault="00D36263" w:rsidP="00C5380D">
            <w:pPr>
              <w:spacing w:before="100" w:after="100"/>
              <w:ind w:left="100" w:right="100"/>
              <w:jc w:val="center"/>
            </w:pPr>
          </w:p>
        </w:tc>
      </w:tr>
      <w:tr w:rsidR="00D36263" w14:paraId="1C2FC5E2" w14:textId="77777777" w:rsidTr="00C5380D">
        <w:trPr>
          <w:cantSplit/>
          <w:jc w:val="center"/>
        </w:trPr>
        <w:tc>
          <w:tcPr>
            <w:tcW w:w="0" w:type="auto"/>
            <w:vMerge/>
            <w:tcBorders>
              <w:left w:val="single" w:sz="8" w:space="0" w:color="000000"/>
            </w:tcBorders>
            <w:shd w:val="clear" w:color="auto" w:fill="FFFFFF"/>
            <w:tcMar>
              <w:top w:w="0" w:type="dxa"/>
              <w:left w:w="0" w:type="dxa"/>
              <w:bottom w:w="0" w:type="dxa"/>
              <w:right w:w="0" w:type="dxa"/>
            </w:tcMar>
          </w:tcPr>
          <w:p w14:paraId="7C56EAB3" w14:textId="77777777" w:rsidR="00D36263" w:rsidRDefault="00D36263" w:rsidP="00C5380D">
            <w:pPr>
              <w:spacing w:before="100" w:after="100"/>
              <w:ind w:left="100" w:right="100"/>
            </w:pPr>
          </w:p>
        </w:tc>
        <w:tc>
          <w:tcPr>
            <w:tcW w:w="0" w:type="auto"/>
            <w:shd w:val="clear" w:color="auto" w:fill="FFFFFF"/>
            <w:tcMar>
              <w:top w:w="0" w:type="dxa"/>
              <w:left w:w="0" w:type="dxa"/>
              <w:bottom w:w="0" w:type="dxa"/>
              <w:right w:w="0" w:type="dxa"/>
            </w:tcMar>
          </w:tcPr>
          <w:p w14:paraId="2D76DE26"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w:t>
            </w:r>
          </w:p>
        </w:tc>
        <w:tc>
          <w:tcPr>
            <w:tcW w:w="0" w:type="auto"/>
            <w:shd w:val="clear" w:color="auto" w:fill="FFFFFF"/>
            <w:tcMar>
              <w:top w:w="0" w:type="dxa"/>
              <w:left w:w="0" w:type="dxa"/>
              <w:bottom w:w="0" w:type="dxa"/>
              <w:right w:w="0" w:type="dxa"/>
            </w:tcMar>
          </w:tcPr>
          <w:p w14:paraId="44351AB7" w14:textId="77777777" w:rsidR="00D36263" w:rsidRDefault="00D36263" w:rsidP="00C5380D">
            <w:pPr>
              <w:spacing w:before="100" w:after="100"/>
              <w:ind w:left="100" w:right="100"/>
            </w:pPr>
            <w:r>
              <w:rPr>
                <w:rFonts w:ascii="DejaVu Sans" w:eastAsia="DejaVu Sans" w:hAnsi="DejaVu Sans" w:cs="DejaVu Sans"/>
                <w:color w:val="000000"/>
                <w:sz w:val="18"/>
                <w:szCs w:val="18"/>
              </w:rPr>
              <w:t>Identify the study as an economic evaluation and specify the interventions being compared.</w:t>
            </w:r>
          </w:p>
        </w:tc>
        <w:tc>
          <w:tcPr>
            <w:tcW w:w="0" w:type="auto"/>
            <w:tcBorders>
              <w:right w:val="single" w:sz="8" w:space="0" w:color="000000"/>
            </w:tcBorders>
            <w:shd w:val="clear" w:color="auto" w:fill="FFFFFF"/>
            <w:tcMar>
              <w:top w:w="0" w:type="dxa"/>
              <w:left w:w="0" w:type="dxa"/>
              <w:bottom w:w="0" w:type="dxa"/>
              <w:right w:w="0" w:type="dxa"/>
            </w:tcMar>
          </w:tcPr>
          <w:p w14:paraId="444EC030"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Page 1, before abstract</w:t>
            </w:r>
          </w:p>
        </w:tc>
      </w:tr>
      <w:tr w:rsidR="00D36263" w14:paraId="51A8E25C" w14:textId="77777777" w:rsidTr="00C5380D">
        <w:trPr>
          <w:cantSplit/>
          <w:jc w:val="center"/>
        </w:trPr>
        <w:tc>
          <w:tcPr>
            <w:tcW w:w="0" w:type="auto"/>
            <w:vMerge w:val="restart"/>
            <w:tcBorders>
              <w:left w:val="single" w:sz="8" w:space="0" w:color="000000"/>
            </w:tcBorders>
            <w:shd w:val="clear" w:color="auto" w:fill="FFFFCC"/>
            <w:tcMar>
              <w:top w:w="0" w:type="dxa"/>
              <w:left w:w="0" w:type="dxa"/>
              <w:bottom w:w="0" w:type="dxa"/>
              <w:right w:w="0" w:type="dxa"/>
            </w:tcMar>
          </w:tcPr>
          <w:p w14:paraId="6FC73DC6" w14:textId="77777777" w:rsidR="00D36263" w:rsidRDefault="00D36263" w:rsidP="00C5380D">
            <w:pPr>
              <w:spacing w:before="100" w:after="100"/>
              <w:ind w:left="100" w:right="100"/>
            </w:pPr>
            <w:r>
              <w:rPr>
                <w:rFonts w:ascii="DejaVu Sans" w:eastAsia="DejaVu Sans" w:hAnsi="DejaVu Sans" w:cs="DejaVu Sans"/>
                <w:b/>
                <w:color w:val="000000"/>
                <w:sz w:val="18"/>
                <w:szCs w:val="18"/>
              </w:rPr>
              <w:t>Abstract</w:t>
            </w:r>
          </w:p>
        </w:tc>
        <w:tc>
          <w:tcPr>
            <w:tcW w:w="0" w:type="auto"/>
            <w:shd w:val="clear" w:color="auto" w:fill="FFFFCC"/>
            <w:tcMar>
              <w:top w:w="0" w:type="dxa"/>
              <w:left w:w="0" w:type="dxa"/>
              <w:bottom w:w="0" w:type="dxa"/>
              <w:right w:w="0" w:type="dxa"/>
            </w:tcMar>
          </w:tcPr>
          <w:p w14:paraId="4999CA7E" w14:textId="77777777" w:rsidR="00D36263" w:rsidRDefault="00D36263" w:rsidP="00C5380D">
            <w:pPr>
              <w:spacing w:before="100" w:after="100"/>
              <w:ind w:left="100" w:right="100"/>
              <w:jc w:val="center"/>
            </w:pPr>
          </w:p>
        </w:tc>
        <w:tc>
          <w:tcPr>
            <w:tcW w:w="0" w:type="auto"/>
            <w:shd w:val="clear" w:color="auto" w:fill="FFFFCC"/>
            <w:tcMar>
              <w:top w:w="0" w:type="dxa"/>
              <w:left w:w="0" w:type="dxa"/>
              <w:bottom w:w="0" w:type="dxa"/>
              <w:right w:w="0" w:type="dxa"/>
            </w:tcMar>
          </w:tcPr>
          <w:p w14:paraId="2BFA1D77" w14:textId="77777777" w:rsidR="00D36263" w:rsidRDefault="00D36263" w:rsidP="00C5380D">
            <w:pPr>
              <w:spacing w:before="100" w:after="100"/>
              <w:ind w:left="100" w:right="100"/>
            </w:pPr>
          </w:p>
        </w:tc>
        <w:tc>
          <w:tcPr>
            <w:tcW w:w="0" w:type="auto"/>
            <w:tcBorders>
              <w:right w:val="single" w:sz="8" w:space="0" w:color="000000"/>
            </w:tcBorders>
            <w:shd w:val="clear" w:color="auto" w:fill="FFFFCC"/>
            <w:tcMar>
              <w:top w:w="0" w:type="dxa"/>
              <w:left w:w="0" w:type="dxa"/>
              <w:bottom w:w="0" w:type="dxa"/>
              <w:right w:w="0" w:type="dxa"/>
            </w:tcMar>
          </w:tcPr>
          <w:p w14:paraId="354921F7" w14:textId="77777777" w:rsidR="00D36263" w:rsidRDefault="00D36263" w:rsidP="00C5380D">
            <w:pPr>
              <w:spacing w:before="100" w:after="100"/>
              <w:ind w:left="100" w:right="100"/>
              <w:jc w:val="center"/>
            </w:pPr>
          </w:p>
        </w:tc>
      </w:tr>
      <w:tr w:rsidR="00D36263" w14:paraId="01F8B471" w14:textId="77777777" w:rsidTr="00C5380D">
        <w:trPr>
          <w:cantSplit/>
          <w:jc w:val="center"/>
        </w:trPr>
        <w:tc>
          <w:tcPr>
            <w:tcW w:w="0" w:type="auto"/>
            <w:vMerge/>
            <w:tcBorders>
              <w:left w:val="single" w:sz="8" w:space="0" w:color="000000"/>
            </w:tcBorders>
            <w:shd w:val="clear" w:color="auto" w:fill="FFFFFF"/>
            <w:tcMar>
              <w:top w:w="0" w:type="dxa"/>
              <w:left w:w="0" w:type="dxa"/>
              <w:bottom w:w="0" w:type="dxa"/>
              <w:right w:w="0" w:type="dxa"/>
            </w:tcMar>
          </w:tcPr>
          <w:p w14:paraId="5700D743" w14:textId="77777777" w:rsidR="00D36263" w:rsidRDefault="00D36263" w:rsidP="00C5380D">
            <w:pPr>
              <w:spacing w:before="100" w:after="100"/>
              <w:ind w:left="100" w:right="100"/>
            </w:pPr>
          </w:p>
        </w:tc>
        <w:tc>
          <w:tcPr>
            <w:tcW w:w="0" w:type="auto"/>
            <w:shd w:val="clear" w:color="auto" w:fill="FFFFFF"/>
            <w:tcMar>
              <w:top w:w="0" w:type="dxa"/>
              <w:left w:w="0" w:type="dxa"/>
              <w:bottom w:w="0" w:type="dxa"/>
              <w:right w:w="0" w:type="dxa"/>
            </w:tcMar>
          </w:tcPr>
          <w:p w14:paraId="564EF82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w:t>
            </w:r>
          </w:p>
        </w:tc>
        <w:tc>
          <w:tcPr>
            <w:tcW w:w="0" w:type="auto"/>
            <w:shd w:val="clear" w:color="auto" w:fill="FFFFFF"/>
            <w:tcMar>
              <w:top w:w="0" w:type="dxa"/>
              <w:left w:w="0" w:type="dxa"/>
              <w:bottom w:w="0" w:type="dxa"/>
              <w:right w:w="0" w:type="dxa"/>
            </w:tcMar>
          </w:tcPr>
          <w:p w14:paraId="2E92258A" w14:textId="77777777" w:rsidR="00D36263" w:rsidRDefault="00D36263" w:rsidP="00C5380D">
            <w:pPr>
              <w:spacing w:before="100" w:after="100"/>
              <w:ind w:left="100" w:right="100"/>
            </w:pPr>
            <w:r>
              <w:rPr>
                <w:rFonts w:ascii="DejaVu Sans" w:eastAsia="DejaVu Sans" w:hAnsi="DejaVu Sans" w:cs="DejaVu Sans"/>
                <w:color w:val="000000"/>
                <w:sz w:val="18"/>
                <w:szCs w:val="18"/>
              </w:rPr>
              <w:t>Provide a structured summary that highlights context, key methods, results, and alternative analyses.</w:t>
            </w:r>
          </w:p>
        </w:tc>
        <w:tc>
          <w:tcPr>
            <w:tcW w:w="0" w:type="auto"/>
            <w:tcBorders>
              <w:right w:val="single" w:sz="8" w:space="0" w:color="000000"/>
            </w:tcBorders>
            <w:shd w:val="clear" w:color="auto" w:fill="FFFFFF"/>
            <w:tcMar>
              <w:top w:w="0" w:type="dxa"/>
              <w:left w:w="0" w:type="dxa"/>
              <w:bottom w:w="0" w:type="dxa"/>
              <w:right w:w="0" w:type="dxa"/>
            </w:tcMar>
          </w:tcPr>
          <w:p w14:paraId="37B6FC45"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 xml:space="preserve">Page1 </w:t>
            </w:r>
          </w:p>
        </w:tc>
      </w:tr>
      <w:tr w:rsidR="00D36263" w14:paraId="725AABCA" w14:textId="77777777" w:rsidTr="00C5380D">
        <w:trPr>
          <w:cantSplit/>
          <w:jc w:val="center"/>
        </w:trPr>
        <w:tc>
          <w:tcPr>
            <w:tcW w:w="0" w:type="auto"/>
            <w:tcBorders>
              <w:left w:val="single" w:sz="8" w:space="0" w:color="000000"/>
            </w:tcBorders>
            <w:shd w:val="clear" w:color="auto" w:fill="FFFFCC"/>
            <w:tcMar>
              <w:top w:w="0" w:type="dxa"/>
              <w:left w:w="0" w:type="dxa"/>
              <w:bottom w:w="0" w:type="dxa"/>
              <w:right w:w="0" w:type="dxa"/>
            </w:tcMar>
          </w:tcPr>
          <w:p w14:paraId="3D2F1091" w14:textId="77777777" w:rsidR="00D36263" w:rsidRDefault="00D36263" w:rsidP="00C5380D">
            <w:pPr>
              <w:spacing w:before="100" w:after="100"/>
              <w:ind w:left="100" w:right="100"/>
            </w:pPr>
            <w:r>
              <w:rPr>
                <w:rFonts w:ascii="DejaVu Sans" w:eastAsia="DejaVu Sans" w:hAnsi="DejaVu Sans" w:cs="DejaVu Sans"/>
                <w:b/>
                <w:color w:val="000000"/>
                <w:sz w:val="18"/>
                <w:szCs w:val="18"/>
              </w:rPr>
              <w:t>Introduction</w:t>
            </w:r>
          </w:p>
        </w:tc>
        <w:tc>
          <w:tcPr>
            <w:tcW w:w="0" w:type="auto"/>
            <w:shd w:val="clear" w:color="auto" w:fill="FFFFCC"/>
            <w:tcMar>
              <w:top w:w="0" w:type="dxa"/>
              <w:left w:w="0" w:type="dxa"/>
              <w:bottom w:w="0" w:type="dxa"/>
              <w:right w:w="0" w:type="dxa"/>
            </w:tcMar>
          </w:tcPr>
          <w:p w14:paraId="519B6963" w14:textId="77777777" w:rsidR="00D36263" w:rsidRDefault="00D36263" w:rsidP="00C5380D">
            <w:pPr>
              <w:spacing w:before="100" w:after="100"/>
              <w:ind w:left="100" w:right="100"/>
              <w:jc w:val="center"/>
            </w:pPr>
          </w:p>
        </w:tc>
        <w:tc>
          <w:tcPr>
            <w:tcW w:w="0" w:type="auto"/>
            <w:shd w:val="clear" w:color="auto" w:fill="FFFFCC"/>
            <w:tcMar>
              <w:top w:w="0" w:type="dxa"/>
              <w:left w:w="0" w:type="dxa"/>
              <w:bottom w:w="0" w:type="dxa"/>
              <w:right w:w="0" w:type="dxa"/>
            </w:tcMar>
          </w:tcPr>
          <w:p w14:paraId="5226DC39" w14:textId="77777777" w:rsidR="00D36263" w:rsidRDefault="00D36263" w:rsidP="00C5380D">
            <w:pPr>
              <w:spacing w:before="100" w:after="100"/>
              <w:ind w:left="100" w:right="100"/>
            </w:pPr>
          </w:p>
        </w:tc>
        <w:tc>
          <w:tcPr>
            <w:tcW w:w="0" w:type="auto"/>
            <w:tcBorders>
              <w:right w:val="single" w:sz="8" w:space="0" w:color="000000"/>
            </w:tcBorders>
            <w:shd w:val="clear" w:color="auto" w:fill="FFFFCC"/>
            <w:tcMar>
              <w:top w:w="0" w:type="dxa"/>
              <w:left w:w="0" w:type="dxa"/>
              <w:bottom w:w="0" w:type="dxa"/>
              <w:right w:w="0" w:type="dxa"/>
            </w:tcMar>
          </w:tcPr>
          <w:p w14:paraId="37DB47B5" w14:textId="77777777" w:rsidR="00D36263" w:rsidRDefault="00D36263" w:rsidP="00C5380D">
            <w:pPr>
              <w:spacing w:before="100" w:after="100"/>
              <w:ind w:left="100" w:right="100"/>
              <w:jc w:val="center"/>
            </w:pPr>
          </w:p>
        </w:tc>
      </w:tr>
      <w:tr w:rsidR="00D36263" w14:paraId="022763E6"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1B7D57B3" w14:textId="77777777" w:rsidR="00D36263" w:rsidRDefault="00D36263" w:rsidP="00C5380D">
            <w:pPr>
              <w:spacing w:before="100" w:after="100"/>
              <w:ind w:left="100" w:right="100"/>
            </w:pPr>
            <w:r>
              <w:rPr>
                <w:rFonts w:ascii="DejaVu Sans" w:eastAsia="DejaVu Sans" w:hAnsi="DejaVu Sans" w:cs="DejaVu Sans"/>
                <w:b/>
                <w:color w:val="000000"/>
                <w:sz w:val="18"/>
                <w:szCs w:val="18"/>
              </w:rPr>
              <w:t>Background and objectives</w:t>
            </w:r>
          </w:p>
        </w:tc>
        <w:tc>
          <w:tcPr>
            <w:tcW w:w="0" w:type="auto"/>
            <w:shd w:val="clear" w:color="auto" w:fill="FFFFFF"/>
            <w:tcMar>
              <w:top w:w="0" w:type="dxa"/>
              <w:left w:w="0" w:type="dxa"/>
              <w:bottom w:w="0" w:type="dxa"/>
              <w:right w:w="0" w:type="dxa"/>
            </w:tcMar>
          </w:tcPr>
          <w:p w14:paraId="329A367C"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3</w:t>
            </w:r>
          </w:p>
        </w:tc>
        <w:tc>
          <w:tcPr>
            <w:tcW w:w="0" w:type="auto"/>
            <w:shd w:val="clear" w:color="auto" w:fill="FFFFFF"/>
            <w:tcMar>
              <w:top w:w="0" w:type="dxa"/>
              <w:left w:w="0" w:type="dxa"/>
              <w:bottom w:w="0" w:type="dxa"/>
              <w:right w:w="0" w:type="dxa"/>
            </w:tcMar>
          </w:tcPr>
          <w:p w14:paraId="6128FF52" w14:textId="77777777" w:rsidR="00D36263" w:rsidRDefault="00D36263" w:rsidP="00C5380D">
            <w:pPr>
              <w:spacing w:before="100" w:after="100"/>
              <w:ind w:left="100" w:right="100"/>
            </w:pPr>
            <w:r>
              <w:rPr>
                <w:rFonts w:ascii="DejaVu Sans" w:eastAsia="DejaVu Sans" w:hAnsi="DejaVu Sans" w:cs="DejaVu Sans"/>
                <w:color w:val="000000"/>
                <w:sz w:val="18"/>
                <w:szCs w:val="18"/>
              </w:rPr>
              <w:t>Give the context for the study, the study question, and its practical relevance for decision making in policy or practice.</w:t>
            </w:r>
          </w:p>
        </w:tc>
        <w:tc>
          <w:tcPr>
            <w:tcW w:w="0" w:type="auto"/>
            <w:tcBorders>
              <w:right w:val="single" w:sz="8" w:space="0" w:color="000000"/>
            </w:tcBorders>
            <w:shd w:val="clear" w:color="auto" w:fill="FFFFFF"/>
            <w:tcMar>
              <w:top w:w="0" w:type="dxa"/>
              <w:left w:w="0" w:type="dxa"/>
              <w:bottom w:w="0" w:type="dxa"/>
              <w:right w:w="0" w:type="dxa"/>
            </w:tcMar>
          </w:tcPr>
          <w:p w14:paraId="7CD7E98B"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under Introduction</w:t>
            </w:r>
          </w:p>
        </w:tc>
      </w:tr>
      <w:tr w:rsidR="00D36263" w14:paraId="76240260" w14:textId="77777777" w:rsidTr="00C5380D">
        <w:trPr>
          <w:cantSplit/>
          <w:jc w:val="center"/>
        </w:trPr>
        <w:tc>
          <w:tcPr>
            <w:tcW w:w="0" w:type="auto"/>
            <w:tcBorders>
              <w:left w:val="single" w:sz="8" w:space="0" w:color="000000"/>
            </w:tcBorders>
            <w:shd w:val="clear" w:color="auto" w:fill="FFFFCC"/>
            <w:tcMar>
              <w:top w:w="0" w:type="dxa"/>
              <w:left w:w="0" w:type="dxa"/>
              <w:bottom w:w="0" w:type="dxa"/>
              <w:right w:w="0" w:type="dxa"/>
            </w:tcMar>
          </w:tcPr>
          <w:p w14:paraId="3C301F55" w14:textId="77777777" w:rsidR="00D36263" w:rsidRDefault="00D36263" w:rsidP="00C5380D">
            <w:pPr>
              <w:spacing w:before="100" w:after="100"/>
              <w:ind w:left="100" w:right="100"/>
            </w:pPr>
            <w:r>
              <w:rPr>
                <w:rFonts w:ascii="DejaVu Sans" w:eastAsia="DejaVu Sans" w:hAnsi="DejaVu Sans" w:cs="DejaVu Sans"/>
                <w:b/>
                <w:color w:val="000000"/>
                <w:sz w:val="18"/>
                <w:szCs w:val="18"/>
              </w:rPr>
              <w:t>Methods</w:t>
            </w:r>
          </w:p>
        </w:tc>
        <w:tc>
          <w:tcPr>
            <w:tcW w:w="0" w:type="auto"/>
            <w:shd w:val="clear" w:color="auto" w:fill="FFFFCC"/>
            <w:tcMar>
              <w:top w:w="0" w:type="dxa"/>
              <w:left w:w="0" w:type="dxa"/>
              <w:bottom w:w="0" w:type="dxa"/>
              <w:right w:w="0" w:type="dxa"/>
            </w:tcMar>
          </w:tcPr>
          <w:p w14:paraId="1D2EE33D" w14:textId="77777777" w:rsidR="00D36263" w:rsidRDefault="00D36263" w:rsidP="00C5380D">
            <w:pPr>
              <w:spacing w:before="100" w:after="100"/>
              <w:ind w:left="100" w:right="100"/>
              <w:jc w:val="center"/>
            </w:pPr>
          </w:p>
        </w:tc>
        <w:tc>
          <w:tcPr>
            <w:tcW w:w="0" w:type="auto"/>
            <w:shd w:val="clear" w:color="auto" w:fill="FFFFCC"/>
            <w:tcMar>
              <w:top w:w="0" w:type="dxa"/>
              <w:left w:w="0" w:type="dxa"/>
              <w:bottom w:w="0" w:type="dxa"/>
              <w:right w:w="0" w:type="dxa"/>
            </w:tcMar>
          </w:tcPr>
          <w:p w14:paraId="2AD06019" w14:textId="77777777" w:rsidR="00D36263" w:rsidRDefault="00D36263" w:rsidP="00C5380D">
            <w:pPr>
              <w:spacing w:before="100" w:after="100"/>
              <w:ind w:left="100" w:right="100"/>
            </w:pPr>
          </w:p>
        </w:tc>
        <w:tc>
          <w:tcPr>
            <w:tcW w:w="0" w:type="auto"/>
            <w:tcBorders>
              <w:right w:val="single" w:sz="8" w:space="0" w:color="000000"/>
            </w:tcBorders>
            <w:shd w:val="clear" w:color="auto" w:fill="FFFFCC"/>
            <w:tcMar>
              <w:top w:w="0" w:type="dxa"/>
              <w:left w:w="0" w:type="dxa"/>
              <w:bottom w:w="0" w:type="dxa"/>
              <w:right w:w="0" w:type="dxa"/>
            </w:tcMar>
          </w:tcPr>
          <w:p w14:paraId="170356C2" w14:textId="77777777" w:rsidR="00D36263" w:rsidRDefault="00D36263" w:rsidP="00C5380D">
            <w:pPr>
              <w:spacing w:before="100" w:after="100"/>
              <w:ind w:left="100" w:right="100"/>
              <w:jc w:val="center"/>
            </w:pPr>
          </w:p>
        </w:tc>
      </w:tr>
      <w:tr w:rsidR="00D36263" w14:paraId="665BA110"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5E7C1C07" w14:textId="77777777" w:rsidR="00D36263" w:rsidRDefault="00D36263" w:rsidP="00C5380D">
            <w:pPr>
              <w:spacing w:before="100" w:after="100"/>
              <w:ind w:left="100" w:right="100"/>
            </w:pPr>
            <w:r>
              <w:rPr>
                <w:rFonts w:ascii="DejaVu Sans" w:eastAsia="DejaVu Sans" w:hAnsi="DejaVu Sans" w:cs="DejaVu Sans"/>
                <w:b/>
                <w:color w:val="000000"/>
                <w:sz w:val="18"/>
                <w:szCs w:val="18"/>
              </w:rPr>
              <w:t>Health economic analysis plan</w:t>
            </w:r>
          </w:p>
        </w:tc>
        <w:tc>
          <w:tcPr>
            <w:tcW w:w="0" w:type="auto"/>
            <w:shd w:val="clear" w:color="auto" w:fill="FFFFFF"/>
            <w:tcMar>
              <w:top w:w="0" w:type="dxa"/>
              <w:left w:w="0" w:type="dxa"/>
              <w:bottom w:w="0" w:type="dxa"/>
              <w:right w:w="0" w:type="dxa"/>
            </w:tcMar>
          </w:tcPr>
          <w:p w14:paraId="5A4C1BD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4</w:t>
            </w:r>
          </w:p>
        </w:tc>
        <w:tc>
          <w:tcPr>
            <w:tcW w:w="0" w:type="auto"/>
            <w:shd w:val="clear" w:color="auto" w:fill="FFFFFF"/>
            <w:tcMar>
              <w:top w:w="0" w:type="dxa"/>
              <w:left w:w="0" w:type="dxa"/>
              <w:bottom w:w="0" w:type="dxa"/>
              <w:right w:w="0" w:type="dxa"/>
            </w:tcMar>
          </w:tcPr>
          <w:p w14:paraId="34D43AFB" w14:textId="77777777" w:rsidR="00D36263" w:rsidRDefault="00D36263" w:rsidP="00C5380D">
            <w:pPr>
              <w:spacing w:before="100" w:after="100"/>
              <w:ind w:left="100" w:right="100"/>
            </w:pPr>
            <w:r>
              <w:rPr>
                <w:rFonts w:ascii="DejaVu Sans" w:eastAsia="DejaVu Sans" w:hAnsi="DejaVu Sans" w:cs="DejaVu Sans"/>
                <w:color w:val="000000"/>
                <w:sz w:val="18"/>
                <w:szCs w:val="18"/>
              </w:rPr>
              <w:t>Indicate whether a health economic analysis plan was developed and where available.</w:t>
            </w:r>
          </w:p>
        </w:tc>
        <w:tc>
          <w:tcPr>
            <w:tcW w:w="0" w:type="auto"/>
            <w:tcBorders>
              <w:right w:val="single" w:sz="8" w:space="0" w:color="000000"/>
            </w:tcBorders>
            <w:shd w:val="clear" w:color="auto" w:fill="FFFFFF"/>
            <w:tcMar>
              <w:top w:w="0" w:type="dxa"/>
              <w:left w:w="0" w:type="dxa"/>
              <w:bottom w:w="0" w:type="dxa"/>
              <w:right w:w="0" w:type="dxa"/>
            </w:tcMar>
          </w:tcPr>
          <w:p w14:paraId="4CE7740B"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simulation model</w:t>
            </w:r>
          </w:p>
        </w:tc>
      </w:tr>
      <w:tr w:rsidR="00D36263" w14:paraId="27301E96"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643EBF32" w14:textId="77777777" w:rsidR="00D36263" w:rsidRDefault="00D36263" w:rsidP="00C5380D">
            <w:pPr>
              <w:spacing w:before="100" w:after="100"/>
              <w:ind w:left="100" w:right="100"/>
            </w:pPr>
            <w:r>
              <w:rPr>
                <w:rFonts w:ascii="DejaVu Sans" w:eastAsia="DejaVu Sans" w:hAnsi="DejaVu Sans" w:cs="DejaVu Sans"/>
                <w:b/>
                <w:color w:val="000000"/>
                <w:sz w:val="18"/>
                <w:szCs w:val="18"/>
              </w:rPr>
              <w:t>Study population</w:t>
            </w:r>
          </w:p>
        </w:tc>
        <w:tc>
          <w:tcPr>
            <w:tcW w:w="0" w:type="auto"/>
            <w:shd w:val="clear" w:color="auto" w:fill="FFFFFF"/>
            <w:tcMar>
              <w:top w:w="0" w:type="dxa"/>
              <w:left w:w="0" w:type="dxa"/>
              <w:bottom w:w="0" w:type="dxa"/>
              <w:right w:w="0" w:type="dxa"/>
            </w:tcMar>
          </w:tcPr>
          <w:p w14:paraId="5639DFF1"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5</w:t>
            </w:r>
          </w:p>
        </w:tc>
        <w:tc>
          <w:tcPr>
            <w:tcW w:w="0" w:type="auto"/>
            <w:shd w:val="clear" w:color="auto" w:fill="FFFFFF"/>
            <w:tcMar>
              <w:top w:w="0" w:type="dxa"/>
              <w:left w:w="0" w:type="dxa"/>
              <w:bottom w:w="0" w:type="dxa"/>
              <w:right w:w="0" w:type="dxa"/>
            </w:tcMar>
          </w:tcPr>
          <w:p w14:paraId="05510748"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characteristics of the study population (such as age range, demographics, socioeconomic, or clinical characteristics).</w:t>
            </w:r>
          </w:p>
        </w:tc>
        <w:tc>
          <w:tcPr>
            <w:tcW w:w="0" w:type="auto"/>
            <w:tcBorders>
              <w:right w:val="single" w:sz="8" w:space="0" w:color="000000"/>
            </w:tcBorders>
            <w:shd w:val="clear" w:color="auto" w:fill="FFFFFF"/>
            <w:tcMar>
              <w:top w:w="0" w:type="dxa"/>
              <w:left w:w="0" w:type="dxa"/>
              <w:bottom w:w="0" w:type="dxa"/>
              <w:right w:w="0" w:type="dxa"/>
            </w:tcMar>
          </w:tcPr>
          <w:p w14:paraId="109109C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cohort</w:t>
            </w:r>
          </w:p>
        </w:tc>
      </w:tr>
      <w:tr w:rsidR="00D36263" w14:paraId="59A82C46"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7C12226D" w14:textId="77777777" w:rsidR="00D36263" w:rsidRDefault="00D36263" w:rsidP="00C5380D">
            <w:pPr>
              <w:spacing w:before="100" w:after="100"/>
              <w:ind w:left="100" w:right="100"/>
            </w:pPr>
            <w:r>
              <w:rPr>
                <w:rFonts w:ascii="DejaVu Sans" w:eastAsia="DejaVu Sans" w:hAnsi="DejaVu Sans" w:cs="DejaVu Sans"/>
                <w:b/>
                <w:color w:val="000000"/>
                <w:sz w:val="18"/>
                <w:szCs w:val="18"/>
              </w:rPr>
              <w:t>Setting and location</w:t>
            </w:r>
          </w:p>
        </w:tc>
        <w:tc>
          <w:tcPr>
            <w:tcW w:w="0" w:type="auto"/>
            <w:shd w:val="clear" w:color="auto" w:fill="FFFFFF"/>
            <w:tcMar>
              <w:top w:w="0" w:type="dxa"/>
              <w:left w:w="0" w:type="dxa"/>
              <w:bottom w:w="0" w:type="dxa"/>
              <w:right w:w="0" w:type="dxa"/>
            </w:tcMar>
          </w:tcPr>
          <w:p w14:paraId="5EBFA9CE"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6</w:t>
            </w:r>
          </w:p>
        </w:tc>
        <w:tc>
          <w:tcPr>
            <w:tcW w:w="0" w:type="auto"/>
            <w:shd w:val="clear" w:color="auto" w:fill="FFFFFF"/>
            <w:tcMar>
              <w:top w:w="0" w:type="dxa"/>
              <w:left w:w="0" w:type="dxa"/>
              <w:bottom w:w="0" w:type="dxa"/>
              <w:right w:w="0" w:type="dxa"/>
            </w:tcMar>
          </w:tcPr>
          <w:p w14:paraId="79E22790" w14:textId="77777777" w:rsidR="00D36263" w:rsidRDefault="00D36263" w:rsidP="00C5380D">
            <w:pPr>
              <w:spacing w:before="100" w:after="100"/>
              <w:ind w:left="100" w:right="100"/>
            </w:pPr>
            <w:r>
              <w:rPr>
                <w:rFonts w:ascii="DejaVu Sans" w:eastAsia="DejaVu Sans" w:hAnsi="DejaVu Sans" w:cs="DejaVu Sans"/>
                <w:color w:val="000000"/>
                <w:sz w:val="18"/>
                <w:szCs w:val="18"/>
              </w:rPr>
              <w:t>Provide relevant contextual information that may influence findings.</w:t>
            </w:r>
          </w:p>
        </w:tc>
        <w:tc>
          <w:tcPr>
            <w:tcW w:w="0" w:type="auto"/>
            <w:tcBorders>
              <w:right w:val="single" w:sz="8" w:space="0" w:color="000000"/>
            </w:tcBorders>
            <w:shd w:val="clear" w:color="auto" w:fill="FFFFFF"/>
            <w:tcMar>
              <w:top w:w="0" w:type="dxa"/>
              <w:left w:w="0" w:type="dxa"/>
              <w:bottom w:w="0" w:type="dxa"/>
              <w:right w:w="0" w:type="dxa"/>
            </w:tcMar>
          </w:tcPr>
          <w:p w14:paraId="7414B67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cohort</w:t>
            </w:r>
          </w:p>
        </w:tc>
      </w:tr>
      <w:tr w:rsidR="00D36263" w14:paraId="66DB00D0"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23B752D2" w14:textId="77777777" w:rsidR="00D36263" w:rsidRDefault="00D36263" w:rsidP="00C5380D">
            <w:pPr>
              <w:spacing w:before="100" w:after="100"/>
              <w:ind w:left="100" w:right="100"/>
            </w:pPr>
            <w:r>
              <w:rPr>
                <w:rFonts w:ascii="DejaVu Sans" w:eastAsia="DejaVu Sans" w:hAnsi="DejaVu Sans" w:cs="DejaVu Sans"/>
                <w:b/>
                <w:color w:val="000000"/>
                <w:sz w:val="18"/>
                <w:szCs w:val="18"/>
              </w:rPr>
              <w:t>Comparators</w:t>
            </w:r>
          </w:p>
        </w:tc>
        <w:tc>
          <w:tcPr>
            <w:tcW w:w="0" w:type="auto"/>
            <w:shd w:val="clear" w:color="auto" w:fill="FFFFFF"/>
            <w:tcMar>
              <w:top w:w="0" w:type="dxa"/>
              <w:left w:w="0" w:type="dxa"/>
              <w:bottom w:w="0" w:type="dxa"/>
              <w:right w:w="0" w:type="dxa"/>
            </w:tcMar>
          </w:tcPr>
          <w:p w14:paraId="4AF11084"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7</w:t>
            </w:r>
          </w:p>
        </w:tc>
        <w:tc>
          <w:tcPr>
            <w:tcW w:w="0" w:type="auto"/>
            <w:shd w:val="clear" w:color="auto" w:fill="FFFFFF"/>
            <w:tcMar>
              <w:top w:w="0" w:type="dxa"/>
              <w:left w:w="0" w:type="dxa"/>
              <w:bottom w:w="0" w:type="dxa"/>
              <w:right w:w="0" w:type="dxa"/>
            </w:tcMar>
          </w:tcPr>
          <w:p w14:paraId="1D1363B5"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the interventions or strategies being compared and why chosen.</w:t>
            </w:r>
          </w:p>
        </w:tc>
        <w:tc>
          <w:tcPr>
            <w:tcW w:w="0" w:type="auto"/>
            <w:tcBorders>
              <w:right w:val="single" w:sz="8" w:space="0" w:color="000000"/>
            </w:tcBorders>
            <w:shd w:val="clear" w:color="auto" w:fill="FFFFFF"/>
            <w:tcMar>
              <w:top w:w="0" w:type="dxa"/>
              <w:left w:w="0" w:type="dxa"/>
              <w:bottom w:w="0" w:type="dxa"/>
              <w:right w:w="0" w:type="dxa"/>
            </w:tcMar>
          </w:tcPr>
          <w:p w14:paraId="0BE4E2BC"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comparison strategies</w:t>
            </w:r>
          </w:p>
        </w:tc>
      </w:tr>
      <w:tr w:rsidR="00D36263" w14:paraId="73EC7446"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7ABB2671" w14:textId="77777777" w:rsidR="00D36263" w:rsidRDefault="00D36263" w:rsidP="00C5380D">
            <w:pPr>
              <w:spacing w:before="100" w:after="100"/>
              <w:ind w:left="100" w:right="100"/>
            </w:pPr>
            <w:r>
              <w:rPr>
                <w:rFonts w:ascii="DejaVu Sans" w:eastAsia="DejaVu Sans" w:hAnsi="DejaVu Sans" w:cs="DejaVu Sans"/>
                <w:b/>
                <w:color w:val="000000"/>
                <w:sz w:val="18"/>
                <w:szCs w:val="18"/>
              </w:rPr>
              <w:t>Perspective</w:t>
            </w:r>
          </w:p>
        </w:tc>
        <w:tc>
          <w:tcPr>
            <w:tcW w:w="0" w:type="auto"/>
            <w:shd w:val="clear" w:color="auto" w:fill="FFFFFF"/>
            <w:tcMar>
              <w:top w:w="0" w:type="dxa"/>
              <w:left w:w="0" w:type="dxa"/>
              <w:bottom w:w="0" w:type="dxa"/>
              <w:right w:w="0" w:type="dxa"/>
            </w:tcMar>
          </w:tcPr>
          <w:p w14:paraId="78BEB90E"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8</w:t>
            </w:r>
          </w:p>
        </w:tc>
        <w:tc>
          <w:tcPr>
            <w:tcW w:w="0" w:type="auto"/>
            <w:shd w:val="clear" w:color="auto" w:fill="FFFFFF"/>
            <w:tcMar>
              <w:top w:w="0" w:type="dxa"/>
              <w:left w:w="0" w:type="dxa"/>
              <w:bottom w:w="0" w:type="dxa"/>
              <w:right w:w="0" w:type="dxa"/>
            </w:tcMar>
          </w:tcPr>
          <w:p w14:paraId="47CE3F9A" w14:textId="77777777" w:rsidR="00D36263" w:rsidRDefault="00D36263" w:rsidP="00C5380D">
            <w:pPr>
              <w:spacing w:before="100" w:after="100"/>
              <w:ind w:left="100" w:right="100"/>
            </w:pPr>
            <w:r>
              <w:rPr>
                <w:rFonts w:ascii="DejaVu Sans" w:eastAsia="DejaVu Sans" w:hAnsi="DejaVu Sans" w:cs="DejaVu Sans"/>
                <w:color w:val="000000"/>
                <w:sz w:val="18"/>
                <w:szCs w:val="18"/>
              </w:rPr>
              <w:t>State the perspective(s) adopted by the study and why chosen.</w:t>
            </w:r>
          </w:p>
        </w:tc>
        <w:tc>
          <w:tcPr>
            <w:tcW w:w="0" w:type="auto"/>
            <w:tcBorders>
              <w:right w:val="single" w:sz="8" w:space="0" w:color="000000"/>
            </w:tcBorders>
            <w:shd w:val="clear" w:color="auto" w:fill="FFFFFF"/>
            <w:tcMar>
              <w:top w:w="0" w:type="dxa"/>
              <w:left w:w="0" w:type="dxa"/>
              <w:bottom w:w="0" w:type="dxa"/>
              <w:right w:w="0" w:type="dxa"/>
            </w:tcMar>
          </w:tcPr>
          <w:p w14:paraId="4E6AD7FA"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outcomes</w:t>
            </w:r>
          </w:p>
        </w:tc>
      </w:tr>
      <w:tr w:rsidR="00D36263" w14:paraId="6D661AFA"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51359531" w14:textId="77777777" w:rsidR="00D36263" w:rsidRDefault="00D36263" w:rsidP="00C5380D">
            <w:pPr>
              <w:spacing w:before="100" w:after="100"/>
              <w:ind w:left="100" w:right="100"/>
            </w:pPr>
            <w:r>
              <w:rPr>
                <w:rFonts w:ascii="DejaVu Sans" w:eastAsia="DejaVu Sans" w:hAnsi="DejaVu Sans" w:cs="DejaVu Sans"/>
                <w:b/>
                <w:color w:val="000000"/>
                <w:sz w:val="18"/>
                <w:szCs w:val="18"/>
              </w:rPr>
              <w:t>Time horizon</w:t>
            </w:r>
          </w:p>
        </w:tc>
        <w:tc>
          <w:tcPr>
            <w:tcW w:w="0" w:type="auto"/>
            <w:shd w:val="clear" w:color="auto" w:fill="FFFFFF"/>
            <w:tcMar>
              <w:top w:w="0" w:type="dxa"/>
              <w:left w:w="0" w:type="dxa"/>
              <w:bottom w:w="0" w:type="dxa"/>
              <w:right w:w="0" w:type="dxa"/>
            </w:tcMar>
          </w:tcPr>
          <w:p w14:paraId="0FA96B1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9</w:t>
            </w:r>
          </w:p>
        </w:tc>
        <w:tc>
          <w:tcPr>
            <w:tcW w:w="0" w:type="auto"/>
            <w:shd w:val="clear" w:color="auto" w:fill="FFFFFF"/>
            <w:tcMar>
              <w:top w:w="0" w:type="dxa"/>
              <w:left w:w="0" w:type="dxa"/>
              <w:bottom w:w="0" w:type="dxa"/>
              <w:right w:w="0" w:type="dxa"/>
            </w:tcMar>
          </w:tcPr>
          <w:p w14:paraId="717D4516" w14:textId="77777777" w:rsidR="00D36263" w:rsidRDefault="00D36263" w:rsidP="00C5380D">
            <w:pPr>
              <w:spacing w:before="100" w:after="100"/>
              <w:ind w:left="100" w:right="100"/>
            </w:pPr>
            <w:r>
              <w:rPr>
                <w:rFonts w:ascii="DejaVu Sans" w:eastAsia="DejaVu Sans" w:hAnsi="DejaVu Sans" w:cs="DejaVu Sans"/>
                <w:color w:val="000000"/>
                <w:sz w:val="18"/>
                <w:szCs w:val="18"/>
              </w:rPr>
              <w:t>State the time horizon for the study and why appropriate.</w:t>
            </w:r>
          </w:p>
        </w:tc>
        <w:tc>
          <w:tcPr>
            <w:tcW w:w="0" w:type="auto"/>
            <w:tcBorders>
              <w:right w:val="single" w:sz="8" w:space="0" w:color="000000"/>
            </w:tcBorders>
            <w:shd w:val="clear" w:color="auto" w:fill="FFFFFF"/>
            <w:tcMar>
              <w:top w:w="0" w:type="dxa"/>
              <w:left w:w="0" w:type="dxa"/>
              <w:bottom w:w="0" w:type="dxa"/>
              <w:right w:w="0" w:type="dxa"/>
            </w:tcMar>
          </w:tcPr>
          <w:p w14:paraId="6DD05BFE"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simulation model</w:t>
            </w:r>
          </w:p>
        </w:tc>
      </w:tr>
      <w:tr w:rsidR="00D36263" w14:paraId="169F6649"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0125E4D5" w14:textId="77777777" w:rsidR="00D36263" w:rsidRDefault="00D36263" w:rsidP="00C5380D">
            <w:pPr>
              <w:spacing w:before="100" w:after="100"/>
              <w:ind w:left="100" w:right="100"/>
            </w:pPr>
            <w:r>
              <w:rPr>
                <w:rFonts w:ascii="DejaVu Sans" w:eastAsia="DejaVu Sans" w:hAnsi="DejaVu Sans" w:cs="DejaVu Sans"/>
                <w:b/>
                <w:color w:val="000000"/>
                <w:sz w:val="18"/>
                <w:szCs w:val="18"/>
              </w:rPr>
              <w:t>Discount rate</w:t>
            </w:r>
          </w:p>
        </w:tc>
        <w:tc>
          <w:tcPr>
            <w:tcW w:w="0" w:type="auto"/>
            <w:shd w:val="clear" w:color="auto" w:fill="FFFFFF"/>
            <w:tcMar>
              <w:top w:w="0" w:type="dxa"/>
              <w:left w:w="0" w:type="dxa"/>
              <w:bottom w:w="0" w:type="dxa"/>
              <w:right w:w="0" w:type="dxa"/>
            </w:tcMar>
          </w:tcPr>
          <w:p w14:paraId="25C8642C"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10</w:t>
            </w:r>
          </w:p>
        </w:tc>
        <w:tc>
          <w:tcPr>
            <w:tcW w:w="0" w:type="auto"/>
            <w:shd w:val="clear" w:color="auto" w:fill="FFFFFF"/>
            <w:tcMar>
              <w:top w:w="0" w:type="dxa"/>
              <w:left w:w="0" w:type="dxa"/>
              <w:bottom w:w="0" w:type="dxa"/>
              <w:right w:w="0" w:type="dxa"/>
            </w:tcMar>
          </w:tcPr>
          <w:p w14:paraId="13B7A695" w14:textId="77777777" w:rsidR="00D36263" w:rsidRDefault="00D36263" w:rsidP="00C5380D">
            <w:pPr>
              <w:spacing w:before="100" w:after="100"/>
              <w:ind w:left="100" w:right="100"/>
            </w:pPr>
            <w:r>
              <w:rPr>
                <w:rFonts w:ascii="DejaVu Sans" w:eastAsia="DejaVu Sans" w:hAnsi="DejaVu Sans" w:cs="DejaVu Sans"/>
                <w:color w:val="000000"/>
                <w:sz w:val="18"/>
                <w:szCs w:val="18"/>
              </w:rPr>
              <w:t>Report the discount rate(s) and reason chosen.</w:t>
            </w:r>
          </w:p>
        </w:tc>
        <w:tc>
          <w:tcPr>
            <w:tcW w:w="0" w:type="auto"/>
            <w:tcBorders>
              <w:right w:val="single" w:sz="8" w:space="0" w:color="000000"/>
            </w:tcBorders>
            <w:shd w:val="clear" w:color="auto" w:fill="FFFFFF"/>
            <w:tcMar>
              <w:top w:w="0" w:type="dxa"/>
              <w:left w:w="0" w:type="dxa"/>
              <w:bottom w:w="0" w:type="dxa"/>
              <w:right w:w="0" w:type="dxa"/>
            </w:tcMar>
          </w:tcPr>
          <w:p w14:paraId="077E62C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outcomes</w:t>
            </w:r>
          </w:p>
        </w:tc>
      </w:tr>
      <w:tr w:rsidR="00D36263" w14:paraId="221B4470"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7C23CA62" w14:textId="77777777" w:rsidR="00D36263" w:rsidRDefault="00D36263" w:rsidP="00C5380D">
            <w:pPr>
              <w:spacing w:before="100" w:after="100"/>
              <w:ind w:left="100" w:right="100"/>
            </w:pPr>
            <w:r>
              <w:rPr>
                <w:rFonts w:ascii="DejaVu Sans" w:eastAsia="DejaVu Sans" w:hAnsi="DejaVu Sans" w:cs="DejaVu Sans"/>
                <w:b/>
                <w:color w:val="000000"/>
                <w:sz w:val="18"/>
                <w:szCs w:val="18"/>
              </w:rPr>
              <w:lastRenderedPageBreak/>
              <w:t>Selection of outcomes</w:t>
            </w:r>
          </w:p>
        </w:tc>
        <w:tc>
          <w:tcPr>
            <w:tcW w:w="0" w:type="auto"/>
            <w:shd w:val="clear" w:color="auto" w:fill="FFFFFF"/>
            <w:tcMar>
              <w:top w:w="0" w:type="dxa"/>
              <w:left w:w="0" w:type="dxa"/>
              <w:bottom w:w="0" w:type="dxa"/>
              <w:right w:w="0" w:type="dxa"/>
            </w:tcMar>
          </w:tcPr>
          <w:p w14:paraId="0417FB38"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11</w:t>
            </w:r>
          </w:p>
        </w:tc>
        <w:tc>
          <w:tcPr>
            <w:tcW w:w="0" w:type="auto"/>
            <w:shd w:val="clear" w:color="auto" w:fill="FFFFFF"/>
            <w:tcMar>
              <w:top w:w="0" w:type="dxa"/>
              <w:left w:w="0" w:type="dxa"/>
              <w:bottom w:w="0" w:type="dxa"/>
              <w:right w:w="0" w:type="dxa"/>
            </w:tcMar>
          </w:tcPr>
          <w:p w14:paraId="270D348A"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what outcomes were used as the measure(s) of benefit(s) and harm(s).</w:t>
            </w:r>
          </w:p>
        </w:tc>
        <w:tc>
          <w:tcPr>
            <w:tcW w:w="0" w:type="auto"/>
            <w:tcBorders>
              <w:right w:val="single" w:sz="8" w:space="0" w:color="000000"/>
            </w:tcBorders>
            <w:shd w:val="clear" w:color="auto" w:fill="FFFFFF"/>
            <w:tcMar>
              <w:top w:w="0" w:type="dxa"/>
              <w:left w:w="0" w:type="dxa"/>
              <w:bottom w:w="0" w:type="dxa"/>
              <w:right w:w="0" w:type="dxa"/>
            </w:tcMar>
          </w:tcPr>
          <w:p w14:paraId="40A55784"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outcomes</w:t>
            </w:r>
          </w:p>
        </w:tc>
      </w:tr>
      <w:tr w:rsidR="00D36263" w14:paraId="26F0F966"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0B1D3C3B" w14:textId="77777777" w:rsidR="00D36263" w:rsidRDefault="00D36263" w:rsidP="00C5380D">
            <w:pPr>
              <w:spacing w:before="100" w:after="100"/>
              <w:ind w:left="100" w:right="100"/>
            </w:pPr>
            <w:r>
              <w:rPr>
                <w:rFonts w:ascii="DejaVu Sans" w:eastAsia="DejaVu Sans" w:hAnsi="DejaVu Sans" w:cs="DejaVu Sans"/>
                <w:b/>
                <w:color w:val="000000"/>
                <w:sz w:val="18"/>
                <w:szCs w:val="18"/>
              </w:rPr>
              <w:t>Measurement of outcomes</w:t>
            </w:r>
          </w:p>
        </w:tc>
        <w:tc>
          <w:tcPr>
            <w:tcW w:w="0" w:type="auto"/>
            <w:shd w:val="clear" w:color="auto" w:fill="FFFFFF"/>
            <w:tcMar>
              <w:top w:w="0" w:type="dxa"/>
              <w:left w:w="0" w:type="dxa"/>
              <w:bottom w:w="0" w:type="dxa"/>
              <w:right w:w="0" w:type="dxa"/>
            </w:tcMar>
          </w:tcPr>
          <w:p w14:paraId="7B9C581B"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12</w:t>
            </w:r>
          </w:p>
        </w:tc>
        <w:tc>
          <w:tcPr>
            <w:tcW w:w="0" w:type="auto"/>
            <w:shd w:val="clear" w:color="auto" w:fill="FFFFFF"/>
            <w:tcMar>
              <w:top w:w="0" w:type="dxa"/>
              <w:left w:w="0" w:type="dxa"/>
              <w:bottom w:w="0" w:type="dxa"/>
              <w:right w:w="0" w:type="dxa"/>
            </w:tcMar>
          </w:tcPr>
          <w:p w14:paraId="37ECF83F"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how outcomes used to capture benefit(s) and harm(s) were measured.</w:t>
            </w:r>
          </w:p>
        </w:tc>
        <w:tc>
          <w:tcPr>
            <w:tcW w:w="0" w:type="auto"/>
            <w:tcBorders>
              <w:right w:val="single" w:sz="8" w:space="0" w:color="000000"/>
            </w:tcBorders>
            <w:shd w:val="clear" w:color="auto" w:fill="FFFFFF"/>
            <w:tcMar>
              <w:top w:w="0" w:type="dxa"/>
              <w:left w:w="0" w:type="dxa"/>
              <w:bottom w:w="0" w:type="dxa"/>
              <w:right w:w="0" w:type="dxa"/>
            </w:tcMar>
          </w:tcPr>
          <w:p w14:paraId="18FC6D1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outcomes</w:t>
            </w:r>
          </w:p>
        </w:tc>
      </w:tr>
      <w:tr w:rsidR="00D36263" w14:paraId="088161BA"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059C77D4" w14:textId="77777777" w:rsidR="00D36263" w:rsidRDefault="00D36263" w:rsidP="00C5380D">
            <w:pPr>
              <w:spacing w:before="100" w:after="100"/>
              <w:ind w:left="100" w:right="100"/>
            </w:pPr>
            <w:r>
              <w:rPr>
                <w:rFonts w:ascii="DejaVu Sans" w:eastAsia="DejaVu Sans" w:hAnsi="DejaVu Sans" w:cs="DejaVu Sans"/>
                <w:b/>
                <w:color w:val="000000"/>
                <w:sz w:val="18"/>
                <w:szCs w:val="18"/>
              </w:rPr>
              <w:t>Valuation of outcomes</w:t>
            </w:r>
          </w:p>
        </w:tc>
        <w:tc>
          <w:tcPr>
            <w:tcW w:w="0" w:type="auto"/>
            <w:shd w:val="clear" w:color="auto" w:fill="FFFFFF"/>
            <w:tcMar>
              <w:top w:w="0" w:type="dxa"/>
              <w:left w:w="0" w:type="dxa"/>
              <w:bottom w:w="0" w:type="dxa"/>
              <w:right w:w="0" w:type="dxa"/>
            </w:tcMar>
          </w:tcPr>
          <w:p w14:paraId="5EADB537"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13</w:t>
            </w:r>
          </w:p>
        </w:tc>
        <w:tc>
          <w:tcPr>
            <w:tcW w:w="0" w:type="auto"/>
            <w:shd w:val="clear" w:color="auto" w:fill="FFFFFF"/>
            <w:tcMar>
              <w:top w:w="0" w:type="dxa"/>
              <w:left w:w="0" w:type="dxa"/>
              <w:bottom w:w="0" w:type="dxa"/>
              <w:right w:w="0" w:type="dxa"/>
            </w:tcMar>
          </w:tcPr>
          <w:p w14:paraId="490DD778"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the population and methods used to measure and value outcomes.</w:t>
            </w:r>
          </w:p>
        </w:tc>
        <w:tc>
          <w:tcPr>
            <w:tcW w:w="0" w:type="auto"/>
            <w:tcBorders>
              <w:right w:val="single" w:sz="8" w:space="0" w:color="000000"/>
            </w:tcBorders>
            <w:shd w:val="clear" w:color="auto" w:fill="FFFFFF"/>
            <w:tcMar>
              <w:top w:w="0" w:type="dxa"/>
              <w:left w:w="0" w:type="dxa"/>
              <w:bottom w:w="0" w:type="dxa"/>
              <w:right w:w="0" w:type="dxa"/>
            </w:tcMar>
          </w:tcPr>
          <w:p w14:paraId="3310044A"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outcomes</w:t>
            </w:r>
          </w:p>
        </w:tc>
      </w:tr>
      <w:tr w:rsidR="00D36263" w14:paraId="61E19C04"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668EE40D" w14:textId="77777777" w:rsidR="00D36263" w:rsidRDefault="00D36263" w:rsidP="00C5380D">
            <w:pPr>
              <w:spacing w:before="100" w:after="100"/>
              <w:ind w:left="100" w:right="100"/>
            </w:pPr>
            <w:r>
              <w:rPr>
                <w:rFonts w:ascii="DejaVu Sans" w:eastAsia="DejaVu Sans" w:hAnsi="DejaVu Sans" w:cs="DejaVu Sans"/>
                <w:b/>
                <w:color w:val="000000"/>
                <w:sz w:val="18"/>
                <w:szCs w:val="18"/>
              </w:rPr>
              <w:t>Measurement and valuation of resources and costs</w:t>
            </w:r>
          </w:p>
        </w:tc>
        <w:tc>
          <w:tcPr>
            <w:tcW w:w="0" w:type="auto"/>
            <w:shd w:val="clear" w:color="auto" w:fill="FFFFFF"/>
            <w:tcMar>
              <w:top w:w="0" w:type="dxa"/>
              <w:left w:w="0" w:type="dxa"/>
              <w:bottom w:w="0" w:type="dxa"/>
              <w:right w:w="0" w:type="dxa"/>
            </w:tcMar>
          </w:tcPr>
          <w:p w14:paraId="12CFAB81"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14</w:t>
            </w:r>
          </w:p>
        </w:tc>
        <w:tc>
          <w:tcPr>
            <w:tcW w:w="0" w:type="auto"/>
            <w:shd w:val="clear" w:color="auto" w:fill="FFFFFF"/>
            <w:tcMar>
              <w:top w:w="0" w:type="dxa"/>
              <w:left w:w="0" w:type="dxa"/>
              <w:bottom w:w="0" w:type="dxa"/>
              <w:right w:w="0" w:type="dxa"/>
            </w:tcMar>
          </w:tcPr>
          <w:p w14:paraId="43F3331A"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how costs were valued.</w:t>
            </w:r>
          </w:p>
        </w:tc>
        <w:tc>
          <w:tcPr>
            <w:tcW w:w="0" w:type="auto"/>
            <w:tcBorders>
              <w:right w:val="single" w:sz="8" w:space="0" w:color="000000"/>
            </w:tcBorders>
            <w:shd w:val="clear" w:color="auto" w:fill="FFFFFF"/>
            <w:tcMar>
              <w:top w:w="0" w:type="dxa"/>
              <w:left w:w="0" w:type="dxa"/>
              <w:bottom w:w="0" w:type="dxa"/>
              <w:right w:w="0" w:type="dxa"/>
            </w:tcMar>
          </w:tcPr>
          <w:p w14:paraId="63FC51F9"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outcomes</w:t>
            </w:r>
          </w:p>
        </w:tc>
      </w:tr>
      <w:tr w:rsidR="00D36263" w14:paraId="19234D79"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272B2823" w14:textId="77777777" w:rsidR="00D36263" w:rsidRDefault="00D36263" w:rsidP="00C5380D">
            <w:pPr>
              <w:spacing w:before="100" w:after="100"/>
              <w:ind w:left="100" w:right="100"/>
            </w:pPr>
            <w:r>
              <w:rPr>
                <w:rFonts w:ascii="DejaVu Sans" w:eastAsia="DejaVu Sans" w:hAnsi="DejaVu Sans" w:cs="DejaVu Sans"/>
                <w:b/>
                <w:color w:val="000000"/>
                <w:sz w:val="18"/>
                <w:szCs w:val="18"/>
              </w:rPr>
              <w:t>Currency, price date, and conversion</w:t>
            </w:r>
          </w:p>
        </w:tc>
        <w:tc>
          <w:tcPr>
            <w:tcW w:w="0" w:type="auto"/>
            <w:shd w:val="clear" w:color="auto" w:fill="FFFFFF"/>
            <w:tcMar>
              <w:top w:w="0" w:type="dxa"/>
              <w:left w:w="0" w:type="dxa"/>
              <w:bottom w:w="0" w:type="dxa"/>
              <w:right w:w="0" w:type="dxa"/>
            </w:tcMar>
          </w:tcPr>
          <w:p w14:paraId="3DAF82A8"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15</w:t>
            </w:r>
          </w:p>
        </w:tc>
        <w:tc>
          <w:tcPr>
            <w:tcW w:w="0" w:type="auto"/>
            <w:shd w:val="clear" w:color="auto" w:fill="FFFFFF"/>
            <w:tcMar>
              <w:top w:w="0" w:type="dxa"/>
              <w:left w:w="0" w:type="dxa"/>
              <w:bottom w:w="0" w:type="dxa"/>
              <w:right w:w="0" w:type="dxa"/>
            </w:tcMar>
          </w:tcPr>
          <w:p w14:paraId="11344CDD" w14:textId="77777777" w:rsidR="00D36263" w:rsidRDefault="00D36263" w:rsidP="00C5380D">
            <w:pPr>
              <w:spacing w:before="100" w:after="100"/>
              <w:ind w:left="100" w:right="100"/>
            </w:pPr>
            <w:r>
              <w:rPr>
                <w:rFonts w:ascii="DejaVu Sans" w:eastAsia="DejaVu Sans" w:hAnsi="DejaVu Sans" w:cs="DejaVu Sans"/>
                <w:color w:val="000000"/>
                <w:sz w:val="18"/>
                <w:szCs w:val="18"/>
              </w:rPr>
              <w:t>Report the dates of the estimated resource quantities and unit costs, plus the currency and year of conversion.</w:t>
            </w:r>
          </w:p>
        </w:tc>
        <w:tc>
          <w:tcPr>
            <w:tcW w:w="0" w:type="auto"/>
            <w:tcBorders>
              <w:right w:val="single" w:sz="8" w:space="0" w:color="000000"/>
            </w:tcBorders>
            <w:shd w:val="clear" w:color="auto" w:fill="FFFFFF"/>
            <w:tcMar>
              <w:top w:w="0" w:type="dxa"/>
              <w:left w:w="0" w:type="dxa"/>
              <w:bottom w:w="0" w:type="dxa"/>
              <w:right w:w="0" w:type="dxa"/>
            </w:tcMar>
          </w:tcPr>
          <w:p w14:paraId="1E7567FE"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outcomes</w:t>
            </w:r>
          </w:p>
        </w:tc>
      </w:tr>
      <w:tr w:rsidR="00D36263" w14:paraId="61D0CE49"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7A5FD865" w14:textId="77777777" w:rsidR="00D36263" w:rsidRDefault="00D36263" w:rsidP="00C5380D">
            <w:pPr>
              <w:spacing w:before="100" w:after="100"/>
              <w:ind w:left="100" w:right="100"/>
            </w:pPr>
            <w:r>
              <w:rPr>
                <w:rFonts w:ascii="DejaVu Sans" w:eastAsia="DejaVu Sans" w:hAnsi="DejaVu Sans" w:cs="DejaVu Sans"/>
                <w:b/>
                <w:color w:val="000000"/>
                <w:sz w:val="18"/>
                <w:szCs w:val="18"/>
              </w:rPr>
              <w:t>Rationale and description of model</w:t>
            </w:r>
          </w:p>
        </w:tc>
        <w:tc>
          <w:tcPr>
            <w:tcW w:w="0" w:type="auto"/>
            <w:shd w:val="clear" w:color="auto" w:fill="FFFFFF"/>
            <w:tcMar>
              <w:top w:w="0" w:type="dxa"/>
              <w:left w:w="0" w:type="dxa"/>
              <w:bottom w:w="0" w:type="dxa"/>
              <w:right w:w="0" w:type="dxa"/>
            </w:tcMar>
          </w:tcPr>
          <w:p w14:paraId="49FD98CC"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16</w:t>
            </w:r>
          </w:p>
        </w:tc>
        <w:tc>
          <w:tcPr>
            <w:tcW w:w="0" w:type="auto"/>
            <w:shd w:val="clear" w:color="auto" w:fill="FFFFFF"/>
            <w:tcMar>
              <w:top w:w="0" w:type="dxa"/>
              <w:left w:w="0" w:type="dxa"/>
              <w:bottom w:w="0" w:type="dxa"/>
              <w:right w:w="0" w:type="dxa"/>
            </w:tcMar>
          </w:tcPr>
          <w:p w14:paraId="20DB9890" w14:textId="77777777" w:rsidR="00D36263" w:rsidRDefault="00D36263" w:rsidP="00C5380D">
            <w:pPr>
              <w:spacing w:before="100" w:after="100"/>
              <w:ind w:left="100" w:right="100"/>
            </w:pPr>
            <w:r>
              <w:rPr>
                <w:rFonts w:ascii="DejaVu Sans" w:eastAsia="DejaVu Sans" w:hAnsi="DejaVu Sans" w:cs="DejaVu Sans"/>
                <w:color w:val="000000"/>
                <w:sz w:val="18"/>
                <w:szCs w:val="18"/>
              </w:rPr>
              <w:t>If modelling is used, describe in detail and why used. Report if the model is publicly available and where it can be accessed.</w:t>
            </w:r>
          </w:p>
        </w:tc>
        <w:tc>
          <w:tcPr>
            <w:tcW w:w="0" w:type="auto"/>
            <w:tcBorders>
              <w:right w:val="single" w:sz="8" w:space="0" w:color="000000"/>
            </w:tcBorders>
            <w:shd w:val="clear" w:color="auto" w:fill="FFFFFF"/>
            <w:tcMar>
              <w:top w:w="0" w:type="dxa"/>
              <w:left w:w="0" w:type="dxa"/>
              <w:bottom w:w="0" w:type="dxa"/>
              <w:right w:w="0" w:type="dxa"/>
            </w:tcMar>
          </w:tcPr>
          <w:p w14:paraId="2378869C"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simulation model</w:t>
            </w:r>
          </w:p>
        </w:tc>
      </w:tr>
      <w:tr w:rsidR="00D36263" w14:paraId="26BDF108"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2286A887" w14:textId="77777777" w:rsidR="00D36263" w:rsidRDefault="00D36263" w:rsidP="00C5380D">
            <w:pPr>
              <w:spacing w:before="100" w:after="100"/>
              <w:ind w:left="100" w:right="100"/>
            </w:pPr>
            <w:r>
              <w:rPr>
                <w:rFonts w:ascii="DejaVu Sans" w:eastAsia="DejaVu Sans" w:hAnsi="DejaVu Sans" w:cs="DejaVu Sans"/>
                <w:b/>
                <w:color w:val="000000"/>
                <w:sz w:val="18"/>
                <w:szCs w:val="18"/>
              </w:rPr>
              <w:t>Analytics and assumptions</w:t>
            </w:r>
          </w:p>
        </w:tc>
        <w:tc>
          <w:tcPr>
            <w:tcW w:w="0" w:type="auto"/>
            <w:shd w:val="clear" w:color="auto" w:fill="FFFFFF"/>
            <w:tcMar>
              <w:top w:w="0" w:type="dxa"/>
              <w:left w:w="0" w:type="dxa"/>
              <w:bottom w:w="0" w:type="dxa"/>
              <w:right w:w="0" w:type="dxa"/>
            </w:tcMar>
          </w:tcPr>
          <w:p w14:paraId="22FC0D00"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17</w:t>
            </w:r>
          </w:p>
        </w:tc>
        <w:tc>
          <w:tcPr>
            <w:tcW w:w="0" w:type="auto"/>
            <w:shd w:val="clear" w:color="auto" w:fill="FFFFFF"/>
            <w:tcMar>
              <w:top w:w="0" w:type="dxa"/>
              <w:left w:w="0" w:type="dxa"/>
              <w:bottom w:w="0" w:type="dxa"/>
              <w:right w:w="0" w:type="dxa"/>
            </w:tcMar>
          </w:tcPr>
          <w:p w14:paraId="3A8B7731" w14:textId="77777777" w:rsidR="00D36263" w:rsidRDefault="00D36263" w:rsidP="00C5380D">
            <w:pPr>
              <w:spacing w:before="100" w:after="100"/>
              <w:ind w:left="100" w:right="100"/>
            </w:pPr>
            <w:r>
              <w:rPr>
                <w:rFonts w:ascii="DejaVu Sans" w:eastAsia="DejaVu Sans" w:hAnsi="DejaVu Sans" w:cs="DejaVu Sans"/>
                <w:color w:val="000000"/>
                <w:sz w:val="18"/>
                <w:szCs w:val="18"/>
              </w:rPr>
              <w:t xml:space="preserve">Describe any methods for </w:t>
            </w:r>
            <w:proofErr w:type="spellStart"/>
            <w:r>
              <w:rPr>
                <w:rFonts w:ascii="DejaVu Sans" w:eastAsia="DejaVu Sans" w:hAnsi="DejaVu Sans" w:cs="DejaVu Sans"/>
                <w:color w:val="000000"/>
                <w:sz w:val="18"/>
                <w:szCs w:val="18"/>
              </w:rPr>
              <w:t>analysing</w:t>
            </w:r>
            <w:proofErr w:type="spellEnd"/>
            <w:r>
              <w:rPr>
                <w:rFonts w:ascii="DejaVu Sans" w:eastAsia="DejaVu Sans" w:hAnsi="DejaVu Sans" w:cs="DejaVu Sans"/>
                <w:color w:val="000000"/>
                <w:sz w:val="18"/>
                <w:szCs w:val="18"/>
              </w:rPr>
              <w:t xml:space="preserve"> or statistically transforming data, any extrapolation methods, and approaches for validating any model used.</w:t>
            </w:r>
          </w:p>
        </w:tc>
        <w:tc>
          <w:tcPr>
            <w:tcW w:w="0" w:type="auto"/>
            <w:tcBorders>
              <w:right w:val="single" w:sz="8" w:space="0" w:color="000000"/>
            </w:tcBorders>
            <w:shd w:val="clear" w:color="auto" w:fill="FFFFFF"/>
            <w:tcMar>
              <w:top w:w="0" w:type="dxa"/>
              <w:left w:w="0" w:type="dxa"/>
              <w:bottom w:w="0" w:type="dxa"/>
              <w:right w:w="0" w:type="dxa"/>
            </w:tcMar>
          </w:tcPr>
          <w:p w14:paraId="13686380"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simulation model</w:t>
            </w:r>
          </w:p>
        </w:tc>
      </w:tr>
      <w:tr w:rsidR="00D36263" w14:paraId="629E3149"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5FD476FA" w14:textId="77777777" w:rsidR="00D36263" w:rsidRDefault="00D36263" w:rsidP="00C5380D">
            <w:pPr>
              <w:spacing w:before="100" w:after="100"/>
              <w:ind w:left="100" w:right="100"/>
            </w:pPr>
            <w:proofErr w:type="spellStart"/>
            <w:r>
              <w:rPr>
                <w:rFonts w:ascii="DejaVu Sans" w:eastAsia="DejaVu Sans" w:hAnsi="DejaVu Sans" w:cs="DejaVu Sans"/>
                <w:b/>
                <w:color w:val="000000"/>
                <w:sz w:val="18"/>
                <w:szCs w:val="18"/>
              </w:rPr>
              <w:t>Characterising</w:t>
            </w:r>
            <w:proofErr w:type="spellEnd"/>
            <w:r>
              <w:rPr>
                <w:rFonts w:ascii="DejaVu Sans" w:eastAsia="DejaVu Sans" w:hAnsi="DejaVu Sans" w:cs="DejaVu Sans"/>
                <w:b/>
                <w:color w:val="000000"/>
                <w:sz w:val="18"/>
                <w:szCs w:val="18"/>
              </w:rPr>
              <w:t xml:space="preserve"> heterogeneity</w:t>
            </w:r>
          </w:p>
        </w:tc>
        <w:tc>
          <w:tcPr>
            <w:tcW w:w="0" w:type="auto"/>
            <w:shd w:val="clear" w:color="auto" w:fill="FFFFFF"/>
            <w:tcMar>
              <w:top w:w="0" w:type="dxa"/>
              <w:left w:w="0" w:type="dxa"/>
              <w:bottom w:w="0" w:type="dxa"/>
              <w:right w:w="0" w:type="dxa"/>
            </w:tcMar>
          </w:tcPr>
          <w:p w14:paraId="74E54210"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18</w:t>
            </w:r>
          </w:p>
        </w:tc>
        <w:tc>
          <w:tcPr>
            <w:tcW w:w="0" w:type="auto"/>
            <w:shd w:val="clear" w:color="auto" w:fill="FFFFFF"/>
            <w:tcMar>
              <w:top w:w="0" w:type="dxa"/>
              <w:left w:w="0" w:type="dxa"/>
              <w:bottom w:w="0" w:type="dxa"/>
              <w:right w:w="0" w:type="dxa"/>
            </w:tcMar>
          </w:tcPr>
          <w:p w14:paraId="1A245993"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any methods used for estimating how the results of the study vary for subgroups.</w:t>
            </w:r>
          </w:p>
        </w:tc>
        <w:tc>
          <w:tcPr>
            <w:tcW w:w="0" w:type="auto"/>
            <w:tcBorders>
              <w:right w:val="single" w:sz="8" w:space="0" w:color="000000"/>
            </w:tcBorders>
            <w:shd w:val="clear" w:color="auto" w:fill="FFFFFF"/>
            <w:tcMar>
              <w:top w:w="0" w:type="dxa"/>
              <w:left w:w="0" w:type="dxa"/>
              <w:bottom w:w="0" w:type="dxa"/>
              <w:right w:w="0" w:type="dxa"/>
            </w:tcMar>
          </w:tcPr>
          <w:p w14:paraId="7F8D165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Not Applicable</w:t>
            </w:r>
          </w:p>
        </w:tc>
      </w:tr>
      <w:tr w:rsidR="00D36263" w14:paraId="225DF281"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69D5B421" w14:textId="77777777" w:rsidR="00D36263" w:rsidRDefault="00D36263" w:rsidP="00C5380D">
            <w:pPr>
              <w:spacing w:before="100" w:after="100"/>
              <w:ind w:left="100" w:right="100"/>
            </w:pPr>
            <w:proofErr w:type="spellStart"/>
            <w:r>
              <w:rPr>
                <w:rFonts w:ascii="DejaVu Sans" w:eastAsia="DejaVu Sans" w:hAnsi="DejaVu Sans" w:cs="DejaVu Sans"/>
                <w:b/>
                <w:color w:val="000000"/>
                <w:sz w:val="18"/>
                <w:szCs w:val="18"/>
              </w:rPr>
              <w:t>Characterising</w:t>
            </w:r>
            <w:proofErr w:type="spellEnd"/>
            <w:r>
              <w:rPr>
                <w:rFonts w:ascii="DejaVu Sans" w:eastAsia="DejaVu Sans" w:hAnsi="DejaVu Sans" w:cs="DejaVu Sans"/>
                <w:b/>
                <w:color w:val="000000"/>
                <w:sz w:val="18"/>
                <w:szCs w:val="18"/>
              </w:rPr>
              <w:t xml:space="preserve"> distributional effects</w:t>
            </w:r>
          </w:p>
        </w:tc>
        <w:tc>
          <w:tcPr>
            <w:tcW w:w="0" w:type="auto"/>
            <w:shd w:val="clear" w:color="auto" w:fill="FFFFFF"/>
            <w:tcMar>
              <w:top w:w="0" w:type="dxa"/>
              <w:left w:w="0" w:type="dxa"/>
              <w:bottom w:w="0" w:type="dxa"/>
              <w:right w:w="0" w:type="dxa"/>
            </w:tcMar>
          </w:tcPr>
          <w:p w14:paraId="466C446F"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19</w:t>
            </w:r>
          </w:p>
        </w:tc>
        <w:tc>
          <w:tcPr>
            <w:tcW w:w="0" w:type="auto"/>
            <w:shd w:val="clear" w:color="auto" w:fill="FFFFFF"/>
            <w:tcMar>
              <w:top w:w="0" w:type="dxa"/>
              <w:left w:w="0" w:type="dxa"/>
              <w:bottom w:w="0" w:type="dxa"/>
              <w:right w:w="0" w:type="dxa"/>
            </w:tcMar>
          </w:tcPr>
          <w:p w14:paraId="428A261F"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how impacts are distributed across different individuals or adjustments made to reflect priority populations.</w:t>
            </w:r>
          </w:p>
        </w:tc>
        <w:tc>
          <w:tcPr>
            <w:tcW w:w="0" w:type="auto"/>
            <w:tcBorders>
              <w:right w:val="single" w:sz="8" w:space="0" w:color="000000"/>
            </w:tcBorders>
            <w:shd w:val="clear" w:color="auto" w:fill="FFFFFF"/>
            <w:tcMar>
              <w:top w:w="0" w:type="dxa"/>
              <w:left w:w="0" w:type="dxa"/>
              <w:bottom w:w="0" w:type="dxa"/>
              <w:right w:w="0" w:type="dxa"/>
            </w:tcMar>
          </w:tcPr>
          <w:p w14:paraId="48E55E4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Not Applicable</w:t>
            </w:r>
          </w:p>
        </w:tc>
      </w:tr>
      <w:tr w:rsidR="00D36263" w14:paraId="78EE933A"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092D0141" w14:textId="77777777" w:rsidR="00D36263" w:rsidRDefault="00D36263" w:rsidP="00C5380D">
            <w:pPr>
              <w:spacing w:before="100" w:after="100"/>
              <w:ind w:left="100" w:right="100"/>
            </w:pPr>
            <w:proofErr w:type="spellStart"/>
            <w:r>
              <w:rPr>
                <w:rFonts w:ascii="DejaVu Sans" w:eastAsia="DejaVu Sans" w:hAnsi="DejaVu Sans" w:cs="DejaVu Sans"/>
                <w:b/>
                <w:color w:val="000000"/>
                <w:sz w:val="18"/>
                <w:szCs w:val="18"/>
              </w:rPr>
              <w:t>Characterising</w:t>
            </w:r>
            <w:proofErr w:type="spellEnd"/>
            <w:r>
              <w:rPr>
                <w:rFonts w:ascii="DejaVu Sans" w:eastAsia="DejaVu Sans" w:hAnsi="DejaVu Sans" w:cs="DejaVu Sans"/>
                <w:b/>
                <w:color w:val="000000"/>
                <w:sz w:val="18"/>
                <w:szCs w:val="18"/>
              </w:rPr>
              <w:t xml:space="preserve"> uncertainty</w:t>
            </w:r>
          </w:p>
        </w:tc>
        <w:tc>
          <w:tcPr>
            <w:tcW w:w="0" w:type="auto"/>
            <w:shd w:val="clear" w:color="auto" w:fill="FFFFFF"/>
            <w:tcMar>
              <w:top w:w="0" w:type="dxa"/>
              <w:left w:w="0" w:type="dxa"/>
              <w:bottom w:w="0" w:type="dxa"/>
              <w:right w:w="0" w:type="dxa"/>
            </w:tcMar>
          </w:tcPr>
          <w:p w14:paraId="1E95CB8B"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20</w:t>
            </w:r>
          </w:p>
        </w:tc>
        <w:tc>
          <w:tcPr>
            <w:tcW w:w="0" w:type="auto"/>
            <w:shd w:val="clear" w:color="auto" w:fill="FFFFFF"/>
            <w:tcMar>
              <w:top w:w="0" w:type="dxa"/>
              <w:left w:w="0" w:type="dxa"/>
              <w:bottom w:w="0" w:type="dxa"/>
              <w:right w:w="0" w:type="dxa"/>
            </w:tcMar>
          </w:tcPr>
          <w:p w14:paraId="73AE5E6C" w14:textId="77777777" w:rsidR="00D36263" w:rsidRDefault="00D36263" w:rsidP="00C5380D">
            <w:pPr>
              <w:spacing w:before="100" w:after="100"/>
              <w:ind w:left="100" w:right="100"/>
            </w:pPr>
            <w:r>
              <w:rPr>
                <w:rFonts w:ascii="DejaVu Sans" w:eastAsia="DejaVu Sans" w:hAnsi="DejaVu Sans" w:cs="DejaVu Sans"/>
                <w:color w:val="000000"/>
                <w:sz w:val="18"/>
                <w:szCs w:val="18"/>
              </w:rPr>
              <w:t xml:space="preserve">Describe methods to </w:t>
            </w:r>
            <w:proofErr w:type="spellStart"/>
            <w:r>
              <w:rPr>
                <w:rFonts w:ascii="DejaVu Sans" w:eastAsia="DejaVu Sans" w:hAnsi="DejaVu Sans" w:cs="DejaVu Sans"/>
                <w:color w:val="000000"/>
                <w:sz w:val="18"/>
                <w:szCs w:val="18"/>
              </w:rPr>
              <w:t>characterise</w:t>
            </w:r>
            <w:proofErr w:type="spellEnd"/>
            <w:r>
              <w:rPr>
                <w:rFonts w:ascii="DejaVu Sans" w:eastAsia="DejaVu Sans" w:hAnsi="DejaVu Sans" w:cs="DejaVu Sans"/>
                <w:color w:val="000000"/>
                <w:sz w:val="18"/>
                <w:szCs w:val="18"/>
              </w:rPr>
              <w:t xml:space="preserve"> any sources of uncertainty in the analysis.</w:t>
            </w:r>
          </w:p>
        </w:tc>
        <w:tc>
          <w:tcPr>
            <w:tcW w:w="0" w:type="auto"/>
            <w:tcBorders>
              <w:right w:val="single" w:sz="8" w:space="0" w:color="000000"/>
            </w:tcBorders>
            <w:shd w:val="clear" w:color="auto" w:fill="FFFFFF"/>
            <w:tcMar>
              <w:top w:w="0" w:type="dxa"/>
              <w:left w:w="0" w:type="dxa"/>
              <w:bottom w:w="0" w:type="dxa"/>
              <w:right w:w="0" w:type="dxa"/>
            </w:tcMar>
          </w:tcPr>
          <w:p w14:paraId="036947A7"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Methods, Sensitivity Analyses</w:t>
            </w:r>
          </w:p>
        </w:tc>
      </w:tr>
      <w:tr w:rsidR="00D36263" w14:paraId="797CD081"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739315CC" w14:textId="77777777" w:rsidR="00D36263" w:rsidRDefault="00D36263" w:rsidP="00C5380D">
            <w:pPr>
              <w:spacing w:before="100" w:after="100"/>
              <w:ind w:left="100" w:right="100"/>
            </w:pPr>
            <w:r>
              <w:rPr>
                <w:rFonts w:ascii="DejaVu Sans" w:eastAsia="DejaVu Sans" w:hAnsi="DejaVu Sans" w:cs="DejaVu Sans"/>
                <w:b/>
                <w:color w:val="000000"/>
                <w:sz w:val="18"/>
                <w:szCs w:val="18"/>
              </w:rPr>
              <w:t>Approach to engagement with patients and others affected by the study</w:t>
            </w:r>
          </w:p>
        </w:tc>
        <w:tc>
          <w:tcPr>
            <w:tcW w:w="0" w:type="auto"/>
            <w:shd w:val="clear" w:color="auto" w:fill="FFFFFF"/>
            <w:tcMar>
              <w:top w:w="0" w:type="dxa"/>
              <w:left w:w="0" w:type="dxa"/>
              <w:bottom w:w="0" w:type="dxa"/>
              <w:right w:w="0" w:type="dxa"/>
            </w:tcMar>
          </w:tcPr>
          <w:p w14:paraId="6CB82B5E"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21</w:t>
            </w:r>
          </w:p>
        </w:tc>
        <w:tc>
          <w:tcPr>
            <w:tcW w:w="0" w:type="auto"/>
            <w:shd w:val="clear" w:color="auto" w:fill="FFFFFF"/>
            <w:tcMar>
              <w:top w:w="0" w:type="dxa"/>
              <w:left w:w="0" w:type="dxa"/>
              <w:bottom w:w="0" w:type="dxa"/>
              <w:right w:w="0" w:type="dxa"/>
            </w:tcMar>
          </w:tcPr>
          <w:p w14:paraId="7064A384" w14:textId="77777777" w:rsidR="00D36263" w:rsidRDefault="00D36263" w:rsidP="00C5380D">
            <w:pPr>
              <w:spacing w:before="100" w:after="100"/>
              <w:ind w:left="100" w:right="100"/>
            </w:pPr>
            <w:r>
              <w:rPr>
                <w:rFonts w:ascii="DejaVu Sans" w:eastAsia="DejaVu Sans" w:hAnsi="DejaVu Sans" w:cs="DejaVu Sans"/>
                <w:color w:val="000000"/>
                <w:sz w:val="18"/>
                <w:szCs w:val="18"/>
              </w:rPr>
              <w:t xml:space="preserve">Describe any approaches to engage patients or service recipients, the </w:t>
            </w:r>
            <w:proofErr w:type="gramStart"/>
            <w:r>
              <w:rPr>
                <w:rFonts w:ascii="DejaVu Sans" w:eastAsia="DejaVu Sans" w:hAnsi="DejaVu Sans" w:cs="DejaVu Sans"/>
                <w:color w:val="000000"/>
                <w:sz w:val="18"/>
                <w:szCs w:val="18"/>
              </w:rPr>
              <w:t>general public</w:t>
            </w:r>
            <w:proofErr w:type="gramEnd"/>
            <w:r>
              <w:rPr>
                <w:rFonts w:ascii="DejaVu Sans" w:eastAsia="DejaVu Sans" w:hAnsi="DejaVu Sans" w:cs="DejaVu Sans"/>
                <w:color w:val="000000"/>
                <w:sz w:val="18"/>
                <w:szCs w:val="18"/>
              </w:rPr>
              <w:t>, communities, or stakeholders (such as clinicians or payers) in the design of the study.</w:t>
            </w:r>
          </w:p>
        </w:tc>
        <w:tc>
          <w:tcPr>
            <w:tcW w:w="0" w:type="auto"/>
            <w:tcBorders>
              <w:right w:val="single" w:sz="8" w:space="0" w:color="000000"/>
            </w:tcBorders>
            <w:shd w:val="clear" w:color="auto" w:fill="FFFFFF"/>
            <w:tcMar>
              <w:top w:w="0" w:type="dxa"/>
              <w:left w:w="0" w:type="dxa"/>
              <w:bottom w:w="0" w:type="dxa"/>
              <w:right w:w="0" w:type="dxa"/>
            </w:tcMar>
          </w:tcPr>
          <w:p w14:paraId="5FE1EE38"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Not Applicable</w:t>
            </w:r>
          </w:p>
        </w:tc>
      </w:tr>
      <w:tr w:rsidR="00D36263" w14:paraId="38121327" w14:textId="77777777" w:rsidTr="00C5380D">
        <w:trPr>
          <w:cantSplit/>
          <w:jc w:val="center"/>
        </w:trPr>
        <w:tc>
          <w:tcPr>
            <w:tcW w:w="0" w:type="auto"/>
            <w:tcBorders>
              <w:left w:val="single" w:sz="8" w:space="0" w:color="000000"/>
            </w:tcBorders>
            <w:shd w:val="clear" w:color="auto" w:fill="FFFFCC"/>
            <w:tcMar>
              <w:top w:w="0" w:type="dxa"/>
              <w:left w:w="0" w:type="dxa"/>
              <w:bottom w:w="0" w:type="dxa"/>
              <w:right w:w="0" w:type="dxa"/>
            </w:tcMar>
          </w:tcPr>
          <w:p w14:paraId="4457CFDC" w14:textId="77777777" w:rsidR="00D36263" w:rsidRDefault="00D36263" w:rsidP="00C5380D">
            <w:pPr>
              <w:spacing w:before="100" w:after="100"/>
              <w:ind w:left="100" w:right="100"/>
            </w:pPr>
            <w:r>
              <w:rPr>
                <w:rFonts w:ascii="DejaVu Sans" w:eastAsia="DejaVu Sans" w:hAnsi="DejaVu Sans" w:cs="DejaVu Sans"/>
                <w:b/>
                <w:color w:val="000000"/>
                <w:sz w:val="18"/>
                <w:szCs w:val="18"/>
              </w:rPr>
              <w:t>Results</w:t>
            </w:r>
          </w:p>
        </w:tc>
        <w:tc>
          <w:tcPr>
            <w:tcW w:w="0" w:type="auto"/>
            <w:shd w:val="clear" w:color="auto" w:fill="FFFFCC"/>
            <w:tcMar>
              <w:top w:w="0" w:type="dxa"/>
              <w:left w:w="0" w:type="dxa"/>
              <w:bottom w:w="0" w:type="dxa"/>
              <w:right w:w="0" w:type="dxa"/>
            </w:tcMar>
          </w:tcPr>
          <w:p w14:paraId="77CE1372" w14:textId="77777777" w:rsidR="00D36263" w:rsidRDefault="00D36263" w:rsidP="00C5380D">
            <w:pPr>
              <w:spacing w:before="100" w:after="100"/>
              <w:ind w:left="100" w:right="100"/>
              <w:jc w:val="center"/>
            </w:pPr>
          </w:p>
        </w:tc>
        <w:tc>
          <w:tcPr>
            <w:tcW w:w="0" w:type="auto"/>
            <w:shd w:val="clear" w:color="auto" w:fill="FFFFCC"/>
            <w:tcMar>
              <w:top w:w="0" w:type="dxa"/>
              <w:left w:w="0" w:type="dxa"/>
              <w:bottom w:w="0" w:type="dxa"/>
              <w:right w:w="0" w:type="dxa"/>
            </w:tcMar>
          </w:tcPr>
          <w:p w14:paraId="37CCE52A" w14:textId="77777777" w:rsidR="00D36263" w:rsidRDefault="00D36263" w:rsidP="00C5380D">
            <w:pPr>
              <w:spacing w:before="100" w:after="100"/>
              <w:ind w:left="100" w:right="100"/>
            </w:pPr>
          </w:p>
        </w:tc>
        <w:tc>
          <w:tcPr>
            <w:tcW w:w="0" w:type="auto"/>
            <w:tcBorders>
              <w:right w:val="single" w:sz="8" w:space="0" w:color="000000"/>
            </w:tcBorders>
            <w:shd w:val="clear" w:color="auto" w:fill="FFFFCC"/>
            <w:tcMar>
              <w:top w:w="0" w:type="dxa"/>
              <w:left w:w="0" w:type="dxa"/>
              <w:bottom w:w="0" w:type="dxa"/>
              <w:right w:w="0" w:type="dxa"/>
            </w:tcMar>
          </w:tcPr>
          <w:p w14:paraId="4A80538D" w14:textId="77777777" w:rsidR="00D36263" w:rsidRDefault="00D36263" w:rsidP="00C5380D">
            <w:pPr>
              <w:spacing w:before="100" w:after="100"/>
              <w:ind w:left="100" w:right="100"/>
              <w:jc w:val="center"/>
            </w:pPr>
          </w:p>
        </w:tc>
      </w:tr>
      <w:tr w:rsidR="00D36263" w14:paraId="068B3B70"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28758B39" w14:textId="77777777" w:rsidR="00D36263" w:rsidRDefault="00D36263" w:rsidP="00C5380D">
            <w:pPr>
              <w:spacing w:before="100" w:after="100"/>
              <w:ind w:left="100" w:right="100"/>
            </w:pPr>
            <w:r>
              <w:rPr>
                <w:rFonts w:ascii="DejaVu Sans" w:eastAsia="DejaVu Sans" w:hAnsi="DejaVu Sans" w:cs="DejaVu Sans"/>
                <w:b/>
                <w:color w:val="000000"/>
                <w:sz w:val="18"/>
                <w:szCs w:val="18"/>
              </w:rPr>
              <w:t>Study parameters</w:t>
            </w:r>
          </w:p>
        </w:tc>
        <w:tc>
          <w:tcPr>
            <w:tcW w:w="0" w:type="auto"/>
            <w:shd w:val="clear" w:color="auto" w:fill="FFFFFF"/>
            <w:tcMar>
              <w:top w:w="0" w:type="dxa"/>
              <w:left w:w="0" w:type="dxa"/>
              <w:bottom w:w="0" w:type="dxa"/>
              <w:right w:w="0" w:type="dxa"/>
            </w:tcMar>
          </w:tcPr>
          <w:p w14:paraId="406ACB3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22</w:t>
            </w:r>
          </w:p>
        </w:tc>
        <w:tc>
          <w:tcPr>
            <w:tcW w:w="0" w:type="auto"/>
            <w:shd w:val="clear" w:color="auto" w:fill="FFFFFF"/>
            <w:tcMar>
              <w:top w:w="0" w:type="dxa"/>
              <w:left w:w="0" w:type="dxa"/>
              <w:bottom w:w="0" w:type="dxa"/>
              <w:right w:w="0" w:type="dxa"/>
            </w:tcMar>
          </w:tcPr>
          <w:p w14:paraId="5C020D90" w14:textId="77777777" w:rsidR="00D36263" w:rsidRDefault="00D36263" w:rsidP="00C5380D">
            <w:pPr>
              <w:spacing w:before="100" w:after="100"/>
              <w:ind w:left="100" w:right="100"/>
            </w:pPr>
            <w:r>
              <w:rPr>
                <w:rFonts w:ascii="DejaVu Sans" w:eastAsia="DejaVu Sans" w:hAnsi="DejaVu Sans" w:cs="DejaVu Sans"/>
                <w:color w:val="000000"/>
                <w:sz w:val="18"/>
                <w:szCs w:val="18"/>
              </w:rPr>
              <w:t>Report all analytic inputs (such as values, ranges, references) including uncertainty or distributional assumptions.</w:t>
            </w:r>
          </w:p>
        </w:tc>
        <w:tc>
          <w:tcPr>
            <w:tcW w:w="0" w:type="auto"/>
            <w:tcBorders>
              <w:right w:val="single" w:sz="8" w:space="0" w:color="000000"/>
            </w:tcBorders>
            <w:shd w:val="clear" w:color="auto" w:fill="FFFFFF"/>
            <w:tcMar>
              <w:top w:w="0" w:type="dxa"/>
              <w:left w:w="0" w:type="dxa"/>
              <w:bottom w:w="0" w:type="dxa"/>
              <w:right w:w="0" w:type="dxa"/>
            </w:tcMar>
          </w:tcPr>
          <w:p w14:paraId="55CF2354"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Tables and exhibits; Table 1</w:t>
            </w:r>
          </w:p>
        </w:tc>
      </w:tr>
      <w:tr w:rsidR="00D36263" w14:paraId="42FE432D"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2673FD13" w14:textId="77777777" w:rsidR="00D36263" w:rsidRDefault="00D36263" w:rsidP="00C5380D">
            <w:pPr>
              <w:spacing w:before="100" w:after="100"/>
              <w:ind w:left="100" w:right="100"/>
            </w:pPr>
            <w:r>
              <w:rPr>
                <w:rFonts w:ascii="DejaVu Sans" w:eastAsia="DejaVu Sans" w:hAnsi="DejaVu Sans" w:cs="DejaVu Sans"/>
                <w:b/>
                <w:color w:val="000000"/>
                <w:sz w:val="18"/>
                <w:szCs w:val="18"/>
              </w:rPr>
              <w:lastRenderedPageBreak/>
              <w:t>Summary of main results</w:t>
            </w:r>
          </w:p>
        </w:tc>
        <w:tc>
          <w:tcPr>
            <w:tcW w:w="0" w:type="auto"/>
            <w:shd w:val="clear" w:color="auto" w:fill="FFFFFF"/>
            <w:tcMar>
              <w:top w:w="0" w:type="dxa"/>
              <w:left w:w="0" w:type="dxa"/>
              <w:bottom w:w="0" w:type="dxa"/>
              <w:right w:w="0" w:type="dxa"/>
            </w:tcMar>
          </w:tcPr>
          <w:p w14:paraId="4AC07D05"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23</w:t>
            </w:r>
          </w:p>
        </w:tc>
        <w:tc>
          <w:tcPr>
            <w:tcW w:w="0" w:type="auto"/>
            <w:shd w:val="clear" w:color="auto" w:fill="FFFFFF"/>
            <w:tcMar>
              <w:top w:w="0" w:type="dxa"/>
              <w:left w:w="0" w:type="dxa"/>
              <w:bottom w:w="0" w:type="dxa"/>
              <w:right w:w="0" w:type="dxa"/>
            </w:tcMar>
          </w:tcPr>
          <w:p w14:paraId="55890EB8" w14:textId="77777777" w:rsidR="00D36263" w:rsidRDefault="00D36263" w:rsidP="00C5380D">
            <w:pPr>
              <w:spacing w:before="100" w:after="100"/>
              <w:ind w:left="100" w:right="100"/>
            </w:pPr>
            <w:r>
              <w:rPr>
                <w:rFonts w:ascii="DejaVu Sans" w:eastAsia="DejaVu Sans" w:hAnsi="DejaVu Sans" w:cs="DejaVu Sans"/>
                <w:color w:val="000000"/>
                <w:sz w:val="18"/>
                <w:szCs w:val="18"/>
              </w:rPr>
              <w:t xml:space="preserve">Report the mean values for the main categories of costs and outcomes of interest and </w:t>
            </w:r>
            <w:proofErr w:type="spellStart"/>
            <w:r>
              <w:rPr>
                <w:rFonts w:ascii="DejaVu Sans" w:eastAsia="DejaVu Sans" w:hAnsi="DejaVu Sans" w:cs="DejaVu Sans"/>
                <w:color w:val="000000"/>
                <w:sz w:val="18"/>
                <w:szCs w:val="18"/>
              </w:rPr>
              <w:t>summarise</w:t>
            </w:r>
            <w:proofErr w:type="spellEnd"/>
            <w:r>
              <w:rPr>
                <w:rFonts w:ascii="DejaVu Sans" w:eastAsia="DejaVu Sans" w:hAnsi="DejaVu Sans" w:cs="DejaVu Sans"/>
                <w:color w:val="000000"/>
                <w:sz w:val="18"/>
                <w:szCs w:val="18"/>
              </w:rPr>
              <w:t xml:space="preserve"> them in the most appropriate overall measure.</w:t>
            </w:r>
          </w:p>
        </w:tc>
        <w:tc>
          <w:tcPr>
            <w:tcW w:w="0" w:type="auto"/>
            <w:tcBorders>
              <w:right w:val="single" w:sz="8" w:space="0" w:color="000000"/>
            </w:tcBorders>
            <w:shd w:val="clear" w:color="auto" w:fill="FFFFFF"/>
            <w:tcMar>
              <w:top w:w="0" w:type="dxa"/>
              <w:left w:w="0" w:type="dxa"/>
              <w:bottom w:w="0" w:type="dxa"/>
              <w:right w:w="0" w:type="dxa"/>
            </w:tcMar>
          </w:tcPr>
          <w:p w14:paraId="060683E3"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Results, paragraph 1-2</w:t>
            </w:r>
          </w:p>
        </w:tc>
      </w:tr>
      <w:tr w:rsidR="00D36263" w14:paraId="16DAFDCF"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2F63F987" w14:textId="77777777" w:rsidR="00D36263" w:rsidRDefault="00D36263" w:rsidP="00C5380D">
            <w:pPr>
              <w:spacing w:before="100" w:after="100"/>
              <w:ind w:left="100" w:right="100"/>
            </w:pPr>
            <w:r>
              <w:rPr>
                <w:rFonts w:ascii="DejaVu Sans" w:eastAsia="DejaVu Sans" w:hAnsi="DejaVu Sans" w:cs="DejaVu Sans"/>
                <w:b/>
                <w:color w:val="000000"/>
                <w:sz w:val="18"/>
                <w:szCs w:val="18"/>
              </w:rPr>
              <w:t>Effect of uncertainty</w:t>
            </w:r>
          </w:p>
        </w:tc>
        <w:tc>
          <w:tcPr>
            <w:tcW w:w="0" w:type="auto"/>
            <w:shd w:val="clear" w:color="auto" w:fill="FFFFFF"/>
            <w:tcMar>
              <w:top w:w="0" w:type="dxa"/>
              <w:left w:w="0" w:type="dxa"/>
              <w:bottom w:w="0" w:type="dxa"/>
              <w:right w:w="0" w:type="dxa"/>
            </w:tcMar>
          </w:tcPr>
          <w:p w14:paraId="29688444"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24</w:t>
            </w:r>
          </w:p>
        </w:tc>
        <w:tc>
          <w:tcPr>
            <w:tcW w:w="0" w:type="auto"/>
            <w:shd w:val="clear" w:color="auto" w:fill="FFFFFF"/>
            <w:tcMar>
              <w:top w:w="0" w:type="dxa"/>
              <w:left w:w="0" w:type="dxa"/>
              <w:bottom w:w="0" w:type="dxa"/>
              <w:right w:w="0" w:type="dxa"/>
            </w:tcMar>
          </w:tcPr>
          <w:p w14:paraId="29A6DE79"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how uncertainty about analytic judgments, inputs, or projections affect findings. Report the effect of choice of discount rate and time horizon, if applicable.</w:t>
            </w:r>
          </w:p>
        </w:tc>
        <w:tc>
          <w:tcPr>
            <w:tcW w:w="0" w:type="auto"/>
            <w:tcBorders>
              <w:right w:val="single" w:sz="8" w:space="0" w:color="000000"/>
            </w:tcBorders>
            <w:shd w:val="clear" w:color="auto" w:fill="FFFFFF"/>
            <w:tcMar>
              <w:top w:w="0" w:type="dxa"/>
              <w:left w:w="0" w:type="dxa"/>
              <w:bottom w:w="0" w:type="dxa"/>
              <w:right w:w="0" w:type="dxa"/>
            </w:tcMar>
          </w:tcPr>
          <w:p w14:paraId="01B1A386"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Results, paragraph 3-4</w:t>
            </w:r>
          </w:p>
        </w:tc>
      </w:tr>
      <w:tr w:rsidR="00D36263" w14:paraId="4BFF06F8"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6A47B588" w14:textId="77777777" w:rsidR="00D36263" w:rsidRDefault="00D36263" w:rsidP="00C5380D">
            <w:pPr>
              <w:spacing w:before="100" w:after="100"/>
              <w:ind w:left="100" w:right="100"/>
            </w:pPr>
            <w:r>
              <w:rPr>
                <w:rFonts w:ascii="DejaVu Sans" w:eastAsia="DejaVu Sans" w:hAnsi="DejaVu Sans" w:cs="DejaVu Sans"/>
                <w:b/>
                <w:color w:val="000000"/>
                <w:sz w:val="18"/>
                <w:szCs w:val="18"/>
              </w:rPr>
              <w:t>Effect of engagement with patients and others affected by the study</w:t>
            </w:r>
          </w:p>
        </w:tc>
        <w:tc>
          <w:tcPr>
            <w:tcW w:w="0" w:type="auto"/>
            <w:shd w:val="clear" w:color="auto" w:fill="FFFFFF"/>
            <w:tcMar>
              <w:top w:w="0" w:type="dxa"/>
              <w:left w:w="0" w:type="dxa"/>
              <w:bottom w:w="0" w:type="dxa"/>
              <w:right w:w="0" w:type="dxa"/>
            </w:tcMar>
          </w:tcPr>
          <w:p w14:paraId="5C0C1040"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25</w:t>
            </w:r>
          </w:p>
        </w:tc>
        <w:tc>
          <w:tcPr>
            <w:tcW w:w="0" w:type="auto"/>
            <w:shd w:val="clear" w:color="auto" w:fill="FFFFFF"/>
            <w:tcMar>
              <w:top w:w="0" w:type="dxa"/>
              <w:left w:w="0" w:type="dxa"/>
              <w:bottom w:w="0" w:type="dxa"/>
              <w:right w:w="0" w:type="dxa"/>
            </w:tcMar>
          </w:tcPr>
          <w:p w14:paraId="55D84C07" w14:textId="77777777" w:rsidR="00D36263" w:rsidRDefault="00D36263" w:rsidP="00C5380D">
            <w:pPr>
              <w:spacing w:before="100" w:after="100"/>
              <w:ind w:left="100" w:right="100"/>
            </w:pPr>
            <w:r>
              <w:rPr>
                <w:rFonts w:ascii="DejaVu Sans" w:eastAsia="DejaVu Sans" w:hAnsi="DejaVu Sans" w:cs="DejaVu Sans"/>
                <w:color w:val="000000"/>
                <w:sz w:val="18"/>
                <w:szCs w:val="18"/>
              </w:rPr>
              <w:t xml:space="preserve">Report on any difference patient/service recipient, </w:t>
            </w:r>
            <w:proofErr w:type="gramStart"/>
            <w:r>
              <w:rPr>
                <w:rFonts w:ascii="DejaVu Sans" w:eastAsia="DejaVu Sans" w:hAnsi="DejaVu Sans" w:cs="DejaVu Sans"/>
                <w:color w:val="000000"/>
                <w:sz w:val="18"/>
                <w:szCs w:val="18"/>
              </w:rPr>
              <w:t>general public</w:t>
            </w:r>
            <w:proofErr w:type="gramEnd"/>
            <w:r>
              <w:rPr>
                <w:rFonts w:ascii="DejaVu Sans" w:eastAsia="DejaVu Sans" w:hAnsi="DejaVu Sans" w:cs="DejaVu Sans"/>
                <w:color w:val="000000"/>
                <w:sz w:val="18"/>
                <w:szCs w:val="18"/>
              </w:rPr>
              <w:t>, community, or stakeholder involvement made to the approach or findings of the study</w:t>
            </w:r>
          </w:p>
        </w:tc>
        <w:tc>
          <w:tcPr>
            <w:tcW w:w="0" w:type="auto"/>
            <w:tcBorders>
              <w:right w:val="single" w:sz="8" w:space="0" w:color="000000"/>
            </w:tcBorders>
            <w:shd w:val="clear" w:color="auto" w:fill="FFFFFF"/>
            <w:tcMar>
              <w:top w:w="0" w:type="dxa"/>
              <w:left w:w="0" w:type="dxa"/>
              <w:bottom w:w="0" w:type="dxa"/>
              <w:right w:w="0" w:type="dxa"/>
            </w:tcMar>
          </w:tcPr>
          <w:p w14:paraId="65E98E25"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Not Applicable</w:t>
            </w:r>
          </w:p>
        </w:tc>
      </w:tr>
      <w:tr w:rsidR="00D36263" w14:paraId="2A343C11" w14:textId="77777777" w:rsidTr="00C5380D">
        <w:trPr>
          <w:cantSplit/>
          <w:jc w:val="center"/>
        </w:trPr>
        <w:tc>
          <w:tcPr>
            <w:tcW w:w="0" w:type="auto"/>
            <w:tcBorders>
              <w:left w:val="single" w:sz="8" w:space="0" w:color="000000"/>
            </w:tcBorders>
            <w:shd w:val="clear" w:color="auto" w:fill="FFFFCC"/>
            <w:tcMar>
              <w:top w:w="0" w:type="dxa"/>
              <w:left w:w="0" w:type="dxa"/>
              <w:bottom w:w="0" w:type="dxa"/>
              <w:right w:w="0" w:type="dxa"/>
            </w:tcMar>
          </w:tcPr>
          <w:p w14:paraId="11BB36A8" w14:textId="77777777" w:rsidR="00D36263" w:rsidRDefault="00D36263" w:rsidP="00C5380D">
            <w:pPr>
              <w:spacing w:before="100" w:after="100"/>
              <w:ind w:left="100" w:right="100"/>
            </w:pPr>
            <w:r>
              <w:rPr>
                <w:rFonts w:ascii="DejaVu Sans" w:eastAsia="DejaVu Sans" w:hAnsi="DejaVu Sans" w:cs="DejaVu Sans"/>
                <w:b/>
                <w:color w:val="000000"/>
                <w:sz w:val="18"/>
                <w:szCs w:val="18"/>
              </w:rPr>
              <w:t>Discussion</w:t>
            </w:r>
          </w:p>
        </w:tc>
        <w:tc>
          <w:tcPr>
            <w:tcW w:w="0" w:type="auto"/>
            <w:shd w:val="clear" w:color="auto" w:fill="FFFFCC"/>
            <w:tcMar>
              <w:top w:w="0" w:type="dxa"/>
              <w:left w:w="0" w:type="dxa"/>
              <w:bottom w:w="0" w:type="dxa"/>
              <w:right w:w="0" w:type="dxa"/>
            </w:tcMar>
          </w:tcPr>
          <w:p w14:paraId="562C8759" w14:textId="77777777" w:rsidR="00D36263" w:rsidRDefault="00D36263" w:rsidP="00C5380D">
            <w:pPr>
              <w:spacing w:before="100" w:after="100"/>
              <w:ind w:left="100" w:right="100"/>
              <w:jc w:val="center"/>
            </w:pPr>
          </w:p>
        </w:tc>
        <w:tc>
          <w:tcPr>
            <w:tcW w:w="0" w:type="auto"/>
            <w:shd w:val="clear" w:color="auto" w:fill="FFFFCC"/>
            <w:tcMar>
              <w:top w:w="0" w:type="dxa"/>
              <w:left w:w="0" w:type="dxa"/>
              <w:bottom w:w="0" w:type="dxa"/>
              <w:right w:w="0" w:type="dxa"/>
            </w:tcMar>
          </w:tcPr>
          <w:p w14:paraId="055143A4" w14:textId="77777777" w:rsidR="00D36263" w:rsidRDefault="00D36263" w:rsidP="00C5380D">
            <w:pPr>
              <w:spacing w:before="100" w:after="100"/>
              <w:ind w:left="100" w:right="100"/>
            </w:pPr>
          </w:p>
        </w:tc>
        <w:tc>
          <w:tcPr>
            <w:tcW w:w="0" w:type="auto"/>
            <w:tcBorders>
              <w:right w:val="single" w:sz="8" w:space="0" w:color="000000"/>
            </w:tcBorders>
            <w:shd w:val="clear" w:color="auto" w:fill="FFFFCC"/>
            <w:tcMar>
              <w:top w:w="0" w:type="dxa"/>
              <w:left w:w="0" w:type="dxa"/>
              <w:bottom w:w="0" w:type="dxa"/>
              <w:right w:w="0" w:type="dxa"/>
            </w:tcMar>
          </w:tcPr>
          <w:p w14:paraId="199CAA0C" w14:textId="77777777" w:rsidR="00D36263" w:rsidRDefault="00D36263" w:rsidP="00C5380D">
            <w:pPr>
              <w:spacing w:before="100" w:after="100"/>
              <w:ind w:left="100" w:right="100"/>
              <w:jc w:val="center"/>
            </w:pPr>
          </w:p>
        </w:tc>
      </w:tr>
      <w:tr w:rsidR="00D36263" w14:paraId="1EC7F054"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30F12A60" w14:textId="77777777" w:rsidR="00D36263" w:rsidRDefault="00D36263" w:rsidP="00C5380D">
            <w:pPr>
              <w:spacing w:before="100" w:after="100"/>
              <w:ind w:left="100" w:right="100"/>
            </w:pPr>
            <w:r>
              <w:rPr>
                <w:rFonts w:ascii="DejaVu Sans" w:eastAsia="DejaVu Sans" w:hAnsi="DejaVu Sans" w:cs="DejaVu Sans"/>
                <w:b/>
                <w:color w:val="000000"/>
                <w:sz w:val="18"/>
                <w:szCs w:val="18"/>
              </w:rPr>
              <w:t xml:space="preserve">Study findings, limitations, </w:t>
            </w:r>
            <w:proofErr w:type="spellStart"/>
            <w:r>
              <w:rPr>
                <w:rFonts w:ascii="DejaVu Sans" w:eastAsia="DejaVu Sans" w:hAnsi="DejaVu Sans" w:cs="DejaVu Sans"/>
                <w:b/>
                <w:color w:val="000000"/>
                <w:sz w:val="18"/>
                <w:szCs w:val="18"/>
              </w:rPr>
              <w:t>generalisability</w:t>
            </w:r>
            <w:proofErr w:type="spellEnd"/>
            <w:r>
              <w:rPr>
                <w:rFonts w:ascii="DejaVu Sans" w:eastAsia="DejaVu Sans" w:hAnsi="DejaVu Sans" w:cs="DejaVu Sans"/>
                <w:b/>
                <w:color w:val="000000"/>
                <w:sz w:val="18"/>
                <w:szCs w:val="18"/>
              </w:rPr>
              <w:t>, and current knowledge</w:t>
            </w:r>
          </w:p>
        </w:tc>
        <w:tc>
          <w:tcPr>
            <w:tcW w:w="0" w:type="auto"/>
            <w:shd w:val="clear" w:color="auto" w:fill="FFFFFF"/>
            <w:tcMar>
              <w:top w:w="0" w:type="dxa"/>
              <w:left w:w="0" w:type="dxa"/>
              <w:bottom w:w="0" w:type="dxa"/>
              <w:right w:w="0" w:type="dxa"/>
            </w:tcMar>
          </w:tcPr>
          <w:p w14:paraId="2EF36251"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26</w:t>
            </w:r>
          </w:p>
        </w:tc>
        <w:tc>
          <w:tcPr>
            <w:tcW w:w="0" w:type="auto"/>
            <w:shd w:val="clear" w:color="auto" w:fill="FFFFFF"/>
            <w:tcMar>
              <w:top w:w="0" w:type="dxa"/>
              <w:left w:w="0" w:type="dxa"/>
              <w:bottom w:w="0" w:type="dxa"/>
              <w:right w:w="0" w:type="dxa"/>
            </w:tcMar>
          </w:tcPr>
          <w:p w14:paraId="4A0F952B" w14:textId="77777777" w:rsidR="00D36263" w:rsidRDefault="00D36263" w:rsidP="00C5380D">
            <w:pPr>
              <w:spacing w:before="100" w:after="100"/>
              <w:ind w:left="100" w:right="100"/>
            </w:pPr>
            <w:r>
              <w:rPr>
                <w:rFonts w:ascii="DejaVu Sans" w:eastAsia="DejaVu Sans" w:hAnsi="DejaVu Sans" w:cs="DejaVu Sans"/>
                <w:color w:val="000000"/>
                <w:sz w:val="18"/>
                <w:szCs w:val="18"/>
              </w:rPr>
              <w:t>Report key findings, limitations, ethical or equity considerations not captured, and how these could affect patients, policy, or practice.</w:t>
            </w:r>
          </w:p>
        </w:tc>
        <w:tc>
          <w:tcPr>
            <w:tcW w:w="0" w:type="auto"/>
            <w:tcBorders>
              <w:right w:val="single" w:sz="8" w:space="0" w:color="000000"/>
            </w:tcBorders>
            <w:shd w:val="clear" w:color="auto" w:fill="FFFFFF"/>
            <w:tcMar>
              <w:top w:w="0" w:type="dxa"/>
              <w:left w:w="0" w:type="dxa"/>
              <w:bottom w:w="0" w:type="dxa"/>
              <w:right w:w="0" w:type="dxa"/>
            </w:tcMar>
          </w:tcPr>
          <w:p w14:paraId="52DA60FF"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Discussion</w:t>
            </w:r>
          </w:p>
        </w:tc>
      </w:tr>
      <w:tr w:rsidR="00D36263" w14:paraId="7B751206" w14:textId="77777777" w:rsidTr="00C5380D">
        <w:trPr>
          <w:cantSplit/>
          <w:jc w:val="center"/>
        </w:trPr>
        <w:tc>
          <w:tcPr>
            <w:tcW w:w="0" w:type="auto"/>
            <w:tcBorders>
              <w:left w:val="single" w:sz="8" w:space="0" w:color="000000"/>
            </w:tcBorders>
            <w:shd w:val="clear" w:color="auto" w:fill="FFFFCC"/>
            <w:tcMar>
              <w:top w:w="0" w:type="dxa"/>
              <w:left w:w="0" w:type="dxa"/>
              <w:bottom w:w="0" w:type="dxa"/>
              <w:right w:w="0" w:type="dxa"/>
            </w:tcMar>
          </w:tcPr>
          <w:p w14:paraId="775B8A3F" w14:textId="77777777" w:rsidR="00D36263" w:rsidRDefault="00D36263" w:rsidP="00C5380D">
            <w:pPr>
              <w:spacing w:before="100" w:after="100"/>
              <w:ind w:left="100" w:right="100"/>
            </w:pPr>
            <w:r>
              <w:rPr>
                <w:rFonts w:ascii="DejaVu Sans" w:eastAsia="DejaVu Sans" w:hAnsi="DejaVu Sans" w:cs="DejaVu Sans"/>
                <w:b/>
                <w:color w:val="000000"/>
                <w:sz w:val="18"/>
                <w:szCs w:val="18"/>
              </w:rPr>
              <w:t>Other relevant information</w:t>
            </w:r>
          </w:p>
        </w:tc>
        <w:tc>
          <w:tcPr>
            <w:tcW w:w="0" w:type="auto"/>
            <w:shd w:val="clear" w:color="auto" w:fill="FFFFCC"/>
            <w:tcMar>
              <w:top w:w="0" w:type="dxa"/>
              <w:left w:w="0" w:type="dxa"/>
              <w:bottom w:w="0" w:type="dxa"/>
              <w:right w:w="0" w:type="dxa"/>
            </w:tcMar>
          </w:tcPr>
          <w:p w14:paraId="0DD39AE3" w14:textId="77777777" w:rsidR="00D36263" w:rsidRDefault="00D36263" w:rsidP="00C5380D">
            <w:pPr>
              <w:spacing w:before="100" w:after="100"/>
              <w:ind w:left="100" w:right="100"/>
              <w:jc w:val="center"/>
            </w:pPr>
          </w:p>
        </w:tc>
        <w:tc>
          <w:tcPr>
            <w:tcW w:w="0" w:type="auto"/>
            <w:shd w:val="clear" w:color="auto" w:fill="FFFFCC"/>
            <w:tcMar>
              <w:top w:w="0" w:type="dxa"/>
              <w:left w:w="0" w:type="dxa"/>
              <w:bottom w:w="0" w:type="dxa"/>
              <w:right w:w="0" w:type="dxa"/>
            </w:tcMar>
          </w:tcPr>
          <w:p w14:paraId="09E99DA8" w14:textId="77777777" w:rsidR="00D36263" w:rsidRDefault="00D36263" w:rsidP="00C5380D">
            <w:pPr>
              <w:spacing w:before="100" w:after="100"/>
              <w:ind w:left="100" w:right="100"/>
            </w:pPr>
          </w:p>
        </w:tc>
        <w:tc>
          <w:tcPr>
            <w:tcW w:w="0" w:type="auto"/>
            <w:tcBorders>
              <w:right w:val="single" w:sz="8" w:space="0" w:color="000000"/>
            </w:tcBorders>
            <w:shd w:val="clear" w:color="auto" w:fill="FFFFCC"/>
            <w:tcMar>
              <w:top w:w="0" w:type="dxa"/>
              <w:left w:w="0" w:type="dxa"/>
              <w:bottom w:w="0" w:type="dxa"/>
              <w:right w:w="0" w:type="dxa"/>
            </w:tcMar>
          </w:tcPr>
          <w:p w14:paraId="6251E96E" w14:textId="77777777" w:rsidR="00D36263" w:rsidRDefault="00D36263" w:rsidP="00C5380D">
            <w:pPr>
              <w:spacing w:before="100" w:after="100"/>
              <w:ind w:left="100" w:right="100"/>
              <w:jc w:val="center"/>
            </w:pPr>
          </w:p>
        </w:tc>
      </w:tr>
      <w:tr w:rsidR="00D36263" w14:paraId="4101B5DD" w14:textId="77777777" w:rsidTr="00C5380D">
        <w:trPr>
          <w:cantSplit/>
          <w:jc w:val="center"/>
        </w:trPr>
        <w:tc>
          <w:tcPr>
            <w:tcW w:w="0" w:type="auto"/>
            <w:tcBorders>
              <w:left w:val="single" w:sz="8" w:space="0" w:color="000000"/>
            </w:tcBorders>
            <w:shd w:val="clear" w:color="auto" w:fill="FFFFFF"/>
            <w:tcMar>
              <w:top w:w="0" w:type="dxa"/>
              <w:left w:w="0" w:type="dxa"/>
              <w:bottom w:w="0" w:type="dxa"/>
              <w:right w:w="0" w:type="dxa"/>
            </w:tcMar>
          </w:tcPr>
          <w:p w14:paraId="5541740D" w14:textId="77777777" w:rsidR="00D36263" w:rsidRDefault="00D36263" w:rsidP="00C5380D">
            <w:pPr>
              <w:spacing w:before="100" w:after="100"/>
              <w:ind w:left="100" w:right="100"/>
            </w:pPr>
            <w:r>
              <w:rPr>
                <w:rFonts w:ascii="DejaVu Sans" w:eastAsia="DejaVu Sans" w:hAnsi="DejaVu Sans" w:cs="DejaVu Sans"/>
                <w:b/>
                <w:color w:val="000000"/>
                <w:sz w:val="18"/>
                <w:szCs w:val="18"/>
              </w:rPr>
              <w:t>Source of funding</w:t>
            </w:r>
          </w:p>
        </w:tc>
        <w:tc>
          <w:tcPr>
            <w:tcW w:w="0" w:type="auto"/>
            <w:shd w:val="clear" w:color="auto" w:fill="FFFFFF"/>
            <w:tcMar>
              <w:top w:w="0" w:type="dxa"/>
              <w:left w:w="0" w:type="dxa"/>
              <w:bottom w:w="0" w:type="dxa"/>
              <w:right w:w="0" w:type="dxa"/>
            </w:tcMar>
          </w:tcPr>
          <w:p w14:paraId="4B0E0AF0"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27</w:t>
            </w:r>
          </w:p>
        </w:tc>
        <w:tc>
          <w:tcPr>
            <w:tcW w:w="0" w:type="auto"/>
            <w:shd w:val="clear" w:color="auto" w:fill="FFFFFF"/>
            <w:tcMar>
              <w:top w:w="0" w:type="dxa"/>
              <w:left w:w="0" w:type="dxa"/>
              <w:bottom w:w="0" w:type="dxa"/>
              <w:right w:w="0" w:type="dxa"/>
            </w:tcMar>
          </w:tcPr>
          <w:p w14:paraId="74C66875" w14:textId="77777777" w:rsidR="00D36263" w:rsidRDefault="00D36263" w:rsidP="00C5380D">
            <w:pPr>
              <w:spacing w:before="100" w:after="100"/>
              <w:ind w:left="100" w:right="100"/>
            </w:pPr>
            <w:r>
              <w:rPr>
                <w:rFonts w:ascii="DejaVu Sans" w:eastAsia="DejaVu Sans" w:hAnsi="DejaVu Sans" w:cs="DejaVu Sans"/>
                <w:color w:val="000000"/>
                <w:sz w:val="18"/>
                <w:szCs w:val="18"/>
              </w:rPr>
              <w:t>Describe how the study was funded and any role of the funder in the identification, design, conduct, and reporting of the analysis</w:t>
            </w:r>
          </w:p>
        </w:tc>
        <w:tc>
          <w:tcPr>
            <w:tcW w:w="0" w:type="auto"/>
            <w:tcBorders>
              <w:right w:val="single" w:sz="8" w:space="0" w:color="000000"/>
            </w:tcBorders>
            <w:shd w:val="clear" w:color="auto" w:fill="FFFFFF"/>
            <w:tcMar>
              <w:top w:w="0" w:type="dxa"/>
              <w:left w:w="0" w:type="dxa"/>
              <w:bottom w:w="0" w:type="dxa"/>
              <w:right w:w="0" w:type="dxa"/>
            </w:tcMar>
          </w:tcPr>
          <w:p w14:paraId="7AA25772"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Not Applicable</w:t>
            </w:r>
          </w:p>
        </w:tc>
      </w:tr>
      <w:tr w:rsidR="00D36263" w14:paraId="459BA219" w14:textId="77777777" w:rsidTr="00C5380D">
        <w:trPr>
          <w:cantSplit/>
          <w:jc w:val="center"/>
        </w:trPr>
        <w:tc>
          <w:tcPr>
            <w:tcW w:w="0" w:type="auto"/>
            <w:tcBorders>
              <w:left w:val="single" w:sz="8" w:space="0" w:color="000000"/>
              <w:bottom w:val="single" w:sz="8" w:space="0" w:color="000000"/>
            </w:tcBorders>
            <w:shd w:val="clear" w:color="auto" w:fill="FFFFFF"/>
            <w:tcMar>
              <w:top w:w="0" w:type="dxa"/>
              <w:left w:w="0" w:type="dxa"/>
              <w:bottom w:w="0" w:type="dxa"/>
              <w:right w:w="0" w:type="dxa"/>
            </w:tcMar>
          </w:tcPr>
          <w:p w14:paraId="79AAA617" w14:textId="77777777" w:rsidR="00D36263" w:rsidRDefault="00D36263" w:rsidP="00C5380D">
            <w:pPr>
              <w:spacing w:before="100" w:after="100"/>
              <w:ind w:left="100" w:right="100"/>
            </w:pPr>
            <w:r>
              <w:rPr>
                <w:rFonts w:ascii="DejaVu Sans" w:eastAsia="DejaVu Sans" w:hAnsi="DejaVu Sans" w:cs="DejaVu Sans"/>
                <w:b/>
                <w:color w:val="000000"/>
                <w:sz w:val="18"/>
                <w:szCs w:val="18"/>
              </w:rPr>
              <w:t>Conflicts of interest</w:t>
            </w:r>
          </w:p>
        </w:tc>
        <w:tc>
          <w:tcPr>
            <w:tcW w:w="0" w:type="auto"/>
            <w:tcBorders>
              <w:bottom w:val="single" w:sz="8" w:space="0" w:color="000000"/>
            </w:tcBorders>
            <w:shd w:val="clear" w:color="auto" w:fill="FFFFFF"/>
            <w:tcMar>
              <w:top w:w="0" w:type="dxa"/>
              <w:left w:w="0" w:type="dxa"/>
              <w:bottom w:w="0" w:type="dxa"/>
              <w:right w:w="0" w:type="dxa"/>
            </w:tcMar>
          </w:tcPr>
          <w:p w14:paraId="22B2B326"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28</w:t>
            </w:r>
          </w:p>
        </w:tc>
        <w:tc>
          <w:tcPr>
            <w:tcW w:w="0" w:type="auto"/>
            <w:tcBorders>
              <w:bottom w:val="single" w:sz="8" w:space="0" w:color="000000"/>
            </w:tcBorders>
            <w:shd w:val="clear" w:color="auto" w:fill="FFFFFF"/>
            <w:tcMar>
              <w:top w:w="0" w:type="dxa"/>
              <w:left w:w="0" w:type="dxa"/>
              <w:bottom w:w="0" w:type="dxa"/>
              <w:right w:w="0" w:type="dxa"/>
            </w:tcMar>
          </w:tcPr>
          <w:p w14:paraId="3C8F76C5" w14:textId="77777777" w:rsidR="00D36263" w:rsidRDefault="00D36263" w:rsidP="00C5380D">
            <w:pPr>
              <w:spacing w:before="100" w:after="100"/>
              <w:ind w:left="100" w:right="100"/>
            </w:pPr>
            <w:r>
              <w:rPr>
                <w:rFonts w:ascii="DejaVu Sans" w:eastAsia="DejaVu Sans" w:hAnsi="DejaVu Sans" w:cs="DejaVu Sans"/>
                <w:color w:val="000000"/>
                <w:sz w:val="18"/>
                <w:szCs w:val="18"/>
              </w:rPr>
              <w:t>Report authors conflicts of interest according to journal or International Committee of Medical Journal Editors requirements.</w:t>
            </w:r>
          </w:p>
        </w:tc>
        <w:tc>
          <w:tcPr>
            <w:tcW w:w="0" w:type="auto"/>
            <w:tcBorders>
              <w:bottom w:val="single" w:sz="8" w:space="0" w:color="000000"/>
              <w:right w:val="single" w:sz="8" w:space="0" w:color="000000"/>
            </w:tcBorders>
            <w:shd w:val="clear" w:color="auto" w:fill="FFFFFF"/>
            <w:tcMar>
              <w:top w:w="0" w:type="dxa"/>
              <w:left w:w="0" w:type="dxa"/>
              <w:bottom w:w="0" w:type="dxa"/>
              <w:right w:w="0" w:type="dxa"/>
            </w:tcMar>
          </w:tcPr>
          <w:p w14:paraId="66CC45B8" w14:textId="77777777" w:rsidR="00D36263" w:rsidRDefault="00D36263" w:rsidP="00C5380D">
            <w:pPr>
              <w:spacing w:before="100" w:after="100"/>
              <w:ind w:left="100" w:right="100"/>
              <w:jc w:val="center"/>
            </w:pPr>
            <w:r>
              <w:rPr>
                <w:rFonts w:ascii="DejaVu Sans" w:eastAsia="DejaVu Sans" w:hAnsi="DejaVu Sans" w:cs="DejaVu Sans"/>
                <w:color w:val="000000"/>
                <w:sz w:val="18"/>
                <w:szCs w:val="18"/>
              </w:rPr>
              <w:t>Not Applicable</w:t>
            </w:r>
          </w:p>
        </w:tc>
      </w:tr>
    </w:tbl>
    <w:p w14:paraId="7EA67564" w14:textId="77777777" w:rsidR="00D36263" w:rsidRDefault="00D36263" w:rsidP="00D36263">
      <w:pPr>
        <w:pStyle w:val="FirstParagraph"/>
      </w:pPr>
      <w:r>
        <w:t> </w:t>
      </w:r>
    </w:p>
    <w:p w14:paraId="52F27523" w14:textId="77777777" w:rsidR="00D36263" w:rsidRDefault="00D36263" w:rsidP="00D36263">
      <w:pPr>
        <w:pStyle w:val="BodyText"/>
      </w:pPr>
      <w:r>
        <w:rPr>
          <w:i/>
          <w:iCs/>
        </w:rPr>
        <w:t>From:</w:t>
      </w:r>
      <w:r>
        <w:t xml:space="preserve"> Husereau D, Drummond M, </w:t>
      </w:r>
      <w:proofErr w:type="spellStart"/>
      <w:r>
        <w:t>Augustovski</w:t>
      </w:r>
      <w:proofErr w:type="spellEnd"/>
      <w:r>
        <w:t xml:space="preserve"> F, et al. Consolidated Health Economic Evaluation Reporting Standards 2022 (CHEERS 2022) Explanation and Elaboration: A Report of the ISPOR CHEERS II Good Practices Task Force. Value Health 2022;25. </w:t>
      </w:r>
      <w:hyperlink r:id="rId8">
        <w:proofErr w:type="gramStart"/>
        <w:r>
          <w:rPr>
            <w:rStyle w:val="Hyperlink"/>
          </w:rPr>
          <w:t>doi:10.1016/j.jval</w:t>
        </w:r>
        <w:proofErr w:type="gramEnd"/>
        <w:r>
          <w:rPr>
            <w:rStyle w:val="Hyperlink"/>
          </w:rPr>
          <w:t>.2021.10.008</w:t>
        </w:r>
      </w:hyperlink>
    </w:p>
    <w:bookmarkEnd w:id="1"/>
    <w:p w14:paraId="21DA03F3" w14:textId="77777777" w:rsidR="005C34A6" w:rsidRPr="006D221B" w:rsidRDefault="005C34A6">
      <w:pPr>
        <w:rPr>
          <w:rFonts w:ascii="Aptos" w:hAnsi="Aptos"/>
        </w:rPr>
      </w:pPr>
    </w:p>
    <w:sectPr w:rsidR="005C34A6" w:rsidRPr="006D221B" w:rsidSect="006A545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DejaVu Sans">
    <w:altName w:val="Verdan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2A7"/>
    <w:rsid w:val="00083AB3"/>
    <w:rsid w:val="00086514"/>
    <w:rsid w:val="000A02A7"/>
    <w:rsid w:val="000B673A"/>
    <w:rsid w:val="001136C3"/>
    <w:rsid w:val="001412DE"/>
    <w:rsid w:val="00144FBD"/>
    <w:rsid w:val="00147EB7"/>
    <w:rsid w:val="00155732"/>
    <w:rsid w:val="00245C96"/>
    <w:rsid w:val="0034439A"/>
    <w:rsid w:val="00365FEF"/>
    <w:rsid w:val="0038042F"/>
    <w:rsid w:val="003C664C"/>
    <w:rsid w:val="003E5284"/>
    <w:rsid w:val="00411D40"/>
    <w:rsid w:val="00485429"/>
    <w:rsid w:val="004B787F"/>
    <w:rsid w:val="004D2C8B"/>
    <w:rsid w:val="004E4CE8"/>
    <w:rsid w:val="00573178"/>
    <w:rsid w:val="005C34A6"/>
    <w:rsid w:val="005E0B12"/>
    <w:rsid w:val="00651370"/>
    <w:rsid w:val="006831AD"/>
    <w:rsid w:val="006A5452"/>
    <w:rsid w:val="006D221B"/>
    <w:rsid w:val="00722A17"/>
    <w:rsid w:val="00742F81"/>
    <w:rsid w:val="00777735"/>
    <w:rsid w:val="00792CCA"/>
    <w:rsid w:val="007B0DB2"/>
    <w:rsid w:val="00822CCC"/>
    <w:rsid w:val="0085576A"/>
    <w:rsid w:val="008B34EB"/>
    <w:rsid w:val="008C5F4E"/>
    <w:rsid w:val="008E4A45"/>
    <w:rsid w:val="009536E3"/>
    <w:rsid w:val="00957D9F"/>
    <w:rsid w:val="00965131"/>
    <w:rsid w:val="00970236"/>
    <w:rsid w:val="009F5818"/>
    <w:rsid w:val="00A37C74"/>
    <w:rsid w:val="00A40A40"/>
    <w:rsid w:val="00A43C92"/>
    <w:rsid w:val="00AD15D9"/>
    <w:rsid w:val="00AF7231"/>
    <w:rsid w:val="00B1087B"/>
    <w:rsid w:val="00B41CF7"/>
    <w:rsid w:val="00BC705C"/>
    <w:rsid w:val="00C43667"/>
    <w:rsid w:val="00C71D13"/>
    <w:rsid w:val="00CD173E"/>
    <w:rsid w:val="00CE601E"/>
    <w:rsid w:val="00D36263"/>
    <w:rsid w:val="00D71D4C"/>
    <w:rsid w:val="00E63770"/>
    <w:rsid w:val="00E9042A"/>
    <w:rsid w:val="00F731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C0A43"/>
  <w15:chartTrackingRefBased/>
  <w15:docId w15:val="{1DC458C0-6AB7-744E-A9A5-3EC5C98D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4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A02A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0A02A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A02A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A02A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0A02A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A02A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A02A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A02A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A02A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2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02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02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2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2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2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2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2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2A7"/>
    <w:rPr>
      <w:rFonts w:eastAsiaTheme="majorEastAsia" w:cstheme="majorBidi"/>
      <w:color w:val="272727" w:themeColor="text1" w:themeTint="D8"/>
    </w:rPr>
  </w:style>
  <w:style w:type="paragraph" w:styleId="Title">
    <w:name w:val="Title"/>
    <w:basedOn w:val="Normal"/>
    <w:next w:val="Normal"/>
    <w:link w:val="TitleChar"/>
    <w:uiPriority w:val="10"/>
    <w:qFormat/>
    <w:rsid w:val="000A02A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A0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2A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A02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2A7"/>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0A02A7"/>
    <w:rPr>
      <w:i/>
      <w:iCs/>
      <w:color w:val="404040" w:themeColor="text1" w:themeTint="BF"/>
    </w:rPr>
  </w:style>
  <w:style w:type="paragraph" w:styleId="ListParagraph">
    <w:name w:val="List Paragraph"/>
    <w:basedOn w:val="Normal"/>
    <w:uiPriority w:val="34"/>
    <w:qFormat/>
    <w:rsid w:val="000A02A7"/>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0A02A7"/>
    <w:rPr>
      <w:i/>
      <w:iCs/>
      <w:color w:val="0F4761" w:themeColor="accent1" w:themeShade="BF"/>
    </w:rPr>
  </w:style>
  <w:style w:type="paragraph" w:styleId="IntenseQuote">
    <w:name w:val="Intense Quote"/>
    <w:basedOn w:val="Normal"/>
    <w:next w:val="Normal"/>
    <w:link w:val="IntenseQuoteChar"/>
    <w:uiPriority w:val="30"/>
    <w:qFormat/>
    <w:rsid w:val="000A02A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A02A7"/>
    <w:rPr>
      <w:i/>
      <w:iCs/>
      <w:color w:val="0F4761" w:themeColor="accent1" w:themeShade="BF"/>
    </w:rPr>
  </w:style>
  <w:style w:type="character" w:styleId="IntenseReference">
    <w:name w:val="Intense Reference"/>
    <w:basedOn w:val="DefaultParagraphFont"/>
    <w:uiPriority w:val="32"/>
    <w:qFormat/>
    <w:rsid w:val="000A02A7"/>
    <w:rPr>
      <w:b/>
      <w:bCs/>
      <w:smallCaps/>
      <w:color w:val="0F4761" w:themeColor="accent1" w:themeShade="BF"/>
      <w:spacing w:val="5"/>
    </w:rPr>
  </w:style>
  <w:style w:type="paragraph" w:styleId="Bibliography">
    <w:name w:val="Bibliography"/>
    <w:basedOn w:val="Normal"/>
    <w:next w:val="Normal"/>
    <w:uiPriority w:val="37"/>
    <w:unhideWhenUsed/>
    <w:rsid w:val="005C34A6"/>
    <w:pPr>
      <w:tabs>
        <w:tab w:val="left" w:pos="260"/>
      </w:tabs>
      <w:spacing w:after="240"/>
      <w:ind w:left="264" w:hanging="264"/>
    </w:pPr>
    <w:rPr>
      <w:rFonts w:asciiTheme="minorHAnsi" w:eastAsiaTheme="minorEastAsia" w:hAnsiTheme="minorHAnsi" w:cstheme="minorBidi"/>
      <w:kern w:val="2"/>
      <w14:ligatures w14:val="standardContextual"/>
    </w:rPr>
  </w:style>
  <w:style w:type="paragraph" w:styleId="BodyText">
    <w:name w:val="Body Text"/>
    <w:basedOn w:val="Normal"/>
    <w:link w:val="BodyTextChar"/>
    <w:qFormat/>
    <w:rsid w:val="00D36263"/>
    <w:pPr>
      <w:spacing w:before="120" w:after="120"/>
    </w:pPr>
    <w:rPr>
      <w:rFonts w:asciiTheme="minorHAnsi" w:eastAsiaTheme="minorHAnsi" w:hAnsiTheme="minorHAnsi" w:cstheme="minorBidi"/>
      <w:lang w:eastAsia="en-US"/>
    </w:rPr>
  </w:style>
  <w:style w:type="character" w:customStyle="1" w:styleId="BodyTextChar">
    <w:name w:val="Body Text Char"/>
    <w:basedOn w:val="DefaultParagraphFont"/>
    <w:link w:val="BodyText"/>
    <w:rsid w:val="00D36263"/>
    <w:rPr>
      <w:rFonts w:eastAsiaTheme="minorHAnsi"/>
      <w:kern w:val="0"/>
      <w:lang w:eastAsia="en-US"/>
      <w14:ligatures w14:val="none"/>
    </w:rPr>
  </w:style>
  <w:style w:type="paragraph" w:customStyle="1" w:styleId="FirstParagraph">
    <w:name w:val="First Paragraph"/>
    <w:basedOn w:val="BodyText"/>
    <w:next w:val="BodyText"/>
    <w:qFormat/>
    <w:rsid w:val="00D36263"/>
  </w:style>
  <w:style w:type="character" w:styleId="Hyperlink">
    <w:name w:val="Hyperlink"/>
    <w:basedOn w:val="DefaultParagraphFont"/>
    <w:uiPriority w:val="99"/>
    <w:rsid w:val="00D36263"/>
    <w:rPr>
      <w:color w:val="15608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29890">
      <w:bodyDiv w:val="1"/>
      <w:marLeft w:val="0"/>
      <w:marRight w:val="0"/>
      <w:marTop w:val="0"/>
      <w:marBottom w:val="0"/>
      <w:divBdr>
        <w:top w:val="none" w:sz="0" w:space="0" w:color="auto"/>
        <w:left w:val="none" w:sz="0" w:space="0" w:color="auto"/>
        <w:bottom w:val="none" w:sz="0" w:space="0" w:color="auto"/>
        <w:right w:val="none" w:sz="0" w:space="0" w:color="auto"/>
      </w:divBdr>
    </w:div>
    <w:div w:id="138769916">
      <w:bodyDiv w:val="1"/>
      <w:marLeft w:val="0"/>
      <w:marRight w:val="0"/>
      <w:marTop w:val="0"/>
      <w:marBottom w:val="0"/>
      <w:divBdr>
        <w:top w:val="none" w:sz="0" w:space="0" w:color="auto"/>
        <w:left w:val="none" w:sz="0" w:space="0" w:color="auto"/>
        <w:bottom w:val="none" w:sz="0" w:space="0" w:color="auto"/>
        <w:right w:val="none" w:sz="0" w:space="0" w:color="auto"/>
      </w:divBdr>
    </w:div>
    <w:div w:id="478882386">
      <w:bodyDiv w:val="1"/>
      <w:marLeft w:val="0"/>
      <w:marRight w:val="0"/>
      <w:marTop w:val="0"/>
      <w:marBottom w:val="0"/>
      <w:divBdr>
        <w:top w:val="none" w:sz="0" w:space="0" w:color="auto"/>
        <w:left w:val="none" w:sz="0" w:space="0" w:color="auto"/>
        <w:bottom w:val="none" w:sz="0" w:space="0" w:color="auto"/>
        <w:right w:val="none" w:sz="0" w:space="0" w:color="auto"/>
      </w:divBdr>
    </w:div>
    <w:div w:id="698819556">
      <w:bodyDiv w:val="1"/>
      <w:marLeft w:val="0"/>
      <w:marRight w:val="0"/>
      <w:marTop w:val="0"/>
      <w:marBottom w:val="0"/>
      <w:divBdr>
        <w:top w:val="none" w:sz="0" w:space="0" w:color="auto"/>
        <w:left w:val="none" w:sz="0" w:space="0" w:color="auto"/>
        <w:bottom w:val="none" w:sz="0" w:space="0" w:color="auto"/>
        <w:right w:val="none" w:sz="0" w:space="0" w:color="auto"/>
      </w:divBdr>
    </w:div>
    <w:div w:id="784927130">
      <w:bodyDiv w:val="1"/>
      <w:marLeft w:val="0"/>
      <w:marRight w:val="0"/>
      <w:marTop w:val="0"/>
      <w:marBottom w:val="0"/>
      <w:divBdr>
        <w:top w:val="none" w:sz="0" w:space="0" w:color="auto"/>
        <w:left w:val="none" w:sz="0" w:space="0" w:color="auto"/>
        <w:bottom w:val="none" w:sz="0" w:space="0" w:color="auto"/>
        <w:right w:val="none" w:sz="0" w:space="0" w:color="auto"/>
      </w:divBdr>
    </w:div>
    <w:div w:id="854660600">
      <w:bodyDiv w:val="1"/>
      <w:marLeft w:val="0"/>
      <w:marRight w:val="0"/>
      <w:marTop w:val="0"/>
      <w:marBottom w:val="0"/>
      <w:divBdr>
        <w:top w:val="none" w:sz="0" w:space="0" w:color="auto"/>
        <w:left w:val="none" w:sz="0" w:space="0" w:color="auto"/>
        <w:bottom w:val="none" w:sz="0" w:space="0" w:color="auto"/>
        <w:right w:val="none" w:sz="0" w:space="0" w:color="auto"/>
      </w:divBdr>
    </w:div>
    <w:div w:id="1216090221">
      <w:bodyDiv w:val="1"/>
      <w:marLeft w:val="0"/>
      <w:marRight w:val="0"/>
      <w:marTop w:val="0"/>
      <w:marBottom w:val="0"/>
      <w:divBdr>
        <w:top w:val="none" w:sz="0" w:space="0" w:color="auto"/>
        <w:left w:val="none" w:sz="0" w:space="0" w:color="auto"/>
        <w:bottom w:val="none" w:sz="0" w:space="0" w:color="auto"/>
        <w:right w:val="none" w:sz="0" w:space="0" w:color="auto"/>
      </w:divBdr>
    </w:div>
    <w:div w:id="1588735632">
      <w:bodyDiv w:val="1"/>
      <w:marLeft w:val="0"/>
      <w:marRight w:val="0"/>
      <w:marTop w:val="0"/>
      <w:marBottom w:val="0"/>
      <w:divBdr>
        <w:top w:val="none" w:sz="0" w:space="0" w:color="auto"/>
        <w:left w:val="none" w:sz="0" w:space="0" w:color="auto"/>
        <w:bottom w:val="none" w:sz="0" w:space="0" w:color="auto"/>
        <w:right w:val="none" w:sz="0" w:space="0" w:color="auto"/>
      </w:divBdr>
    </w:div>
    <w:div w:id="1601447670">
      <w:bodyDiv w:val="1"/>
      <w:marLeft w:val="0"/>
      <w:marRight w:val="0"/>
      <w:marTop w:val="0"/>
      <w:marBottom w:val="0"/>
      <w:divBdr>
        <w:top w:val="none" w:sz="0" w:space="0" w:color="auto"/>
        <w:left w:val="none" w:sz="0" w:space="0" w:color="auto"/>
        <w:bottom w:val="none" w:sz="0" w:space="0" w:color="auto"/>
        <w:right w:val="none" w:sz="0" w:space="0" w:color="auto"/>
      </w:divBdr>
    </w:div>
    <w:div w:id="1745570756">
      <w:bodyDiv w:val="1"/>
      <w:marLeft w:val="0"/>
      <w:marRight w:val="0"/>
      <w:marTop w:val="0"/>
      <w:marBottom w:val="0"/>
      <w:divBdr>
        <w:top w:val="none" w:sz="0" w:space="0" w:color="auto"/>
        <w:left w:val="none" w:sz="0" w:space="0" w:color="auto"/>
        <w:bottom w:val="none" w:sz="0" w:space="0" w:color="auto"/>
        <w:right w:val="none" w:sz="0" w:space="0" w:color="auto"/>
      </w:divBdr>
    </w:div>
    <w:div w:id="198358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doi:10.1016/j.jval.2021.10.008"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ba5a7f39-e3be-4ab3-b450-67fa80faecad}" enabled="0" method="" siteId="{ba5a7f39-e3be-4ab3-b450-67fa80faecad}" removed="1"/>
</clbl:labelList>
</file>

<file path=docProps/app.xml><?xml version="1.0" encoding="utf-8"?>
<Properties xmlns="http://schemas.openxmlformats.org/officeDocument/2006/extended-properties" xmlns:vt="http://schemas.openxmlformats.org/officeDocument/2006/docPropsVTypes">
  <Template>Normal.dotm</Template>
  <TotalTime>237</TotalTime>
  <Pages>12</Pages>
  <Words>10275</Words>
  <Characters>58573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Chen</dc:creator>
  <cp:keywords/>
  <dc:description/>
  <cp:lastModifiedBy>Liu, Chen</cp:lastModifiedBy>
  <cp:revision>59</cp:revision>
  <cp:lastPrinted>2025-04-05T05:44:00Z</cp:lastPrinted>
  <dcterms:created xsi:type="dcterms:W3CDTF">2025-04-01T21:41:00Z</dcterms:created>
  <dcterms:modified xsi:type="dcterms:W3CDTF">2025-04-05T05:47:00Z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id="kdWm5Crm"/&gt;&lt;style id="http://www.zotero.org/styles/american-medical-association" hasBibliography="1" bibliographyStyleHasBeenSet="1"/&gt;&lt;prefs&gt;&lt;pref name="fieldType" value="Field"/&gt;&lt;pref name="autom</vt:lpwstr>
  </property>
  <property fmtid="{D5CDD505-2E9C-101B-9397-08002B2CF9AE}" pid="3" name="ZOTERO_PREF_2">
    <vt:lpwstr>aticJournalAbbreviations" value="true"/&gt;&lt;/prefs&gt;&lt;/data&gt;</vt:lpwstr>
  </property>
</Properties>
</file>