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94774A">
      <w:pPr>
        <w:spacing w:before="0" w:after="120" w:line="240" w:lineRule="auto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  <w:b/>
          <w:sz w:val="36"/>
        </w:rPr>
        <w:t>《程序设计基础课程设计》题签</w:t>
      </w:r>
    </w:p>
    <w:p w14:paraId="65F93566">
      <w:pPr>
        <w:spacing w:before="0" w:after="40" w:line="240" w:lineRule="auto"/>
        <w:jc w:val="both"/>
        <w:rPr>
          <w:rFonts w:hint="default" w:ascii="Times New Roman" w:hAnsi="Times New Roman" w:eastAsia="宋体" w:cs="Times New Roman"/>
          <w:b w:val="0"/>
          <w:sz w:val="23"/>
        </w:rPr>
      </w:pPr>
      <w:r>
        <w:rPr>
          <w:rFonts w:hint="default" w:ascii="Times New Roman" w:hAnsi="Times New Roman" w:eastAsia="宋体" w:cs="Times New Roman"/>
          <w:b w:val="0"/>
          <w:sz w:val="23"/>
        </w:rPr>
        <w:t>小组成员：</w:t>
      </w:r>
    </w:p>
    <w:p w14:paraId="11AEB464">
      <w:pPr>
        <w:spacing w:before="0" w:after="40" w:line="240" w:lineRule="auto"/>
        <w:jc w:val="both"/>
        <w:rPr>
          <w:rFonts w:hint="default" w:ascii="Times New Roman" w:hAnsi="Times New Roman" w:eastAsia="宋体" w:cs="Times New Roman"/>
          <w:b w:val="0"/>
          <w:sz w:val="23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sz w:val="23"/>
        </w:rPr>
        <w:t>钟佳凌</w:t>
      </w:r>
      <w:r>
        <w:rPr>
          <w:rFonts w:hint="eastAsia" w:ascii="Times New Roman" w:hAnsi="Times New Roman" w:cs="Times New Roman"/>
          <w:b w:val="0"/>
          <w:sz w:val="23"/>
          <w:lang w:val="en-US" w:eastAsia="zh-CN"/>
        </w:rPr>
        <w:t>(组长)</w:t>
      </w:r>
    </w:p>
    <w:p w14:paraId="1A6FCF18">
      <w:pPr>
        <w:spacing w:before="0" w:after="40" w:line="240" w:lineRule="auto"/>
        <w:jc w:val="both"/>
        <w:rPr>
          <w:rFonts w:hint="default" w:ascii="Times New Roman" w:hAnsi="Times New Roman" w:eastAsia="宋体" w:cs="Times New Roman"/>
          <w:b w:val="0"/>
          <w:sz w:val="23"/>
        </w:rPr>
      </w:pPr>
      <w:r>
        <w:rPr>
          <w:rFonts w:hint="default" w:ascii="Times New Roman" w:hAnsi="Times New Roman" w:eastAsia="宋体" w:cs="Times New Roman"/>
          <w:b w:val="0"/>
          <w:sz w:val="23"/>
        </w:rPr>
        <w:t>刘承庚</w:t>
      </w:r>
    </w:p>
    <w:p w14:paraId="55F0260C">
      <w:pPr>
        <w:spacing w:before="0" w:after="40" w:line="240" w:lineRule="auto"/>
        <w:jc w:val="both"/>
        <w:rPr>
          <w:rFonts w:hint="default" w:ascii="Times New Roman" w:hAnsi="Times New Roman" w:eastAsia="宋体" w:cs="Times New Roman"/>
          <w:b w:val="0"/>
          <w:sz w:val="23"/>
        </w:rPr>
      </w:pPr>
      <w:r>
        <w:rPr>
          <w:rFonts w:hint="default" w:ascii="Times New Roman" w:hAnsi="Times New Roman" w:eastAsia="宋体" w:cs="Times New Roman"/>
          <w:b w:val="0"/>
          <w:sz w:val="23"/>
        </w:rPr>
        <w:t>谢欣材</w:t>
      </w:r>
    </w:p>
    <w:p w14:paraId="41FC45BB">
      <w:pPr>
        <w:spacing w:before="0" w:after="40" w:line="240" w:lineRule="auto"/>
        <w:jc w:val="both"/>
        <w:rPr>
          <w:rFonts w:hint="default" w:ascii="Times New Roman" w:hAnsi="Times New Roman" w:eastAsia="宋体" w:cs="Times New Roman"/>
          <w:b w:val="0"/>
          <w:sz w:val="23"/>
        </w:rPr>
      </w:pPr>
      <w:r>
        <w:rPr>
          <w:rFonts w:hint="default" w:ascii="Times New Roman" w:hAnsi="Times New Roman" w:eastAsia="宋体" w:cs="Times New Roman"/>
          <w:b w:val="0"/>
          <w:sz w:val="23"/>
        </w:rPr>
        <w:t>周溢程</w:t>
      </w:r>
    </w:p>
    <w:p w14:paraId="0B6538A4">
      <w:pPr>
        <w:spacing w:before="0" w:after="40" w:line="240" w:lineRule="auto"/>
        <w:jc w:val="both"/>
        <w:rPr>
          <w:rFonts w:hint="default" w:ascii="Times New Roman" w:hAnsi="Times New Roman" w:eastAsia="宋体" w:cs="Times New Roman"/>
          <w:b w:val="0"/>
          <w:sz w:val="23"/>
        </w:rPr>
      </w:pPr>
    </w:p>
    <w:p w14:paraId="6AF6E99C">
      <w:pPr>
        <w:spacing w:before="120" w:after="80"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  <w:b/>
          <w:sz w:val="26"/>
        </w:rPr>
        <w:t>1.项目任务概述</w:t>
      </w:r>
    </w:p>
    <w:p w14:paraId="603D0066">
      <w:pPr>
        <w:spacing w:before="0" w:after="100" w:line="298" w:lineRule="auto"/>
        <w:ind w:firstLine="4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sz w:val="22"/>
        </w:rPr>
        <w:t>本项目为医疗管理系统课程设计，围绕患者、医生、诊疗记录、药品、病房/床位等基础信息展开，实现挂号、看诊、检查/开药、住院办理、自动扣费、出院结算、药房管理、病房床位管理、数据持久化、综合查询、统计报表以及最终联调与验收等内容。全项目采用统一数据结构、统一输入校验、统一文件存储与状态码规范，由四名成员分模块完成。</w:t>
      </w:r>
    </w:p>
    <w:p w14:paraId="7E6F8702">
      <w:pPr>
        <w:spacing w:before="120" w:after="80"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  <w:b/>
          <w:sz w:val="26"/>
        </w:rPr>
        <w:t>2.小组分工总览</w:t>
      </w:r>
    </w:p>
    <w:tbl>
      <w:tblPr>
        <w:tblStyle w:val="32"/>
        <w:tblW w:w="0" w:type="auto"/>
        <w:jc w:val="center"/>
        <w:tblBorders>
          <w:top w:val="single" w:color="AABBCB" w:sz="8" w:space="0"/>
          <w:left w:val="single" w:color="AABBCB" w:sz="8" w:space="0"/>
          <w:bottom w:val="single" w:color="AABBCB" w:sz="8" w:space="0"/>
          <w:right w:val="single" w:color="AABBCB" w:sz="8" w:space="0"/>
          <w:insideH w:val="single" w:color="AABBCB" w:sz="8" w:space="0"/>
          <w:insideV w:val="single" w:color="AABBCB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3"/>
        <w:gridCol w:w="2353"/>
        <w:gridCol w:w="2353"/>
        <w:gridCol w:w="2353"/>
      </w:tblGrid>
      <w:tr w14:paraId="79E277CD">
        <w:tblPrEx>
          <w:tblBorders>
            <w:top w:val="single" w:color="AABBCB" w:sz="8" w:space="0"/>
            <w:left w:val="single" w:color="AABBCB" w:sz="8" w:space="0"/>
            <w:bottom w:val="single" w:color="AABBCB" w:sz="8" w:space="0"/>
            <w:right w:val="single" w:color="AABBCB" w:sz="8" w:space="0"/>
            <w:insideH w:val="single" w:color="AABBCB" w:sz="8" w:space="0"/>
            <w:insideV w:val="single" w:color="AABBCB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DCEA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DFC33C">
            <w:pPr>
              <w:spacing w:before="0"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黑体" w:cs="Times New Roman"/>
                <w:b/>
                <w:sz w:val="21"/>
              </w:rPr>
              <w:t>成员</w:t>
            </w:r>
          </w:p>
        </w:tc>
        <w:tc>
          <w:tcPr>
            <w:tcW w:w="1020" w:type="dxa"/>
            <w:shd w:val="clear" w:color="auto" w:fill="DCEA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2EF0C2">
            <w:pPr>
              <w:spacing w:before="0"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黑体" w:cs="Times New Roman"/>
                <w:b/>
                <w:sz w:val="21"/>
              </w:rPr>
              <w:t>占比</w:t>
            </w:r>
          </w:p>
        </w:tc>
        <w:tc>
          <w:tcPr>
            <w:tcW w:w="2835" w:type="dxa"/>
            <w:shd w:val="clear" w:color="auto" w:fill="DCEA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508129">
            <w:pPr>
              <w:spacing w:before="0"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黑体" w:cs="Times New Roman"/>
                <w:b/>
                <w:sz w:val="21"/>
              </w:rPr>
              <w:t>职责定位</w:t>
            </w:r>
          </w:p>
        </w:tc>
        <w:tc>
          <w:tcPr>
            <w:tcW w:w="4139" w:type="dxa"/>
            <w:shd w:val="clear" w:color="auto" w:fill="DCEA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D2799E">
            <w:pPr>
              <w:spacing w:before="0"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黑体" w:cs="Times New Roman"/>
                <w:b/>
                <w:sz w:val="21"/>
              </w:rPr>
              <w:t>核心交付物</w:t>
            </w:r>
          </w:p>
        </w:tc>
      </w:tr>
      <w:tr w14:paraId="32BBD205">
        <w:tblPrEx>
          <w:tblBorders>
            <w:top w:val="single" w:color="AABBCB" w:sz="8" w:space="0"/>
            <w:left w:val="single" w:color="AABBCB" w:sz="8" w:space="0"/>
            <w:bottom w:val="single" w:color="AABBCB" w:sz="8" w:space="0"/>
            <w:right w:val="single" w:color="AABBCB" w:sz="8" w:space="0"/>
            <w:insideH w:val="single" w:color="AABBCB" w:sz="8" w:space="0"/>
            <w:insideV w:val="single" w:color="AABBCB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35B2D8">
            <w:pPr>
              <w:spacing w:before="0" w:after="0" w:line="276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0"/>
              </w:rPr>
              <w:t>钟佳凌</w:t>
            </w:r>
          </w:p>
        </w:tc>
        <w:tc>
          <w:tcPr>
            <w:tcW w:w="23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04D20A">
            <w:pPr>
              <w:spacing w:before="0" w:after="0" w:line="276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0"/>
              </w:rPr>
              <w:t>20%</w:t>
            </w:r>
          </w:p>
        </w:tc>
        <w:tc>
          <w:tcPr>
            <w:tcW w:w="23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D22399">
            <w:pPr>
              <w:spacing w:before="0" w:after="0" w:line="276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0"/>
              </w:rPr>
              <w:t>公共底层、项目规范、初始化、统计报表、模块对接、最终联调与验收</w:t>
            </w:r>
          </w:p>
        </w:tc>
        <w:tc>
          <w:tcPr>
            <w:tcW w:w="23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1BF2AC">
            <w:pPr>
              <w:spacing w:before="0" w:after="0" w:line="276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0"/>
              </w:rPr>
              <w:t>global.h；main.cpp；初始化数据模块；StatisticModule()</w:t>
            </w:r>
          </w:p>
        </w:tc>
      </w:tr>
      <w:tr w14:paraId="10C93D21">
        <w:tblPrEx>
          <w:tblBorders>
            <w:top w:val="single" w:color="AABBCB" w:sz="8" w:space="0"/>
            <w:left w:val="single" w:color="AABBCB" w:sz="8" w:space="0"/>
            <w:bottom w:val="single" w:color="AABBCB" w:sz="8" w:space="0"/>
            <w:right w:val="single" w:color="AABBCB" w:sz="8" w:space="0"/>
            <w:insideH w:val="single" w:color="AABBCB" w:sz="8" w:space="0"/>
            <w:insideV w:val="single" w:color="AABBCB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BE62A8">
            <w:pPr>
              <w:spacing w:before="0" w:after="0" w:line="276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0"/>
              </w:rPr>
              <w:t>刘承庚</w:t>
            </w:r>
          </w:p>
        </w:tc>
        <w:tc>
          <w:tcPr>
            <w:tcW w:w="23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A230CF">
            <w:pPr>
              <w:spacing w:before="0" w:after="0" w:line="276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0"/>
              </w:rPr>
              <w:t>30%</w:t>
            </w:r>
          </w:p>
        </w:tc>
        <w:tc>
          <w:tcPr>
            <w:tcW w:w="23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FB89B8">
            <w:pPr>
              <w:spacing w:before="0" w:after="0" w:line="276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0"/>
              </w:rPr>
              <w:t>门诊主流程与住院收费主流程</w:t>
            </w:r>
          </w:p>
        </w:tc>
        <w:tc>
          <w:tcPr>
            <w:tcW w:w="23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7080AE">
            <w:pPr>
              <w:spacing w:before="0" w:after="0" w:line="276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0"/>
              </w:rPr>
              <w:t>RegisterPatient()；SeeDoctor()；ProcessBilling()</w:t>
            </w:r>
          </w:p>
        </w:tc>
      </w:tr>
      <w:tr w14:paraId="5B3A0EBF">
        <w:tblPrEx>
          <w:tblBorders>
            <w:top w:val="single" w:color="AABBCB" w:sz="8" w:space="0"/>
            <w:left w:val="single" w:color="AABBCB" w:sz="8" w:space="0"/>
            <w:bottom w:val="single" w:color="AABBCB" w:sz="8" w:space="0"/>
            <w:right w:val="single" w:color="AABBCB" w:sz="8" w:space="0"/>
            <w:insideH w:val="single" w:color="AABBCB" w:sz="8" w:space="0"/>
            <w:insideV w:val="single" w:color="AABBCB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7F3D68">
            <w:pPr>
              <w:spacing w:before="0" w:after="0" w:line="276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0"/>
              </w:rPr>
              <w:t>谢欣材</w:t>
            </w:r>
          </w:p>
        </w:tc>
        <w:tc>
          <w:tcPr>
            <w:tcW w:w="23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92B694">
            <w:pPr>
              <w:spacing w:before="0" w:after="0" w:line="276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0"/>
              </w:rPr>
              <w:t>25%</w:t>
            </w:r>
          </w:p>
        </w:tc>
        <w:tc>
          <w:tcPr>
            <w:tcW w:w="23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78E185">
            <w:pPr>
              <w:spacing w:before="0" w:after="0" w:line="276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0"/>
              </w:rPr>
              <w:t>药房管理与病房/床位管理</w:t>
            </w:r>
          </w:p>
        </w:tc>
        <w:tc>
          <w:tcPr>
            <w:tcW w:w="23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8F475C">
            <w:pPr>
              <w:spacing w:before="0" w:after="0" w:line="276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0"/>
              </w:rPr>
              <w:t>PharmacyManagement()；ShowWardStatus()；统计接口</w:t>
            </w:r>
          </w:p>
        </w:tc>
      </w:tr>
      <w:tr w14:paraId="50E9E972">
        <w:tblPrEx>
          <w:tblBorders>
            <w:top w:val="single" w:color="AABBCB" w:sz="8" w:space="0"/>
            <w:left w:val="single" w:color="AABBCB" w:sz="8" w:space="0"/>
            <w:bottom w:val="single" w:color="AABBCB" w:sz="8" w:space="0"/>
            <w:right w:val="single" w:color="AABBCB" w:sz="8" w:space="0"/>
            <w:insideH w:val="single" w:color="AABBCB" w:sz="8" w:space="0"/>
            <w:insideV w:val="single" w:color="AABBCB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A75499">
            <w:pPr>
              <w:spacing w:before="0" w:after="0" w:line="276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0"/>
              </w:rPr>
              <w:t>周溢程</w:t>
            </w:r>
          </w:p>
        </w:tc>
        <w:tc>
          <w:tcPr>
            <w:tcW w:w="23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FB8641">
            <w:pPr>
              <w:spacing w:before="0" w:after="0" w:line="276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0"/>
              </w:rPr>
              <w:t>25%</w:t>
            </w:r>
          </w:p>
        </w:tc>
        <w:tc>
          <w:tcPr>
            <w:tcW w:w="23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EA1648">
            <w:pPr>
              <w:spacing w:before="0" w:after="0" w:line="276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0"/>
              </w:rPr>
              <w:t>数据持久化、容错恢复、综合查询、删除与日志支持</w:t>
            </w:r>
          </w:p>
        </w:tc>
        <w:tc>
          <w:tcPr>
            <w:tcW w:w="23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A1B973">
            <w:pPr>
              <w:spacing w:before="0" w:after="0" w:line="276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0"/>
              </w:rPr>
              <w:t>LoadAllData()；SaveAllData()；SearchModule()</w:t>
            </w:r>
          </w:p>
        </w:tc>
      </w:tr>
    </w:tbl>
    <w:p w14:paraId="2E67E22B">
      <w:pPr>
        <w:spacing w:before="120" w:after="80"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  <w:b/>
          <w:sz w:val="26"/>
        </w:rPr>
        <w:t>3.程序主要分工树状图</w:t>
      </w:r>
    </w:p>
    <w:p w14:paraId="5C0946F2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795645" cy="14624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96000" cy="14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D60A8">
      <w:pPr>
        <w:spacing w:before="20" w:after="80" w:line="240" w:lineRule="auto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sz w:val="20"/>
        </w:rPr>
        <w:t>图1医疗管理系统</w:t>
      </w:r>
      <w:bookmarkStart w:id="0" w:name="_GoBack"/>
      <w:bookmarkEnd w:id="0"/>
      <w:r>
        <w:rPr>
          <w:rFonts w:hint="default" w:ascii="Times New Roman" w:hAnsi="Times New Roman" w:eastAsia="宋体" w:cs="Times New Roman"/>
          <w:b w:val="0"/>
          <w:sz w:val="20"/>
        </w:rPr>
        <w:t>课程设计分工树状图</w:t>
      </w:r>
    </w:p>
    <w:p w14:paraId="3385A37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566272FB">
      <w:pPr>
        <w:spacing w:before="120" w:after="80"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  <w:b/>
          <w:sz w:val="26"/>
        </w:rPr>
        <w:t>4.具体分工说明</w:t>
      </w:r>
    </w:p>
    <w:p w14:paraId="6E471D39">
      <w:pPr>
        <w:spacing w:before="80" w:after="40"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  <w:b/>
          <w:sz w:val="23"/>
        </w:rPr>
        <w:t>（1）钟佳凌（20%）</w:t>
      </w:r>
    </w:p>
    <w:p w14:paraId="3A3128DD">
      <w:pPr>
        <w:spacing w:before="0" w:after="40" w:line="288" w:lineRule="auto"/>
        <w:ind w:firstLine="4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sz w:val="21"/>
        </w:rPr>
        <w:t>负责系统公共底层、全局规范、初始化、统计报表、模块对接与最终联调，是全项目的“骨架搭建”和“系统总控”部分。</w:t>
      </w:r>
    </w:p>
    <w:p w14:paraId="449448D0">
      <w:pPr>
        <w:spacing w:before="0" w:after="10" w:line="264" w:lineRule="auto"/>
        <w:ind w:left="31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/>
          <w:sz w:val="21"/>
        </w:rPr>
        <w:t>•</w:t>
      </w:r>
      <w:r>
        <w:rPr>
          <w:rFonts w:hint="default" w:ascii="Times New Roman" w:hAnsi="Times New Roman" w:eastAsia="宋体" w:cs="Times New Roman"/>
          <w:b w:val="0"/>
          <w:sz w:val="21"/>
        </w:rPr>
        <w:t>统一定义患者、医生、诊疗记录、药品、病房/床位、科室、金额类型及全局数组、计数器等基础结构。</w:t>
      </w:r>
    </w:p>
    <w:p w14:paraId="1A0DDADA">
      <w:pPr>
        <w:spacing w:before="0" w:after="10" w:line="264" w:lineRule="auto"/>
        <w:ind w:left="31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/>
          <w:sz w:val="21"/>
        </w:rPr>
        <w:t>•</w:t>
      </w:r>
      <w:r>
        <w:rPr>
          <w:rFonts w:hint="default" w:ascii="Times New Roman" w:hAnsi="Times New Roman" w:eastAsia="宋体" w:cs="Times New Roman"/>
          <w:b w:val="0"/>
          <w:sz w:val="21"/>
        </w:rPr>
        <w:t>维护通用输入校验函数，统一整数、字符串、金额输入和缓冲区处理。</w:t>
      </w:r>
    </w:p>
    <w:p w14:paraId="294A79D6">
      <w:pPr>
        <w:spacing w:before="0" w:after="10" w:line="264" w:lineRule="auto"/>
        <w:ind w:left="31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/>
          <w:sz w:val="21"/>
        </w:rPr>
        <w:t>•</w:t>
      </w:r>
      <w:r>
        <w:rPr>
          <w:rFonts w:hint="default" w:ascii="Times New Roman" w:hAnsi="Times New Roman" w:eastAsia="宋体" w:cs="Times New Roman"/>
          <w:b w:val="0"/>
          <w:sz w:val="21"/>
        </w:rPr>
        <w:t>编写main.cpp，搭建主菜单、主循环、模块入口，并负责程序启动加载与退出保存。</w:t>
      </w:r>
    </w:p>
    <w:p w14:paraId="13C3C918">
      <w:pPr>
        <w:spacing w:before="0" w:after="10" w:line="264" w:lineRule="auto"/>
        <w:ind w:left="31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/>
          <w:sz w:val="21"/>
        </w:rPr>
        <w:t>•</w:t>
      </w:r>
      <w:r>
        <w:rPr>
          <w:rFonts w:hint="default" w:ascii="Times New Roman" w:hAnsi="Times New Roman" w:eastAsia="宋体" w:cs="Times New Roman"/>
          <w:b w:val="0"/>
          <w:sz w:val="21"/>
        </w:rPr>
        <w:t>完成系统初始演示数据配置，包括科室、医生、药品、病房/床位等基础数据。</w:t>
      </w:r>
    </w:p>
    <w:p w14:paraId="31410115">
      <w:pPr>
        <w:spacing w:before="0" w:after="10" w:line="264" w:lineRule="auto"/>
        <w:ind w:left="31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/>
          <w:sz w:val="21"/>
        </w:rPr>
        <w:t>•</w:t>
      </w:r>
      <w:r>
        <w:rPr>
          <w:rFonts w:hint="default" w:ascii="Times New Roman" w:hAnsi="Times New Roman" w:eastAsia="宋体" w:cs="Times New Roman"/>
          <w:b w:val="0"/>
          <w:sz w:val="21"/>
        </w:rPr>
        <w:t>整合统计报表，展示营业额、住院患者、床位使用、业务量、医生繁忙度及患者消费/诊疗摘要。</w:t>
      </w:r>
    </w:p>
    <w:p w14:paraId="3BE9EEBA">
      <w:pPr>
        <w:spacing w:before="0" w:after="10" w:line="264" w:lineRule="auto"/>
        <w:ind w:left="31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/>
          <w:sz w:val="21"/>
        </w:rPr>
        <w:t>•</w:t>
      </w:r>
      <w:r>
        <w:rPr>
          <w:rFonts w:hint="default" w:ascii="Times New Roman" w:hAnsi="Times New Roman" w:eastAsia="宋体" w:cs="Times New Roman"/>
          <w:b w:val="0"/>
          <w:sz w:val="21"/>
        </w:rPr>
        <w:t>统一编码规则、删除/撤销规则、文件格式、命名规范、状态码含义，并负责最终联调测试。</w:t>
      </w:r>
    </w:p>
    <w:p w14:paraId="396B9CA2">
      <w:pPr>
        <w:spacing w:before="0" w:after="40" w:line="269" w:lineRule="auto"/>
        <w:ind w:left="31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color w:val="3E5E76"/>
          <w:sz w:val="21"/>
        </w:rPr>
        <w:t>交付物：global.h、main.cpp、系统初始化数据模块、StatisticModule()、项目总体设计说明、联调版完整工程、最终测试报告。</w:t>
      </w:r>
    </w:p>
    <w:p w14:paraId="4E5728B6">
      <w:pPr>
        <w:spacing w:before="80" w:after="40"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  <w:b/>
          <w:sz w:val="23"/>
        </w:rPr>
        <w:t>（2）刘承庚（30%）</w:t>
      </w:r>
    </w:p>
    <w:p w14:paraId="5782EE36">
      <w:pPr>
        <w:spacing w:before="0" w:after="40" w:line="288" w:lineRule="auto"/>
        <w:ind w:firstLine="4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sz w:val="21"/>
        </w:rPr>
        <w:t>负责系统最核心的业务主链，即“门诊主流程+住院收费主流程”，是全项目工作量最大、逻辑最复杂的模块。</w:t>
      </w:r>
    </w:p>
    <w:p w14:paraId="5FF844A3">
      <w:pPr>
        <w:spacing w:before="0" w:after="10" w:line="264" w:lineRule="auto"/>
        <w:ind w:left="31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/>
          <w:sz w:val="21"/>
        </w:rPr>
        <w:t>•</w:t>
      </w:r>
      <w:r>
        <w:rPr>
          <w:rFonts w:hint="default" w:ascii="Times New Roman" w:hAnsi="Times New Roman" w:eastAsia="宋体" w:cs="Times New Roman"/>
          <w:b w:val="0"/>
          <w:sz w:val="21"/>
        </w:rPr>
        <w:t>实现RegisterPatient()，完成患者建档、旧患者挂号、挂号限制校验、唯一挂号号生成和挂号记录写入。</w:t>
      </w:r>
    </w:p>
    <w:p w14:paraId="2AE3249A">
      <w:pPr>
        <w:spacing w:before="0" w:after="10" w:line="264" w:lineRule="auto"/>
        <w:ind w:left="31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/>
          <w:sz w:val="21"/>
        </w:rPr>
        <w:t>•</w:t>
      </w:r>
      <w:r>
        <w:rPr>
          <w:rFonts w:hint="default" w:ascii="Times New Roman" w:hAnsi="Times New Roman" w:eastAsia="宋体" w:cs="Times New Roman"/>
          <w:b w:val="0"/>
          <w:sz w:val="21"/>
        </w:rPr>
        <w:t>实现SeeDoctor()，完成诊断录入，并为检查、开药、住院提供业务入口。</w:t>
      </w:r>
    </w:p>
    <w:p w14:paraId="3F5076FD">
      <w:pPr>
        <w:spacing w:before="0" w:after="10" w:line="264" w:lineRule="auto"/>
        <w:ind w:left="31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/>
          <w:sz w:val="21"/>
        </w:rPr>
        <w:t>•</w:t>
      </w:r>
      <w:r>
        <w:rPr>
          <w:rFonts w:hint="default" w:ascii="Times New Roman" w:hAnsi="Times New Roman" w:eastAsia="宋体" w:cs="Times New Roman"/>
          <w:b w:val="0"/>
          <w:sz w:val="21"/>
        </w:rPr>
        <w:t>实现记录修改规范：原记录先撤销，再新增正确记录，保证诊疗与财务过程可追溯。</w:t>
      </w:r>
    </w:p>
    <w:p w14:paraId="0D9D7F03">
      <w:pPr>
        <w:spacing w:before="0" w:after="10" w:line="264" w:lineRule="auto"/>
        <w:ind w:left="31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/>
          <w:sz w:val="21"/>
        </w:rPr>
        <w:t>•</w:t>
      </w:r>
      <w:r>
        <w:rPr>
          <w:rFonts w:hint="default" w:ascii="Times New Roman" w:hAnsi="Times New Roman" w:eastAsia="宋体" w:cs="Times New Roman"/>
          <w:b w:val="0"/>
          <w:sz w:val="21"/>
        </w:rPr>
        <w:t>在ProcessBilling()中完成住院办理，录入住院时间、预计出院时间、押金，并校验押金规则。</w:t>
      </w:r>
    </w:p>
    <w:p w14:paraId="1FDE5030">
      <w:pPr>
        <w:spacing w:before="0" w:after="10" w:line="264" w:lineRule="auto"/>
        <w:ind w:left="31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/>
          <w:sz w:val="21"/>
        </w:rPr>
        <w:t>•</w:t>
      </w:r>
      <w:r>
        <w:rPr>
          <w:rFonts w:hint="default" w:ascii="Times New Roman" w:hAnsi="Times New Roman" w:eastAsia="宋体" w:cs="Times New Roman"/>
          <w:b w:val="0"/>
          <w:sz w:val="21"/>
        </w:rPr>
        <w:t>实现每日08:00自动扣费、押金预警与在院费用管理。</w:t>
      </w:r>
    </w:p>
    <w:p w14:paraId="7C3F7686">
      <w:pPr>
        <w:spacing w:before="0" w:after="10" w:line="264" w:lineRule="auto"/>
        <w:ind w:left="31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/>
          <w:sz w:val="21"/>
        </w:rPr>
        <w:t>•</w:t>
      </w:r>
      <w:r>
        <w:rPr>
          <w:rFonts w:hint="default" w:ascii="Times New Roman" w:hAnsi="Times New Roman" w:eastAsia="宋体" w:cs="Times New Roman"/>
          <w:b w:val="0"/>
          <w:sz w:val="21"/>
        </w:rPr>
        <w:t>完成出院结算：按出院时段判断是否收取当天住院费，生成结算记录并更新患者状态。</w:t>
      </w:r>
    </w:p>
    <w:p w14:paraId="27B4924E">
      <w:pPr>
        <w:spacing w:before="0" w:after="10" w:line="264" w:lineRule="auto"/>
        <w:ind w:left="31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/>
          <w:sz w:val="21"/>
        </w:rPr>
        <w:t>•</w:t>
      </w:r>
      <w:r>
        <w:rPr>
          <w:rFonts w:hint="default" w:ascii="Times New Roman" w:hAnsi="Times New Roman" w:eastAsia="宋体" w:cs="Times New Roman"/>
          <w:b w:val="0"/>
          <w:sz w:val="21"/>
        </w:rPr>
        <w:t>提供欠费风险预警接口，供住院管理界面和统计模块调用。</w:t>
      </w:r>
    </w:p>
    <w:p w14:paraId="387F8CC1">
      <w:pPr>
        <w:spacing w:before="0" w:after="40" w:line="269" w:lineRule="auto"/>
        <w:ind w:left="31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color w:val="3E5E76"/>
          <w:sz w:val="21"/>
        </w:rPr>
        <w:t>交付物：RegisterPatient()、SeeDoctor()、ProcessBilling()、记录修改/撤销功能、住院扣费逻辑、出院结算逻辑、欠费预警接口。</w:t>
      </w:r>
    </w:p>
    <w:p w14:paraId="513769A5">
      <w:pPr>
        <w:spacing w:before="80" w:after="40"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  <w:b/>
          <w:sz w:val="23"/>
        </w:rPr>
        <w:t>（3）谢欣材（25%）</w:t>
      </w:r>
    </w:p>
    <w:p w14:paraId="639447B4">
      <w:pPr>
        <w:spacing w:before="0" w:after="40" w:line="288" w:lineRule="auto"/>
        <w:ind w:firstLine="4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sz w:val="21"/>
        </w:rPr>
        <w:t>负责药房管理模块和病房/床位管理模块，承担医院后勤支持与资源管理功能。</w:t>
      </w:r>
    </w:p>
    <w:p w14:paraId="77005D99">
      <w:pPr>
        <w:spacing w:before="0" w:after="10" w:line="264" w:lineRule="auto"/>
        <w:ind w:left="31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/>
          <w:sz w:val="21"/>
        </w:rPr>
        <w:t>•</w:t>
      </w:r>
      <w:r>
        <w:rPr>
          <w:rFonts w:hint="default" w:ascii="Times New Roman" w:hAnsi="Times New Roman" w:eastAsia="宋体" w:cs="Times New Roman"/>
          <w:b w:val="0"/>
          <w:sz w:val="21"/>
        </w:rPr>
        <w:t>实现PharmacyManagement()，维护药品信息、入库、出库、库存校验及按名称检索。</w:t>
      </w:r>
    </w:p>
    <w:p w14:paraId="511EDB67">
      <w:pPr>
        <w:spacing w:before="0" w:after="10" w:line="264" w:lineRule="auto"/>
        <w:ind w:left="31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/>
          <w:sz w:val="21"/>
        </w:rPr>
        <w:t>•</w:t>
      </w:r>
      <w:r>
        <w:rPr>
          <w:rFonts w:hint="default" w:ascii="Times New Roman" w:hAnsi="Times New Roman" w:eastAsia="宋体" w:cs="Times New Roman"/>
          <w:b w:val="0"/>
          <w:sz w:val="21"/>
        </w:rPr>
        <w:t>实现药品模糊匹配，支持商品名、通用名、别名和关键字候选结果。</w:t>
      </w:r>
    </w:p>
    <w:p w14:paraId="523240C2">
      <w:pPr>
        <w:spacing w:before="0" w:after="10" w:line="264" w:lineRule="auto"/>
        <w:ind w:left="31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/>
          <w:sz w:val="21"/>
        </w:rPr>
        <w:t>•</w:t>
      </w:r>
      <w:r>
        <w:rPr>
          <w:rFonts w:hint="default" w:ascii="Times New Roman" w:hAnsi="Times New Roman" w:eastAsia="宋体" w:cs="Times New Roman"/>
          <w:b w:val="0"/>
          <w:sz w:val="21"/>
        </w:rPr>
        <w:t>实现ShowWardStatus()及病房/床位管理，覆盖普通、重症、VIP病房及空闲、占用、维护中三类状态。</w:t>
      </w:r>
    </w:p>
    <w:p w14:paraId="48F2BC00">
      <w:pPr>
        <w:spacing w:before="0" w:after="10" w:line="264" w:lineRule="auto"/>
        <w:ind w:left="31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/>
          <w:sz w:val="21"/>
        </w:rPr>
        <w:t>•</w:t>
      </w:r>
      <w:r>
        <w:rPr>
          <w:rFonts w:hint="default" w:ascii="Times New Roman" w:hAnsi="Times New Roman" w:eastAsia="宋体" w:cs="Times New Roman"/>
          <w:b w:val="0"/>
          <w:sz w:val="21"/>
        </w:rPr>
        <w:t>实现患者与床位绑定、出院释放床位。</w:t>
      </w:r>
    </w:p>
    <w:p w14:paraId="4FBC9A8E">
      <w:pPr>
        <w:spacing w:before="0" w:after="10" w:line="264" w:lineRule="auto"/>
        <w:ind w:left="31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/>
          <w:sz w:val="21"/>
        </w:rPr>
        <w:t>•</w:t>
      </w:r>
      <w:r>
        <w:rPr>
          <w:rFonts w:hint="default" w:ascii="Times New Roman" w:hAnsi="Times New Roman" w:eastAsia="宋体" w:cs="Times New Roman"/>
          <w:b w:val="0"/>
          <w:sz w:val="21"/>
        </w:rPr>
        <w:t>向统计模块提供床位使用情况、病房类型数量、库存预警和出入库统计基础数据。</w:t>
      </w:r>
    </w:p>
    <w:p w14:paraId="0B684665">
      <w:pPr>
        <w:spacing w:before="0" w:after="40" w:line="269" w:lineRule="auto"/>
        <w:ind w:left="31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color w:val="3E5E76"/>
          <w:sz w:val="21"/>
        </w:rPr>
        <w:t>交付物：PharmacyManagement()、药品模糊匹配功能、ShowWardStatus()、病房类型与床位状态管理功能、患者-床位绑定与释放功能、床位/药房相关统计基础数据接口。</w:t>
      </w:r>
    </w:p>
    <w:p w14:paraId="3CDE745D">
      <w:pPr>
        <w:spacing w:before="80" w:after="40"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  <w:b/>
          <w:sz w:val="23"/>
        </w:rPr>
        <w:t>（4）周溢程（25%）</w:t>
      </w:r>
    </w:p>
    <w:p w14:paraId="2B3F9160">
      <w:pPr>
        <w:spacing w:before="0" w:after="40" w:line="288" w:lineRule="auto"/>
        <w:ind w:firstLine="4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sz w:val="21"/>
        </w:rPr>
        <w:t>负责系统数据持久化、文件容错恢复、综合查询、删除与日志支持，是系统长期保存数据和快速查找信息的关键基础模块。</w:t>
      </w:r>
    </w:p>
    <w:p w14:paraId="76C2565C">
      <w:pPr>
        <w:spacing w:before="0" w:after="10" w:line="264" w:lineRule="auto"/>
        <w:ind w:left="31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/>
          <w:sz w:val="21"/>
        </w:rPr>
        <w:t>•</w:t>
      </w:r>
      <w:r>
        <w:rPr>
          <w:rFonts w:hint="default" w:ascii="Times New Roman" w:hAnsi="Times New Roman" w:eastAsia="宋体" w:cs="Times New Roman"/>
          <w:b w:val="0"/>
          <w:sz w:val="21"/>
        </w:rPr>
        <w:t>实现LoadAllData()与SaveAllData()，保证程序启动读档、退出存档和数据状态恢复。</w:t>
      </w:r>
    </w:p>
    <w:p w14:paraId="14EDB071">
      <w:pPr>
        <w:spacing w:before="0" w:after="10" w:line="264" w:lineRule="auto"/>
        <w:ind w:left="31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/>
          <w:sz w:val="21"/>
        </w:rPr>
        <w:t>•</w:t>
      </w:r>
      <w:r>
        <w:rPr>
          <w:rFonts w:hint="default" w:ascii="Times New Roman" w:hAnsi="Times New Roman" w:eastAsia="宋体" w:cs="Times New Roman"/>
          <w:b w:val="0"/>
          <w:sz w:val="21"/>
        </w:rPr>
        <w:t>实现文件容错与数据清洗：读取时坏行跳过、错误写日志、正确数据继续读取。</w:t>
      </w:r>
    </w:p>
    <w:p w14:paraId="19D39CF5">
      <w:pPr>
        <w:spacing w:before="0" w:after="10" w:line="264" w:lineRule="auto"/>
        <w:ind w:left="31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/>
          <w:sz w:val="21"/>
        </w:rPr>
        <w:t>•</w:t>
      </w:r>
      <w:r>
        <w:rPr>
          <w:rFonts w:hint="default" w:ascii="Times New Roman" w:hAnsi="Times New Roman" w:eastAsia="宋体" w:cs="Times New Roman"/>
          <w:b w:val="0"/>
          <w:sz w:val="21"/>
        </w:rPr>
        <w:t>实现软删除机制：删除仅设置is_deleted=1，默认查询不显示被删除记录。</w:t>
      </w:r>
    </w:p>
    <w:p w14:paraId="5B923ECE">
      <w:pPr>
        <w:spacing w:before="0" w:after="10" w:line="264" w:lineRule="auto"/>
        <w:ind w:left="31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/>
          <w:sz w:val="21"/>
        </w:rPr>
        <w:t>•</w:t>
      </w:r>
      <w:r>
        <w:rPr>
          <w:rFonts w:hint="default" w:ascii="Times New Roman" w:hAnsi="Times New Roman" w:eastAsia="宋体" w:cs="Times New Roman"/>
          <w:b w:val="0"/>
          <w:sz w:val="21"/>
        </w:rPr>
        <w:t>实现SearchModule()，支持按科室、医生工号、患者、药品和时间范围查询诊疗信息。</w:t>
      </w:r>
    </w:p>
    <w:p w14:paraId="17A03347">
      <w:pPr>
        <w:spacing w:before="0" w:after="10" w:line="264" w:lineRule="auto"/>
        <w:ind w:left="31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/>
          <w:sz w:val="21"/>
        </w:rPr>
        <w:t>•</w:t>
      </w:r>
      <w:r>
        <w:rPr>
          <w:rFonts w:hint="default" w:ascii="Times New Roman" w:hAnsi="Times New Roman" w:eastAsia="宋体" w:cs="Times New Roman"/>
          <w:b w:val="0"/>
          <w:sz w:val="21"/>
        </w:rPr>
        <w:t>实现医生/患者重名二次确认机制，避免误查和误操作。</w:t>
      </w:r>
    </w:p>
    <w:p w14:paraId="36075541">
      <w:pPr>
        <w:spacing w:before="0" w:after="10" w:line="264" w:lineRule="auto"/>
        <w:ind w:left="31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/>
          <w:sz w:val="21"/>
        </w:rPr>
        <w:t>•</w:t>
      </w:r>
      <w:r>
        <w:rPr>
          <w:rFonts w:hint="default" w:ascii="Times New Roman" w:hAnsi="Times New Roman" w:eastAsia="宋体" w:cs="Times New Roman"/>
          <w:b w:val="0"/>
          <w:sz w:val="21"/>
        </w:rPr>
        <w:t>在时间允许时补充操作日志、坏数据日志、删除/撤销日志。</w:t>
      </w:r>
    </w:p>
    <w:p w14:paraId="69EF5851">
      <w:pPr>
        <w:spacing w:before="0" w:after="40" w:line="269" w:lineRule="auto"/>
        <w:ind w:left="31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color w:val="3E5E76"/>
          <w:sz w:val="21"/>
        </w:rPr>
        <w:t>交付物：LoadAllData()、SaveAllData()、删除功能、SearchModule()、重名处理功能、日志支持功能（可选增强）。</w:t>
      </w:r>
    </w:p>
    <w:p w14:paraId="7371C589">
      <w:pPr>
        <w:spacing w:before="120" w:after="80"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  <w:b/>
          <w:sz w:val="26"/>
        </w:rPr>
        <w:t>5.模块衔接与最终联调</w:t>
      </w:r>
    </w:p>
    <w:p w14:paraId="6A433C75">
      <w:pPr>
        <w:spacing w:before="0" w:after="60" w:line="288" w:lineRule="auto"/>
        <w:ind w:firstLine="4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sz w:val="21"/>
        </w:rPr>
        <w:t>系统以公共数据结构和统一规范为底座，由门诊/住院主流程产生核心业务数据，再由药房与床位模块提供资源支持，最终通过持久化、查询和统计模块完成保存、检索、汇总和整体验收。</w:t>
      </w:r>
    </w:p>
    <w:tbl>
      <w:tblPr>
        <w:tblStyle w:val="32"/>
        <w:tblW w:w="0" w:type="auto"/>
        <w:jc w:val="center"/>
        <w:tblBorders>
          <w:top w:val="single" w:color="AABBCB" w:sz="8" w:space="0"/>
          <w:left w:val="single" w:color="AABBCB" w:sz="8" w:space="0"/>
          <w:bottom w:val="single" w:color="AABBCB" w:sz="8" w:space="0"/>
          <w:right w:val="single" w:color="AABBCB" w:sz="8" w:space="0"/>
          <w:insideH w:val="single" w:color="AABBCB" w:sz="8" w:space="0"/>
          <w:insideV w:val="single" w:color="AABBCB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7"/>
        <w:gridCol w:w="3137"/>
        <w:gridCol w:w="3137"/>
      </w:tblGrid>
      <w:tr w14:paraId="7AC35514">
        <w:tblPrEx>
          <w:tblBorders>
            <w:top w:val="single" w:color="AABBCB" w:sz="8" w:space="0"/>
            <w:left w:val="single" w:color="AABBCB" w:sz="8" w:space="0"/>
            <w:bottom w:val="single" w:color="AABBCB" w:sz="8" w:space="0"/>
            <w:right w:val="single" w:color="AABBCB" w:sz="8" w:space="0"/>
            <w:insideH w:val="single" w:color="AABBCB" w:sz="8" w:space="0"/>
            <w:insideV w:val="single" w:color="AABBCB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CEA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FE0DD6">
            <w:pPr>
              <w:spacing w:before="0"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黑体" w:cs="Times New Roman"/>
                <w:b/>
                <w:sz w:val="21"/>
              </w:rPr>
              <w:t>环节</w:t>
            </w:r>
          </w:p>
        </w:tc>
        <w:tc>
          <w:tcPr>
            <w:tcW w:w="3061" w:type="dxa"/>
            <w:shd w:val="clear" w:color="auto" w:fill="DCEA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9E0772">
            <w:pPr>
              <w:spacing w:before="0"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黑体" w:cs="Times New Roman"/>
                <w:b/>
                <w:sz w:val="21"/>
              </w:rPr>
              <w:t>对应模块</w:t>
            </w:r>
          </w:p>
        </w:tc>
        <w:tc>
          <w:tcPr>
            <w:tcW w:w="4082" w:type="dxa"/>
            <w:shd w:val="clear" w:color="auto" w:fill="DCEA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87EADF">
            <w:pPr>
              <w:spacing w:before="0"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黑体" w:cs="Times New Roman"/>
                <w:b/>
                <w:sz w:val="21"/>
              </w:rPr>
              <w:t>衔接关系</w:t>
            </w:r>
          </w:p>
        </w:tc>
      </w:tr>
      <w:tr w14:paraId="35608EB6">
        <w:tblPrEx>
          <w:tblBorders>
            <w:top w:val="single" w:color="AABBCB" w:sz="8" w:space="0"/>
            <w:left w:val="single" w:color="AABBCB" w:sz="8" w:space="0"/>
            <w:bottom w:val="single" w:color="AABBCB" w:sz="8" w:space="0"/>
            <w:right w:val="single" w:color="AABBCB" w:sz="8" w:space="0"/>
            <w:insideH w:val="single" w:color="AABBCB" w:sz="8" w:space="0"/>
            <w:insideV w:val="single" w:color="AABBCB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428591">
            <w:pPr>
              <w:spacing w:before="0" w:after="0" w:line="269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0"/>
              </w:rPr>
              <w:t>公共规则</w:t>
            </w:r>
          </w:p>
        </w:tc>
        <w:tc>
          <w:tcPr>
            <w:tcW w:w="31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E5DE40">
            <w:pPr>
              <w:spacing w:before="0" w:after="0" w:line="269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0"/>
              </w:rPr>
              <w:t>global.h、输入校验、main.cpp</w:t>
            </w:r>
          </w:p>
        </w:tc>
        <w:tc>
          <w:tcPr>
            <w:tcW w:w="31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ED4498">
            <w:pPr>
              <w:spacing w:before="0" w:after="0" w:line="269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0"/>
              </w:rPr>
              <w:t>为全部业务模块提供统一数据结构、统一接口入口和统一输入规范。</w:t>
            </w:r>
          </w:p>
        </w:tc>
      </w:tr>
      <w:tr w14:paraId="46CBDDCD">
        <w:tblPrEx>
          <w:tblBorders>
            <w:top w:val="single" w:color="AABBCB" w:sz="8" w:space="0"/>
            <w:left w:val="single" w:color="AABBCB" w:sz="8" w:space="0"/>
            <w:bottom w:val="single" w:color="AABBCB" w:sz="8" w:space="0"/>
            <w:right w:val="single" w:color="AABBCB" w:sz="8" w:space="0"/>
            <w:insideH w:val="single" w:color="AABBCB" w:sz="8" w:space="0"/>
            <w:insideV w:val="single" w:color="AABBCB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B96016">
            <w:pPr>
              <w:spacing w:before="0" w:after="0" w:line="269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0"/>
              </w:rPr>
              <w:t>核心业务链</w:t>
            </w:r>
          </w:p>
        </w:tc>
        <w:tc>
          <w:tcPr>
            <w:tcW w:w="31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5E3275">
            <w:pPr>
              <w:spacing w:before="0" w:after="0" w:line="269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0"/>
              </w:rPr>
              <w:t>RegisterPatient()、SeeDoctor()、ProcessBilling()</w:t>
            </w:r>
          </w:p>
        </w:tc>
        <w:tc>
          <w:tcPr>
            <w:tcW w:w="31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1B8930">
            <w:pPr>
              <w:spacing w:before="0" w:after="0" w:line="269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0"/>
              </w:rPr>
              <w:t>生成患者、医生、诊疗、住院等核心业务数据，是查询、统计与保存的基础。</w:t>
            </w:r>
          </w:p>
        </w:tc>
      </w:tr>
      <w:tr w14:paraId="2B61720A">
        <w:tblPrEx>
          <w:tblBorders>
            <w:top w:val="single" w:color="AABBCB" w:sz="8" w:space="0"/>
            <w:left w:val="single" w:color="AABBCB" w:sz="8" w:space="0"/>
            <w:bottom w:val="single" w:color="AABBCB" w:sz="8" w:space="0"/>
            <w:right w:val="single" w:color="AABBCB" w:sz="8" w:space="0"/>
            <w:insideH w:val="single" w:color="AABBCB" w:sz="8" w:space="0"/>
            <w:insideV w:val="single" w:color="AABBCB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5C3E52">
            <w:pPr>
              <w:spacing w:before="0" w:after="0" w:line="269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0"/>
              </w:rPr>
              <w:t>资源管理</w:t>
            </w:r>
          </w:p>
        </w:tc>
        <w:tc>
          <w:tcPr>
            <w:tcW w:w="31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67B77E">
            <w:pPr>
              <w:spacing w:before="0" w:after="0" w:line="269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0"/>
              </w:rPr>
              <w:t>PharmacyManagement()、ShowWardStatus()</w:t>
            </w:r>
          </w:p>
        </w:tc>
        <w:tc>
          <w:tcPr>
            <w:tcW w:w="31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12FAAC">
            <w:pPr>
              <w:spacing w:before="0" w:after="0" w:line="269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0"/>
              </w:rPr>
              <w:t>为开药和住院流程提供药品库存、病房类型、床位状态及资源统计数据。</w:t>
            </w:r>
          </w:p>
        </w:tc>
      </w:tr>
      <w:tr w14:paraId="50E4BFF7">
        <w:tblPrEx>
          <w:tblBorders>
            <w:top w:val="single" w:color="AABBCB" w:sz="8" w:space="0"/>
            <w:left w:val="single" w:color="AABBCB" w:sz="8" w:space="0"/>
            <w:bottom w:val="single" w:color="AABBCB" w:sz="8" w:space="0"/>
            <w:right w:val="single" w:color="AABBCB" w:sz="8" w:space="0"/>
            <w:insideH w:val="single" w:color="AABBCB" w:sz="8" w:space="0"/>
            <w:insideV w:val="single" w:color="AABBCB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CFB584">
            <w:pPr>
              <w:spacing w:before="0" w:after="0" w:line="269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0"/>
              </w:rPr>
              <w:t>持久化与查询</w:t>
            </w:r>
          </w:p>
        </w:tc>
        <w:tc>
          <w:tcPr>
            <w:tcW w:w="31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AD4DD8">
            <w:pPr>
              <w:spacing w:before="0" w:after="0" w:line="269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0"/>
              </w:rPr>
              <w:t>LoadAllData()、SaveAllData()、SearchModule()</w:t>
            </w:r>
          </w:p>
        </w:tc>
        <w:tc>
          <w:tcPr>
            <w:tcW w:w="31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112E60">
            <w:pPr>
              <w:spacing w:before="0" w:after="0" w:line="269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0"/>
              </w:rPr>
              <w:t>负责系统数据恢复、综合查询、软删除与重名处理。</w:t>
            </w:r>
          </w:p>
        </w:tc>
      </w:tr>
      <w:tr w14:paraId="69EF2789">
        <w:tblPrEx>
          <w:tblBorders>
            <w:top w:val="single" w:color="AABBCB" w:sz="8" w:space="0"/>
            <w:left w:val="single" w:color="AABBCB" w:sz="8" w:space="0"/>
            <w:bottom w:val="single" w:color="AABBCB" w:sz="8" w:space="0"/>
            <w:right w:val="single" w:color="AABBCB" w:sz="8" w:space="0"/>
            <w:insideH w:val="single" w:color="AABBCB" w:sz="8" w:space="0"/>
            <w:insideV w:val="single" w:color="AABBCB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0402EA">
            <w:pPr>
              <w:spacing w:before="0" w:after="0" w:line="269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0"/>
              </w:rPr>
              <w:t>统计与验收</w:t>
            </w:r>
          </w:p>
        </w:tc>
        <w:tc>
          <w:tcPr>
            <w:tcW w:w="31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9EB2A3">
            <w:pPr>
              <w:spacing w:before="0" w:after="0" w:line="269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0"/>
              </w:rPr>
              <w:t>StatisticModule()、最终联调测试</w:t>
            </w:r>
          </w:p>
        </w:tc>
        <w:tc>
          <w:tcPr>
            <w:tcW w:w="31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042551">
            <w:pPr>
              <w:spacing w:before="0" w:after="0" w:line="269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0"/>
              </w:rPr>
              <w:t>在真实业务数据基础上完成报表汇总，并按完整流程进行整体验收。</w:t>
            </w:r>
          </w:p>
        </w:tc>
      </w:tr>
    </w:tbl>
    <w:p w14:paraId="3DCC3C97">
      <w:pPr>
        <w:rPr>
          <w:rFonts w:hint="default" w:ascii="Times New Roman" w:hAnsi="Times New Roman" w:cs="Times New Roman"/>
        </w:rPr>
      </w:pPr>
    </w:p>
    <w:p w14:paraId="158E36B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606AC6C6">
      <w:pPr>
        <w:spacing w:before="0" w:after="40"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  <w:b/>
          <w:sz w:val="22"/>
        </w:rPr>
        <w:t>关键规则摘要</w:t>
      </w:r>
    </w:p>
    <w:tbl>
      <w:tblPr>
        <w:tblStyle w:val="32"/>
        <w:tblW w:w="0" w:type="auto"/>
        <w:jc w:val="center"/>
        <w:tblBorders>
          <w:top w:val="single" w:color="AABBCB" w:sz="8" w:space="0"/>
          <w:left w:val="single" w:color="AABBCB" w:sz="8" w:space="0"/>
          <w:bottom w:val="single" w:color="AABBCB" w:sz="8" w:space="0"/>
          <w:right w:val="single" w:color="AABBCB" w:sz="8" w:space="0"/>
          <w:insideH w:val="single" w:color="AABBCB" w:sz="8" w:space="0"/>
          <w:insideV w:val="single" w:color="AABBCB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6"/>
        <w:gridCol w:w="4706"/>
      </w:tblGrid>
      <w:tr w14:paraId="0143670B">
        <w:tblPrEx>
          <w:tblBorders>
            <w:top w:val="single" w:color="AABBCB" w:sz="8" w:space="0"/>
            <w:left w:val="single" w:color="AABBCB" w:sz="8" w:space="0"/>
            <w:bottom w:val="single" w:color="AABBCB" w:sz="8" w:space="0"/>
            <w:right w:val="single" w:color="AABBCB" w:sz="8" w:space="0"/>
            <w:insideH w:val="single" w:color="AABBCB" w:sz="8" w:space="0"/>
            <w:insideV w:val="single" w:color="AABBCB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7F0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93C97D">
            <w:pPr>
              <w:spacing w:before="0"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黑体" w:cs="Times New Roman"/>
                <w:b/>
                <w:sz w:val="20"/>
              </w:rPr>
              <w:t>规则类别</w:t>
            </w:r>
          </w:p>
        </w:tc>
        <w:tc>
          <w:tcPr>
            <w:tcW w:w="6576" w:type="dxa"/>
            <w:shd w:val="clear" w:color="auto" w:fill="E7F0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A98ED8">
            <w:pPr>
              <w:spacing w:before="0"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黑体" w:cs="Times New Roman"/>
                <w:b/>
                <w:sz w:val="20"/>
              </w:rPr>
              <w:t>原文要点</w:t>
            </w:r>
          </w:p>
        </w:tc>
      </w:tr>
      <w:tr w14:paraId="2A8919D8">
        <w:tblPrEx>
          <w:tblBorders>
            <w:top w:val="single" w:color="AABBCB" w:sz="8" w:space="0"/>
            <w:left w:val="single" w:color="AABBCB" w:sz="8" w:space="0"/>
            <w:bottom w:val="single" w:color="AABBCB" w:sz="8" w:space="0"/>
            <w:right w:val="single" w:color="AABBCB" w:sz="8" w:space="0"/>
            <w:insideH w:val="single" w:color="AABBCB" w:sz="8" w:space="0"/>
            <w:insideV w:val="single" w:color="AABBCB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FB698D">
            <w:pPr>
              <w:spacing w:before="0" w:after="0" w:line="269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0"/>
              </w:rPr>
              <w:t>挂号限制</w:t>
            </w:r>
          </w:p>
        </w:tc>
        <w:tc>
          <w:tcPr>
            <w:tcW w:w="470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1198DF">
            <w:pPr>
              <w:spacing w:before="0" w:after="0" w:line="269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0"/>
              </w:rPr>
              <w:t>全院每天最多500个号；每位医生每天最多20个号；每位患者每天最多挂5个号；同一患者同一天同一科室最多挂1个号。</w:t>
            </w:r>
          </w:p>
        </w:tc>
      </w:tr>
      <w:tr w14:paraId="4D52D253">
        <w:tblPrEx>
          <w:tblBorders>
            <w:top w:val="single" w:color="AABBCB" w:sz="8" w:space="0"/>
            <w:left w:val="single" w:color="AABBCB" w:sz="8" w:space="0"/>
            <w:bottom w:val="single" w:color="AABBCB" w:sz="8" w:space="0"/>
            <w:right w:val="single" w:color="AABBCB" w:sz="8" w:space="0"/>
            <w:insideH w:val="single" w:color="AABBCB" w:sz="8" w:space="0"/>
            <w:insideV w:val="single" w:color="AABBCB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7FBD06">
            <w:pPr>
              <w:spacing w:before="0" w:after="0" w:line="269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0"/>
              </w:rPr>
              <w:t>住院押金</w:t>
            </w:r>
          </w:p>
        </w:tc>
        <w:tc>
          <w:tcPr>
            <w:tcW w:w="470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1F847B">
            <w:pPr>
              <w:spacing w:before="0" w:after="0" w:line="269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0"/>
              </w:rPr>
              <w:t>押金必须是100元的整数倍，且不得低于200×拟住院天数；住院期间押金持续不低于1000元时为安全状态。</w:t>
            </w:r>
          </w:p>
        </w:tc>
      </w:tr>
      <w:tr w14:paraId="1019FF52">
        <w:tblPrEx>
          <w:tblBorders>
            <w:top w:val="single" w:color="AABBCB" w:sz="8" w:space="0"/>
            <w:left w:val="single" w:color="AABBCB" w:sz="8" w:space="0"/>
            <w:bottom w:val="single" w:color="AABBCB" w:sz="8" w:space="0"/>
            <w:right w:val="single" w:color="AABBCB" w:sz="8" w:space="0"/>
            <w:insideH w:val="single" w:color="AABBCB" w:sz="8" w:space="0"/>
            <w:insideV w:val="single" w:color="AABBCB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05B230">
            <w:pPr>
              <w:spacing w:before="0" w:after="0" w:line="269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0"/>
              </w:rPr>
              <w:t>出院计费</w:t>
            </w:r>
          </w:p>
        </w:tc>
        <w:tc>
          <w:tcPr>
            <w:tcW w:w="470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724C83">
            <w:pPr>
              <w:spacing w:before="0" w:after="0" w:line="269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0"/>
              </w:rPr>
              <w:t>00:00-08:00办理出院不收取当天住院费用；08:00之后办理出院则收取当天住院费用。</w:t>
            </w:r>
          </w:p>
        </w:tc>
      </w:tr>
      <w:tr w14:paraId="1912E09D">
        <w:tblPrEx>
          <w:tblBorders>
            <w:top w:val="single" w:color="AABBCB" w:sz="8" w:space="0"/>
            <w:left w:val="single" w:color="AABBCB" w:sz="8" w:space="0"/>
            <w:bottom w:val="single" w:color="AABBCB" w:sz="8" w:space="0"/>
            <w:right w:val="single" w:color="AABBCB" w:sz="8" w:space="0"/>
            <w:insideH w:val="single" w:color="AABBCB" w:sz="8" w:space="0"/>
            <w:insideV w:val="single" w:color="AABBCB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DABC6C">
            <w:pPr>
              <w:spacing w:before="0" w:after="0" w:line="269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0"/>
              </w:rPr>
              <w:t>药房与床位</w:t>
            </w:r>
          </w:p>
        </w:tc>
        <w:tc>
          <w:tcPr>
            <w:tcW w:w="470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2062AF">
            <w:pPr>
              <w:spacing w:before="0" w:after="0" w:line="269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0"/>
              </w:rPr>
              <w:t>开药每次最多100盒；床位状态包括空闲、占用、维护中；病房类型包括普通、重症、VIP。</w:t>
            </w:r>
          </w:p>
        </w:tc>
      </w:tr>
      <w:tr w14:paraId="06B1830F">
        <w:tblPrEx>
          <w:tblBorders>
            <w:top w:val="single" w:color="AABBCB" w:sz="8" w:space="0"/>
            <w:left w:val="single" w:color="AABBCB" w:sz="8" w:space="0"/>
            <w:bottom w:val="single" w:color="AABBCB" w:sz="8" w:space="0"/>
            <w:right w:val="single" w:color="AABBCB" w:sz="8" w:space="0"/>
            <w:insideH w:val="single" w:color="AABBCB" w:sz="8" w:space="0"/>
            <w:insideV w:val="single" w:color="AABBCB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FC833C">
            <w:pPr>
              <w:spacing w:before="0" w:after="0" w:line="269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0"/>
              </w:rPr>
              <w:t>修改与删除</w:t>
            </w:r>
          </w:p>
        </w:tc>
        <w:tc>
          <w:tcPr>
            <w:tcW w:w="470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1DC1D2">
            <w:pPr>
              <w:spacing w:before="0" w:after="0" w:line="269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0"/>
              </w:rPr>
              <w:t>记录修改不得直接覆盖，应先撤销旧记录再新增正确记录；删除采用软删除，不物理移除数组元素。</w:t>
            </w:r>
          </w:p>
        </w:tc>
      </w:tr>
      <w:tr w14:paraId="7A01DE9E">
        <w:tblPrEx>
          <w:tblBorders>
            <w:top w:val="single" w:color="AABBCB" w:sz="8" w:space="0"/>
            <w:left w:val="single" w:color="AABBCB" w:sz="8" w:space="0"/>
            <w:bottom w:val="single" w:color="AABBCB" w:sz="8" w:space="0"/>
            <w:right w:val="single" w:color="AABBCB" w:sz="8" w:space="0"/>
            <w:insideH w:val="single" w:color="AABBCB" w:sz="8" w:space="0"/>
            <w:insideV w:val="single" w:color="AABBCB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B0ECF4">
            <w:pPr>
              <w:spacing w:before="0" w:after="0" w:line="269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0"/>
              </w:rPr>
              <w:t>文件容错</w:t>
            </w:r>
          </w:p>
        </w:tc>
        <w:tc>
          <w:tcPr>
            <w:tcW w:w="470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D40B18">
            <w:pPr>
              <w:spacing w:before="0" w:after="0" w:line="269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0"/>
              </w:rPr>
              <w:t>读取文件时发现坏行应跳过，并记录错误日志；其余正确数据继续读取。</w:t>
            </w:r>
          </w:p>
        </w:tc>
      </w:tr>
    </w:tbl>
    <w:p w14:paraId="28DFE1A8">
      <w:pPr>
        <w:spacing w:before="60" w:after="0" w:line="276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  <w:b/>
          <w:sz w:val="22"/>
        </w:rPr>
        <w:t>最终联调测试流程：</w:t>
      </w:r>
    </w:p>
    <w:p w14:paraId="64CCA500">
      <w:pPr>
        <w:spacing w:before="0" w:after="0" w:line="276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sz w:val="21"/>
        </w:rPr>
        <w:t>挂号→看诊→检查/开药→办理住院→自动扣费/出院→查询与统计→保存与读档。</w:t>
      </w:r>
    </w:p>
    <w:sectPr>
      <w:pgSz w:w="11906" w:h="16838"/>
      <w:pgMar w:top="1247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渔阳体 W05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仓耳渔阳体 W05">
    <w:panose1 w:val="02020400000000000000"/>
    <w:charset w:val="80"/>
    <w:family w:val="auto"/>
    <w:pitch w:val="default"/>
    <w:sig w:usb0="80000023" w:usb1="08C10458" w:usb2="00000012" w:usb3="00000000" w:csb0="00020001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6534B0F"/>
    <w:rsid w:val="0A4725AB"/>
    <w:rsid w:val="1297204D"/>
    <w:rsid w:val="2D88186C"/>
    <w:rsid w:val="3CD502DC"/>
    <w:rsid w:val="3FCA6EDF"/>
    <w:rsid w:val="4EE63D41"/>
    <w:rsid w:val="52E37F64"/>
    <w:rsid w:val="65416C31"/>
    <w:rsid w:val="78A3591C"/>
    <w:rsid w:val="7C7C2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2221</Words>
  <Characters>2833</Characters>
  <Lines>0</Lines>
  <Paragraphs>0</Paragraphs>
  <TotalTime>14</TotalTime>
  <ScaleCrop>false</ScaleCrop>
  <LinksUpToDate>false</LinksUpToDate>
  <CharactersWithSpaces>2833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钟佳凌</cp:lastModifiedBy>
  <dcterms:modified xsi:type="dcterms:W3CDTF">2026-04-10T03:52:11Z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eyJoZGlkIjoiOGUxYzQzYjJhMGRjY2UzNzZlNDRkOGRkNDAwMmVjMDIiLCJ1c2VySWQiOiIxNjI1MTE0MTk5In0=</vt:lpwstr>
  </property>
  <property fmtid="{D5CDD505-2E9C-101B-9397-08002B2CF9AE}" pid="3" name="KSOProductBuildVer">
    <vt:lpwstr>2052-12.1.0.24657</vt:lpwstr>
  </property>
  <property fmtid="{D5CDD505-2E9C-101B-9397-08002B2CF9AE}" pid="4" name="ICV">
    <vt:lpwstr>C252747C78EC42A4A931358F9C13EEE7_12</vt:lpwstr>
  </property>
</Properties>
</file>