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机联智检项目计划书</w:t>
      </w:r>
    </w:p>
    <w:p>
      <w:pPr>
        <w:pStyle w:val="Heading1"/>
        <w:pageBreakBefore w:val="0"/>
      </w:pPr>
      <w:r>
        <w:t>面向既有车联网平台的本地 AI 诊断与备件辅助工具</w:t>
      </w:r>
    </w:p>
    <w:p>
      <w:r>
        <w:t>AI＋工程机械专业赛｜参赛 Proposal 工作稿</w:t>
      </w:r>
    </w:p>
    <w:p>
      <w:commentRangeStart w:id="0"/>
      <w:r>
        <w:t>版本⁠：2026年9月14日 v6 更新稿⁠。项目阶段⁠：本地软件原型与模拟流程验证⁠。开发资源⁠：现有电脑与已购会员⁠，零新增现金开发预算⁠。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执行摘要</w:t>
      </w:r>
    </w:p>
    <w:p>
      <w:r>
        <w:t>机联智检是一款运行在既有车联网平台旁的辅助工具⁠。面向工程机械远程技术支持与现场服务人员⁠，将设备遥测、故障事件、现场检查记录和本地备件目录组织成可追溯的分析流程⁠，帮助使用者回答三个问题⁠：当前数据能说明什么⁠，下一步需要核实什么⁠，哪些备件值得进一步检查适用性⁠。</w:t>
      </w:r>
    </w:p>
    <w:p>
      <w:r>
        <w:t>产品采用浏览器侧栏扩展配合本地服务⁠。数据处理、目录检索和大模型推理运行于本机⁠；真实设备数据通过授权 API 获取⁠，模拟数据用于演示和开发⁠。扩展已实现点击后从 Trackunit 设备详情网址读取设备 ID⁠，并定位本地对应数据⁠；多个历史版本需明确选择⁠。网址与本地设备的对应关系已核实⁠，实际安装后的侧栏联调仍待完成⁠。</w:t>
      </w:r>
    </w:p>
    <w:p>
      <w:r>
        <w:t>项目已实现本地模型调用证据工具、时间窗口工时分析、异常数据筛查、JSON/CSV 导入、备件候选检索及检查反馈留存⁠。另已训练模拟挖掘机工况分类器⁠，交付测试集回放页面⁠。真实 Trackunit 快照和历史工时已读取成功⁠，故障事件权限仍有缺口⁠。当前成果证明原型链路与模拟基线可以运行⁠，不证明实机故障预测准确率、维修收益或备件采购适用性⁠。</w:t>
      </w:r>
    </w:p>
    <w:p>
      <w:pPr>
        <w:pStyle w:val="Heading1"/>
        <w:pageBreakBefore/>
      </w:pPr>
      <w:r>
        <w:t>一 问题与目标用户</w:t>
      </w:r>
    </w:p>
    <w:p>
      <w:r>
        <w:t>车联网平台提供大量设备数据⁠，但技术支持仍需要理解采样时间、判断数据是否可信、查阅对应机型资料⁠，并与现场人员反复确认⁠。工时不变既可能来自设备停机⁠，也可能来自通信问题、数据延迟或缓存陈旧⁠。故障码提供检查线索⁠，但不能直接证明某个部件损坏⁠；同名备件也不一定适用于当前整机配置⁠。</w:t>
      </w:r>
    </w:p>
    <w:p>
      <w:r>
        <w:t>目标用户包括工程机械制造商和经销商的技术支持人员、现场服务工程师以及车联网产品测试人员⁠。典型任务是远程初筛、维修前准备、案例复盘和新人员培训⁠。项目希望缩短资料查找和证据整理时间⁠，减少缺乏依据的换件建议⁠；具体改善幅度需通过对照试验验证⁠。</w:t>
      </w:r>
    </w:p>
    <w:p>
      <w:r>
        <w:t>第一阶段设备范围为柴油液压挖掘机⁠，模拟工况包含挖掘、回转、卸料、怠速和行走⁠。设备类型和信号可用性必须明确⁠，不能将某一挖掘机的规律直接推广到全部工程机械⁠。</w:t>
      </w:r>
    </w:p>
    <w:p>
      <w:pPr>
        <w:pStyle w:val="Heading1"/>
        <w:pageBreakBefore w:val="0"/>
      </w:pPr>
      <w:r>
        <w:t>二 产品形式与工作流程</w:t>
      </w:r>
    </w:p>
    <w:p>
      <w:r>
        <w:t>交付形式为 Chrome/Edge 侧栏扩展、本地 FastAPI 服务、本地模型和资料目录⁠。侧栏是主要入口⁠，完整浏览器工作区用于较复杂的证据查看和备件表格对比⁠。现有车联网平台继续承担原有设备管理功能⁠。</w:t>
      </w:r>
    </w:p>
    <w:p>
      <w:r>
        <w:t>一次使用流程如下⁠：</w:t>
      </w:r>
    </w:p>
    <w:p>
      <w:r>
        <w:t>1. 选择设备或已导入的数据集⁠，查看来源与最后上报时间⁠。</w:t>
      </w:r>
    </w:p>
    <w:p>
      <w:r>
        <w:t>2. 输入分析问题⁠，可补充已完成的现场检查及观察⁠。</w:t>
      </w:r>
    </w:p>
    <w:p>
      <w:r>
        <w:t>3. 本地 AI 选择快照、故障、趋势和备件工具⁠，读取结果后形成建议⁠。</w:t>
      </w:r>
    </w:p>
    <w:p>
      <w:r>
        <w:t>4. 用户查看指标、AI 解释、带来源的检查步骤和备件候选⁠，在诊断记录下保存检查结果⁠，再带已保存反馈继续分析⁠；新报告保留原记录关联⁠。</w:t>
      </w:r>
    </w:p>
    <w:p>
      <w:r>
        <w:t>5. 导出包含设备、数据来源、证据、工具记录及建议的报告⁠，交由服务人员复核⁠。</w:t>
      </w:r>
    </w:p>
    <w:p>
      <w:r>
        <w:t>界面采用紧凑工作区⁠：设备信息置顶⁠，诊断任务与结果分栏⁠，导入数据和备件库位于独立页面⁠。接口核验表区分返回数据、空响应、无权读取和未核验⁠，并说明其仅代表上次选定设备与时段⁠。</w:t>
      </w:r>
    </w:p>
    <w:p>
      <w:pPr>
        <w:pStyle w:val="Heading1"/>
        <w:pageBreakBefore w:val="0"/>
      </w:pPr>
      <w:r>
        <w:t>三 主要功能与实现状态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用户得到的结果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 AI 分析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基于工具证据的问题回答与检查建议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已实际运行⁠，本地模型输出仍需复核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设备与历史数据接入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授权 API 数据或独立导入的数据集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快照、历史工时、同步命令及网页成功同步已实测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数据质量与风险筛查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陈旧记录、冲突、重复、计数器重置及重复未决事件提示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已实现确定性规则和测试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工时与怠速分析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有效区间工时增量、具备对应记录时的怠速占比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已实现⁠；部分覆盖明确标记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故障与备件映射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型号匹配、故障码或部件匹配的候选及资料出处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模拟案例已跑通⁠；真实目录尚未提供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检查反馈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保存检查项、结果、时间、说明并继续分析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本地持久化和模型续查已验证⁠；无人员签名及附件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报告导出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中文或英文分析请求、Markdown 与完整 JSON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导出与历史一致性已验证⁠；中英文固定案例已评测⁠，语义问题仍在改进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侧栏扩展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读取平台设备 ID⁠，定位本地数据版本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0.2.0 已打包⁠；安装及侧栏完整联调待完成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细粒度工况识别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区分挖掘、回转、卸料、怠速、行走及停机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模拟训练、独立测试及回放已交付⁠；尚无实机标定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故障预测的技术边界</w:t>
      </w:r>
    </w:p>
    <w:p>
      <w:r>
        <w:t>项目将“故障预测”分阶段推进⁠。当前阶段提供异常早期线索和检查优先级⁠：发现数据陈旧、异常增量或重复未决告警后⁠，提示需要核实的事项⁠。它不是已校准的部件失效概率模型⁠，也不输出预计损坏日期或剩余寿命⁠。</w:t>
      </w:r>
    </w:p>
    <w:p>
      <w:r>
        <w:t>后续需要真实维修结果、故障发生时刻、工况负荷及健康对照数据⁠，才能建立并验证部件级预测模型⁠。没有这些数据时⁠，系统保留“证据不足”⁠，不得以模拟准确率替代实机性能⁠。</w:t>
      </w:r>
    </w:p>
    <w:p>
      <w:pPr>
        <w:pStyle w:val="Heading2"/>
      </w:pPr>
      <w:r>
        <w:t>AI 备件映射</w:t>
      </w:r>
    </w:p>
    <w:p>
      <w:r>
        <w:t>本地目录保存零件号、名称、部件类别、适用机型、可选序列号清单、关联故障码、检查要求和文档出处⁠。模型可以选择查询方向⁠；实际候选由程序按机型、序列号限制及故障码或部件条件检索⁠。</w:t>
      </w:r>
    </w:p>
    <w:p>
      <w:r>
        <w:t>返回候选时显示匹配依据、来源页码和版本⁠，并说明是否验证了序列号适用范围⁠。仅匹配机型不能视作适配认证⁠。第一版不支持复杂选装配置、序列号区间和替代件链⁠；采购前须以制造商资料和实际整机配置确认⁠。演示零件号以 DEMO- 开头⁠，并禁止混入实测数据的推荐⁠。</w:t>
      </w:r>
    </w:p>
    <w:p>
      <w:pPr/>
      <w:commentRangeStart w:id="6"/>
      <w:r>
        <w:t>XGSS 已提供认证跳转接口说明和 RSA 公钥示例⁠，接口方确认了生产地址⁠，并初步说明增加故障码可返回对应排查手册网址⁠。本地加密适配已完成⁠，尚未与服务端联调⁠。拟在故障详情提供“查看处理手册”⁠，将故障码、机型或 VIN 与手册关联⁠，再记录检查反馈并核对备件⁠。故障码字段名、参数位置、业务编号和授权身份仍待确认⁠；页面跳转不等于已经取得手册正文或正式备件查询接口⁠，当前不宣称自动读取或在线映射已接通⁠。</w:t>
      </w:r>
      <w:commentRangeEnd w:id="6"/>
      <w:r>
        <w:rPr>
          <w:rStyle w:val="CommentReference"/>
        </w:rPr>
        <w:commentReference w:id="6"/>
      </w:r>
    </w:p>
    <w:p>
      <w:pPr>
        <w:pStyle w:val="Heading1"/>
        <w:pageBreakBefore/>
      </w:pPr>
      <w:r>
        <w:t>四 技术架构与 AI 的作用</w:t>
      </w:r>
    </w:p>
    <w:p>
      <w:r>
        <w:t>数据层接收 Trackunit 授权快照与历史序列⁠，以及用户导入的规范化 JSON/CSV⁠。不同来源的数据独立保存⁠，不用模拟记录填补真实数据缺失⁠。</w:t>
      </w:r>
    </w:p>
    <w:p>
      <w:r>
        <w:t>证据层执行时间和数值检查⁠：保留合法零值⁠，剔除冲突记录⁠，识别不合理增量⁠；工时和怠速采用各自可用的记录⁠，只有时间对齐、覆盖足够时才计算占比⁠。有效区间合计不等于完整窗口总量⁠。记录缺失不能证明设备正常⁠。</w:t>
      </w:r>
    </w:p>
    <w:p>
      <w:commentRangeStart w:id="1"/>
      <w:r>
        <w:t>推理层使用 Ollama 本地模型⁠，当前默认 qwen3.5:9b⁠，采用量化权重⁠。模型在有限步骤内选择预定义工具⁠，不能执行任意代码、访问任意地址或控制设备⁠。检查建议通过选择已有规则或目录中的步骤编号返回原文⁠，保留出处⁠。程序验证引用来源⁠，并针对已知的无依据数值、时间换算和肯定健康结论要求模型重写⁠。指标不可计算和备件未匹配的原因由程序提供⁠。这些有限校验不能证明所有摘要正确⁠，结果仍定位为辅助建议⁠。</w:t>
      </w:r>
      <w:commentRangeEnd w:id="1"/>
      <w:r>
        <w:rPr>
          <w:rStyle w:val="CommentReference"/>
        </w:rPr>
        <w:commentReference w:id="1"/>
      </w:r>
    </w:p>
    <w:p>
      <w:r>
        <w:t>工况识别采用另一条可独立评测的机器学习路径⁠：随机森林读取转速、液压压力、液压流量、地面速度以及当前和过去采样点的变化特征⁠，输出六类工况或低得分未知⁠。它与语言模型分工⁠，不把语言模型自述当作分类结果⁠，也不把工况识别等同于故障预测⁠。当前详细传感器由模拟器生成⁠，真实已接入信号不足以运行该分类器⁠。</w:t>
      </w:r>
    </w:p>
    <w:p>
      <w:r>
        <w:t>展示层是本地网页及侧栏扩展⁠。密钥仅留在本地配置⁠，不进入扩展文件或前端代码⁠；助手推理限定本机地址⁠，不提供云模型失败回退⁠。首次安装依赖和模型需要网络⁠。现已验证同机新虚拟环境安装、PowerShell 7 后端启动与重复启动⁠，以及仅允许环回连接的 Python 进程内模拟诊断⁠；后者未隔离浏览器和 Ollama⁠，不等同于整机断网或模型冷启动验收⁠。真实 API 同步仍需要网络⁠。</w:t>
      </w:r>
    </w:p>
    <w:p>
      <w:r>
        <w:t>项目的技术价值在于把模型的语言理解、工具选择与解释能力结合到工程数据约束和备件适用性检查中⁠。模型负责组织问题与解释证据⁠，程序负责计算、数据来源和候选检索⁠。是否优于人工或规则基线⁠，必须通过评测确认⁠。</w:t>
      </w:r>
    </w:p>
    <w:p>
      <w:pPr>
        <w:pStyle w:val="Heading1"/>
        <w:pageBreakBefore w:val="0"/>
      </w:pPr>
      <w:r>
        <w:t>五 数据方案与现有验证</w:t>
      </w:r>
    </w:p>
    <w:p>
      <w:pPr>
        <w:pStyle w:val="Heading2"/>
      </w:pPr>
      <w:r>
        <w:t>数据来源</w:t>
      </w:r>
    </w:p>
    <w:p>
      <w:r>
        <w:t>- 授权接口数据⁠：已验证设备快照和一台挖掘机的历史工时读取⁠；原始响应保存在本地⁠，不随公开参赛材料分发⁠。</w:t>
      </w:r>
    </w:p>
    <w:p>
      <w:r>
        <w:t>- 机制仿真数据⁠：在假设的柴油液压挖掘机工况下生成运行轨迹⁠，并模拟通信、供电、信号冻结和缓存等问题⁠。用于可复现开发⁠，尚未以真实设备测量标定⁠。</w:t>
      </w:r>
    </w:p>
    <w:p>
      <w:r>
        <w:t>- 人工流程案例⁠：为备件演示注入告警⁠，结合明确标注的演示目录⁠。它证明软件如何组织检查流程⁠，不证明真实失效机理⁠。</w:t>
      </w:r>
    </w:p>
    <w:p>
      <w:r>
        <w:t>- 用户资料⁠：后续引入经授权的维修手册、备件目录和历史工单⁠，并记录文档版本与适用范围⁠。</w:t>
      </w:r>
    </w:p>
    <w:p>
      <w:pPr>
        <w:pStyle w:val="Heading2"/>
      </w:pPr>
      <w:r>
        <w:t>已观察到的工程结果</w:t>
      </w:r>
    </w:p>
    <w:p>
      <w:r>
        <w:t>本地模型已完成“读取故障—查询备件—读取快照—形成建议”的实际调用链⁠，返回演示传感器候选及线束、接头、测量值检查要求⁠。导入模拟工况可生成时间窗口工时与怠速分析⁠，显示独立计算结果及来源⁠。</w:t>
      </w:r>
    </w:p>
    <w:p>
      <w:commentRangeStart w:id="7"/>
      <w:r>
        <w:t>网页历史同步曾返回 36 条累计工时记录⁠，怠速序列为空⁠，该次未核验故障事件⁠；此前单独故障接口查询返回 401⁠。两次记录不能混为同一次核验⁠。部分相邻工时区间未通过一致性规则⁠，报告只统计通过检查的区间⁠，不据此声称全时段运行量⁠。</w:t>
      </w:r>
      <w:commentRangeEnd w:id="7"/>
      <w:r>
        <w:rPr>
          <w:rStyle w:val="CommentReference"/>
        </w:rPr>
        <w:commentReference w:id="7"/>
      </w:r>
    </w:p>
    <w:p>
      <w:r>
        <w:t>实测还发现过模型自创怠速阈值和错误时间换算⁠，已加入针对性校验并复测⁠。这说明完整验证需要覆盖错误输出⁠，而不能仅展示成功案例⁠。当前自动化测试覆盖数据隔离、异常计数器、适用性匹配、引用验证、导入冲突和接口错误处理⁠，不等同于实机诊断准确率⁠。</w:t>
      </w:r>
    </w:p>
    <w:p>
      <w:pPr>
        <w:pStyle w:val="Heading2"/>
      </w:pPr>
      <w:r>
        <w:t>本地 AI 与工况识别结果</w:t>
      </w:r>
    </w:p>
    <w:p>
      <w:commentRangeStart w:id="2"/>
      <w:r>
        <w:t>早期对 qwen3:4b 与 qwen3:8b 的固定案例测试保留在评测记录中⁠。当前改用 qwen3.5:9b⁠：已执行目录匹配、错误机型、空目录、单条采样和综合查询等中英文模拟案例⁠，并验证检查反馈续查⁠。近期同代码复测中⁠，8b 中文综合查询漏选检查步骤而失败⁠，9b 能完成查询并改善指标与适配范围解释⁠；这不是大样本排名⁠。新模型仍会使用含糊的故障时点措辞或暴露内部编号⁠，自动结构检查不能保证摘要正确⁠。实际后端已核对模型名称、报告保存和历史内容一致性⁠。</w:t>
      </w:r>
      <w:commentRangeEnd w:id="2"/>
      <w:r>
        <w:rPr>
          <w:rStyle w:val="CommentReference"/>
        </w:rPr>
        <w:commentReference w:id="2"/>
      </w:r>
    </w:p>
    <w:p>
      <w:r>
        <w:t>工况模型按完整独立班次划分⁠：28 段训练、7 段验证、7 段测试⁠，测试共 40,320 个模拟采样点⁠。输入不含工况标签、场景编号或未来数据⁠。固定得分阈值为 0.65⁠，结果如下⁠。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独立模拟测试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六类原始预测准确率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90.04%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包含低得分样本⁠，非实机准确率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宏平均 F1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0.9078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各类别同等权重⁠；卸料与回转较弱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达到得分阈值的覆盖率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89.85%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其余 10.15% 保留为未知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达到阈值样本的准确率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93.48%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仅针对已分类样本⁠，不能替代全样本指标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额外噪声下已分类准确率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84.11%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压力测试结果⁠；高分仍可能误判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模拟器中的怠速、停机和行走关系较简单⁠，结果可能偏乐观⁠。压力缺失的 8,064 个点全部返回未知⁠；压力冻结受影响区间的分类覆盖率降至 41.18%⁠。这些失败和拒判结果随报告保留⁠。模型得分是内部投票结果⁠，未校准成真实正确概率⁠。</w:t>
      </w:r>
    </w:p>
    <w:p>
      <w:pPr>
        <w:pStyle w:val="Heading1"/>
        <w:pageBreakBefore w:val="0"/>
      </w:pPr>
      <w:r>
        <w:t>六 评测与验收设计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评测对象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验收记录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数据处理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正常、缺失、重复、冲突、重置及乱序输入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逐案例输入、预期值、实际值与失败原因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AI 结论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同一证据集比较人工阅读、规则摘要和本地 AI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有依据结论比例、错误确定性表述、合理拒答情况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故障与备件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正确机型、错误机型、序列号不符、目录缺失及演示隔离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候选适用性、出处完整度、越界推荐次数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主动检查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固定可用证据及检查权限的场景对照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检查次数、无效检查、最终未决与正确结论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实际使用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限定设备与任务的服务人员试用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任务耗时、复核修改、遗漏问题和使用反馈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本地部署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冷启动、重复启动、模型缺失、断网及扩展侧栏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运行日志、失败提示、可复现步骤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评测集应按设备或完整班次划分⁠，避免把同一时序的相邻片段分散到训练与测试⁠。评估用真值和决策时刻之后的信息不进入模型输入⁠。不得只报告平均表现⁠；应列出失败案例、样本规模、数据来源和适用边界⁠。</w:t>
      </w:r>
    </w:p>
    <w:p>
      <w:r>
        <w:t>预测模型阶段另需评估预警提前量、误报率、漏报率和置信度校准⁠，并按机型与工况分层⁠。当前不填写未经测量的准确率、节油比例或停机减少比例⁠。</w:t>
      </w:r>
    </w:p>
    <w:p>
      <w:pPr>
        <w:pStyle w:val="Heading1"/>
        <w:pageBreakBefore/>
      </w:pPr>
      <w:r>
        <w:t>七 交付物与实施安排</w:t>
      </w:r>
    </w:p>
    <w:p>
      <w:r>
        <w:t>参赛交付包应包括⁠：</w:t>
      </w:r>
    </w:p>
    <w:p>
      <w:r>
        <w:t>1. 侧栏扩展与本地服务源码、安装依赖清单及启动检查⁠。</w:t>
      </w:r>
    </w:p>
    <w:p>
      <w:r>
        <w:t>2. 本地模型配置和安装说明⁠；模型按其许可证单独获取⁠。</w:t>
      </w:r>
    </w:p>
    <w:p>
      <w:r>
        <w:t>3. 可复现模拟数据生成器、演示数据集、数据字典及独立划分说明⁠。</w:t>
      </w:r>
    </w:p>
    <w:p>
      <w:r>
        <w:t>4. 工况训练脚本、数值模型、测试与压力测试报告、交互回放页面⁠。</w:t>
      </w:r>
    </w:p>
    <w:p>
      <w:r>
        <w:t>5. 带出处和适用范围的演示备件目录模板、JSON/CSV 导入说明⁠。</w:t>
      </w:r>
    </w:p>
    <w:p>
      <w:r>
        <w:t>6. 故障到备件及检查反馈演示脚本、典型导出报告和失败案例⁠。</w:t>
      </w:r>
    </w:p>
    <w:p>
      <w:r>
        <w:t>7. 本地模型对照评测、实际运行结果和已知限制报告⁠。</w:t>
      </w:r>
    </w:p>
    <w:p>
      <w:r>
        <w:t>8. 更新后的参赛计划书、答辩演示材料与演示视频⁠。</w:t>
      </w:r>
    </w:p>
    <w:p>
      <w:commentRangeStart w:id="3"/>
      <w:r>
        <w:t>当前交付包括 v6 本地原型包、典型报告、10 页可编辑答辩稿、44 秒模拟功能短片和 35 秒反馈复核短片⁠。v6 已独立解压运行⁠，完成模拟备件分析、工况回放与报告保存⁠；验证复用了现有 Python、Ollama 和模型权重⁠。答辩稿及视频保留其制作时版本⁠，反馈短片还展示已知摘要错误⁠，不能作为修复后效果宣传⁠。</w:t>
      </w:r>
      <w:commentRangeEnd w:id="3"/>
      <w:r>
        <w:rPr>
          <w:rStyle w:val="CommentReference"/>
        </w:rPr>
        <w:commentReference w:id="3"/>
      </w:r>
    </w:p>
    <w:p>
      <w:commentRangeStart w:id="4"/>
      <w:r>
        <w:t>主要待办是 XGSS 授权及手册跳转联调、正式资料接入、侧栏实际安装、完整离线和新电脑验证⁠，以及进一步语义评测与现场验证⁠。当前缺少故障码请求字段及业务参数契约⁠，不猜测参数或使用示例会话⁠。已有同步、报告下载和后端验证不替代这些验收⁠。</w:t>
      </w:r>
      <w:commentRangeEnd w:id="4"/>
      <w:r>
        <w:rPr>
          <w:rStyle w:val="CommentReference"/>
        </w:rPr>
        <w:commentReference w:id="4"/>
      </w:r>
    </w:p>
    <w:p>
      <w:r>
        <w:t>以竞赛项目提交时间为约束⁠，按“可运行链路—数据与目录验证—部署及展示验收”安排剩余开发⁠。若真实资料或权限无法及时取得⁠，演示应使用标识清楚的模拟案例⁠，并如实说明受限功能⁠；不能以虚构案例补齐⁠。</w:t>
      </w:r>
    </w:p>
    <w:p>
      <w:pPr>
        <w:pStyle w:val="Heading1"/>
        <w:pageBreakBefore w:val="0"/>
      </w:pPr>
      <w:r>
        <w:t>八 资源 商业路径与合作需求</w:t>
      </w:r>
    </w:p>
    <w:p>
      <w:r>
        <w:t>本期使用已有电脑、开发环境和已购会员⁠，新增现金开发预算为零⁠，不新增云推理或服务器付费服务⁠。零新增现金不代表没有成本⁠：开发与审核时间、现有硬件、电力和后续维护均需计入未来项目核算⁠。现阶段不存在已确认收入或量化投资回报⁠。</w:t>
      </w:r>
    </w:p>
    <w:p>
      <w:r>
        <w:t>初期验证对象为制造商或经销商技术支持团队⁠。采用限定设备、限定问题、限定资料的试用⁠，确认数据可获得性与实际使用价值⁠。验证成功后⁠，可探索本地部署服务、目录整理与集成服务、年度维护等收费方式⁠；价格与付费意愿须经实际访谈确认⁠。</w:t>
      </w:r>
    </w:p>
    <w:p>
      <w:r>
        <w:t>当前最需要的合作资源是⁠：允许使用的历史数据与维修结果、对应机型的正式维修和备件资料、技术人员复核时间⁠，以及 API 权限和信号语义确认⁠。合作与客户关系均不得在未落实前写成已有成果⁠。</w:t>
      </w:r>
    </w:p>
    <w:p>
      <w:pPr>
        <w:pStyle w:val="Heading1"/>
        <w:pageBreakBefore w:val="0"/>
      </w:pPr>
      <w:r>
        <w:t>九 知识产权与使用边界</w:t>
      </w:r>
    </w:p>
    <w:p>
      <w:r>
        <w:t>项目成果包括业务代码、数据处理逻辑、模拟场景、目录映射和评测流程⁠；具体权属以已有仓库、团队关系及参赛主体确认结果为准⁠。当前不宣称已获专利、软件著作权或制造商认证⁠。</w:t>
      </w:r>
    </w:p>
    <w:p>
      <w:r>
        <w:t>使用开源框架、模型和参考设计时⁠，应保留适用许可证与声明⁠，核查分发义务⁠。已记录 Tabler 的后台布局、ThingsBoard 的设备信息组织、Atlas CMMS 的维修记录流程及 Chrome 官方扩展示例等参考⁠。当前相关界面和流程自行实现⁠，未复制这些项目源码⁠；模型与训练依赖按各自许可证使用⁠，未获得相关项目背书⁠。</w:t>
      </w:r>
    </w:p>
    <w:p>
      <w:r>
        <w:t>真实设备标识、位置、密钥和未授权手册不进入公开材料⁠。分析与备件建议由专业人员复核⁠，工具不执行远程设备控制和自动采购⁠。</w:t>
      </w:r>
    </w:p>
    <w:p>
      <w:pPr>
        <w:pStyle w:val="Heading2"/>
      </w:pPr>
      <w:r>
        <w:t>申报前需确认</w:t>
      </w:r>
    </w:p>
    <w:p>
      <w:r>
        <w:t>参赛主体、团队成员及分工、联系方式、项目归属与知识产权证明由实际负责人确认⁠；竞赛承诺及材料提交由有权人员完成⁠。当前文档为内容工作稿⁠，尚未替代正式申报审核⁠。</w:t>
      </w:r>
    </w:p>
    <w:p>
      <w:pPr>
        <w:pStyle w:val="Heading2"/>
      </w:pPr>
      <w:r>
        <w:t>参考资料</w:t>
      </w:r>
    </w:p>
    <w:p>
      <w:r>
        <w:t>- Trackunit AEMP API⁠：https://developers.trackunit.com/openapi/aemp-iso-api.json</w:t>
      </w:r>
    </w:p>
    <w:p>
      <w:commentRangeStart w:id="8"/>
      <w:r>
        <w:t>- Qwen3.5 模型⁠：https://ollama.com/library/qwen3.5:9b</w:t>
      </w:r>
      <w:commentRangeEnd w:id="8"/>
      <w:r>
        <w:rPr>
          <w:rStyle w:val="CommentReference"/>
        </w:rPr>
        <w:commentReference w:id="8"/>
      </w:r>
    </w:p>
    <w:p>
      <w:r>
        <w:t>- Tabler⁠：https://github.com/tabler/tabler</w:t>
      </w:r>
    </w:p>
    <w:p>
      <w:r>
        <w:t>- ThingsBoard⁠：https://github.com/thingsboard/thingsboard</w:t>
      </w:r>
    </w:p>
    <w:p>
      <w:r>
        <w:t>- Atlas CMMS⁠：https://github.com/Grashjs/cmms</w:t>
      </w:r>
    </w:p>
    <w:p>
      <w:r>
        <w:t>- Chrome 扩展示例⁠：https://github.com/GoogleChrome/chrome-extensions-samples</w:t>
      </w:r>
    </w:p>
    <w:p>
      <w:r>
        <w:t>配套证据与操作说明包括本地部署、备件演示、历史同步、工况模型、检查反馈、扩展安装及评测报告⁠；源码中对应 LOCAL_ASSISTANT、PARTS_DEMO、TRACKUNIT_HISTORY_SYNC、WORK_STATE_MODEL、INSPECTION_FEEDBACK、EXTENSION 文档及 evaluation 目录⁠。测试记录用于工程验证⁠，不作为实机性能承诺⁠。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03" w:footer="403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更新版本标识，保留原稿。</w:t>
      </w:r>
    </w:p>
  </w:comment>
  <w:comment w:id="1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模型选择依据见 2026-09-14-summary-source-scope.md。</w:t>
      </w:r>
    </w:p>
  </w:comment>
  <w:comment w:id="2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更新评测状态；原始成功与失败输出均保留，未推导实机准确率。</w:t>
      </w:r>
    </w:p>
  </w:comment>
  <w:comment w:id="3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对应 v6 清单及独立解压记录；本更新稿作为包外新材料交付。</w:t>
      </w:r>
    </w:p>
  </w:comment>
  <w:comment w:id="4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区分已完成流程与外部接入缺项。</w:t>
      </w:r>
    </w:p>
  </w:comment>
  <w:comment w:id="5" w:author="项目修订" w:initials="JL" w:date="2026-09-14T07:39:31Z">
    <w:p>
      <w:pPr>
        <w:pStyle w:val="CommentText"/>
      </w:pPr>
      <w:r>
        <w:rPr>
          <w:rStyle w:val="CommentReference"/>
        </w:rPr>
        <w:annotationRef/>
      </w:r>
      <w:r>
        <w:t>依据用户提供的 XGSS 接口、RSA 补充及 2026-09-14 接口方说明；未进行在线认证。</w:t>
      </w:r>
    </w:p>
  </w:comment>
  <w:comment w:id="6" w:author="项目修订" w:initials="JL" w:date="2026-09-14T07:41:45Z">
    <w:p>
      <w:pPr>
        <w:pStyle w:val="CommentText"/>
      </w:pPr>
      <w:r>
        <w:rPr>
          <w:rStyle w:val="CommentReference"/>
        </w:rPr>
        <w:annotationRef/>
      </w:r>
      <w:r>
        <w:t>核对独立接口验证记录及当前模型来源，保留接入不确定性。</w:t>
      </w:r>
    </w:p>
  </w:comment>
  <w:comment w:id="7" w:author="项目修订" w:initials="JL" w:date="2026-09-14T07:41:45Z">
    <w:p>
      <w:pPr>
        <w:pStyle w:val="CommentText"/>
      </w:pPr>
      <w:r>
        <w:rPr>
          <w:rStyle w:val="CommentReference"/>
        </w:rPr>
        <w:annotationRef/>
      </w:r>
      <w:r>
        <w:t>核对独立接口验证记录及当前模型来源，保留接入不确定性。</w:t>
      </w:r>
    </w:p>
  </w:comment>
  <w:comment w:id="8" w:author="项目修订" w:initials="JL" w:date="2026-09-14T07:41:45Z">
    <w:p>
      <w:pPr>
        <w:pStyle w:val="CommentText"/>
      </w:pPr>
      <w:r>
        <w:rPr>
          <w:rStyle w:val="CommentReference"/>
        </w:rPr>
        <w:annotationRef/>
      </w:r>
      <w:r>
        <w:t>核对独立接口验证记录及当前模型来源，保留接入不确定性。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2026年9月14日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机联智检  |  完整参赛项目计划书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  <w:kinsoku w:val="1"/>
      <w:overflowPunct w:val="1"/>
    </w:pPr>
    <w:rPr>
      <w:rFonts w:ascii="Calibri" w:hAnsi="Calibri" w:eastAsia="SimSun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kinsoku w:val="1"/>
      <w:overflowPunct w:val="1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kinsoku w:val="1"/>
      <w:overflowPunct w:val="1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/>
      <w:outlineLvl w:val="1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kinsoku w:val="1"/>
      <w:overflowPunct w:val="1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kinsoku w:val="1"/>
      <w:overflowPunct w:val="1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kinsoku w:val="1"/>
      <w:overflowPunct w:val="1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kinsoku w:val="1"/>
      <w:overflowPunct w:val="1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kinsoku w:val="1"/>
      <w:overflowPunct w:val="1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kinsoku w:val="1"/>
      <w:overflowPunct w:val="1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kinsoku w:val="1"/>
      <w:overflowPunct w:val="1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60"/>
      <w:contextualSpacing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kinsoku w:val="1"/>
      <w:overflowPunct w:val="1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kinsoku w:val="1"/>
      <w:overflowPunct w:val="1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kinsoku w:val="1"/>
      <w:overflowPunct w:val="1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kinsoku w:val="1"/>
      <w:overflowPunct w:val="1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kinsoku w:val="1"/>
      <w:overflowPunct w:val="1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kinsoku w:val="1"/>
      <w:overflowPunct w:val="1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kinsoku w:val="1"/>
      <w:overflowPunct w:val="1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kinsoku w:val="1"/>
      <w:overflowPunct w:val="1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kinsoku w:val="1"/>
      <w:overflowPunct w:val="1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kinsoku w:val="1"/>
      <w:overflowPunct w:val="1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kinsoku w:val="1"/>
      <w:overflowPunct w:val="1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kinsoku w:val="1"/>
      <w:overflowPunct w:val="1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kinsoku w:val="1"/>
      <w:overflowPunct w:val="1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kinsoku w:val="1"/>
      <w:overflowPunct w:val="1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kinsoku w:val="1"/>
      <w:overflowPunct w:val="1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kinsoku w:val="1"/>
      <w:overflowPunct w:val="1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kinsoku w:val="1"/>
      <w:overflowPunct w:val="1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insoku w:val="1"/>
      <w:overflowPunct w:val="1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kinsoku w:val="1"/>
      <w:overflowPunct w:val="1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kinsoku w:val="1"/>
      <w:overflowPunct w:val="1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kinsoku w:val="1"/>
      <w:overflowPunct w:val="1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机联智检完整参赛项目计划书</dc:title>
  <dc:subject>面向既有车联网平台的本地AI诊断与备件辅助工具</dc:subject>
  <dc:creator/>
  <cp:keywords>Proposal;工程机械;车联网;本地AI;备件映射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