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SW39000 DMA 扩展实验结果分析</w:t>
      </w:r>
    </w:p>
    <w:p>
      <w:r>
        <w:t>实验日期 2026年10月5日    作业 8420952    队列 q_share</w:t>
      </w:r>
    </w:p>
    <w:p>
      <w:r>
        <w:t>本次扩展实验确认，对齐写入在 128 B 与 256 B 处存在明显性能优势，偏移代价会随活跃核数放大。默认槽布局下，大消息 put 在 4 个活跃核附近取得本组最高吞吐，64 核比该测量峰值低约 28%。更换主存槽布局会改变吞吐，逐核读取和写入还呈现不同的地址关联与核位置关联，后续模型需要分别处理。</w:t>
      </w:r>
    </w:p>
    <w:p>
      <w:pPr>
        <w:pStyle w:val="Heading1"/>
      </w:pPr>
      <w:r>
        <w:t>1  实验配置与完整性复核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041"/>
        <w:gridCol w:w="7824"/>
      </w:tblGrid>
      <w:tr>
        <w:trPr>
          <w:tblHeader/>
          <w:cantSplit/>
        </w:trPr>
        <w:tc>
          <w:tcPr>
            <w:tcW w:type="dxa" w:w="204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824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本次记录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运行环境</w:t>
            </w:r>
          </w:p>
        </w:tc>
        <w:tc>
          <w:tcPr>
            <w:tcW w:type="dxa" w:w="782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cpu revision 为 sw39000  编译器 swgcc/1473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消息与负载</w:t>
            </w:r>
          </w:p>
        </w:tc>
        <w:tc>
          <w:tcPr>
            <w:tcW w:type="dxa" w:w="782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8 B 至 128 KiB  活跃核数 1 2 4 8 16 32 64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Cache 与 LDM</w:t>
            </w:r>
          </w:p>
        </w:tc>
        <w:tc>
          <w:tcPr>
            <w:tcW w:type="dxa" w:w="782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提交请求 -cache_size 0  静态 LDM 132840 B</w:t>
              <w:br/>
              <w:t>共享 LDM 实际配置未确认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分组数量</w:t>
            </w:r>
          </w:p>
        </w:tc>
        <w:tc>
          <w:tcPr>
            <w:tcW w:type="dxa" w:w="782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boundary 1008  load 1680  mapping 7168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完整性复核</w:t>
            </w:r>
          </w:p>
        </w:tc>
        <w:tc>
          <w:tcPr>
            <w:tcW w:type="dxa" w:w="782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9856 正式案例  8 正确性案例  179,076 逐核记录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汇总交叉检查</w:t>
            </w:r>
          </w:p>
        </w:tc>
        <w:tc>
          <w:tcPr>
            <w:tcW w:type="dxa" w:w="782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8448 扩展比与效率记录  原始数据和汇总一致  errors 均为 0</w:t>
            </w:r>
          </w:p>
        </w:tc>
      </w:tr>
    </w:tbl>
    <w:p>
      <w:pPr>
        <w:spacing w:after="0"/>
      </w:pPr>
    </w:p>
    <w:p>
      <w:r>
        <w:t>核 ID 固定为 0 至 N−1。边界组扫描 64、96、124、128、132、192、252、256、260 B 与 0、4、64、124 B 主存偏移。映射组扫描四种步长与 identity、reverse、transpose、shuffle 四种排列，随机种子为 20261005。</w:t>
      </w:r>
    </w:p>
    <w:p>
      <w:pPr>
        <w:pStyle w:val="Heading2"/>
      </w:pPr>
      <w:r>
        <w:t>计时定义和适用范围</w:t>
      </w:r>
    </w:p>
    <w:p>
      <w:r>
        <w:t>每项先预热 8 次；小于 1 KiB 重复 10000 次，其余重复 1000 次。每核仅保留一个未完成请求，iget/iput 也在每次发起后立即等待。屏障、分配、初始化、spawn/join、校验和输出位于计时区外。</w:t>
      </w:r>
    </w:p>
    <w:p>
      <w:r>
        <w:t>cycles/op = 活跃核最大累计周期 ÷ 重复次数。聚合带宽 = N × 消息字节数 × 重复次数 ÷ 最大累计周期，单位为 B/cycle；它基于各核本地计时，并非另行测量的全组共同起止时间。</w:t>
      </w:r>
    </w:p>
    <w:p>
      <w:r>
        <w:t>cpuinfo 报告 SPE 2250 MHz，但周期计数器尚未独立标定。本文以原始周期和 B/cycle 为准；仅在计数器确实按 2.25 GHz 递增的条件下，GB/s = B/cycle × 2.25。q_share 名称不能证明独占，资源共享程度仍未知。</w:t>
      </w:r>
    </w:p>
    <w:p>
      <w:r>
        <w:t>上一批 64 KiB 基线的默认槽步长为 65664 B，本次为 131200 B，且本次显式记录 Cache 请求为 0。两批并非单因素对照，绝对带宽变化不能仅归因于消息上限扩大。</w:t>
      </w:r>
    </w:p>
    <w:p>
      <w:r>
        <w:br w:type="page"/>
      </w:r>
    </w:p>
    <w:p>
      <w:pPr>
        <w:pStyle w:val="Heading1"/>
      </w:pPr>
      <w:r>
        <w:t>2  写入的大小与偏移边界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4044606"/>
            <wp:docPr id="1" name="Picture 1" descr="图 1  put 与 iput 的九种尺寸和四种偏移细扫  数值为 cycles/o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写入边界细扫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044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put 与 iput 的九种尺寸和四种偏移细扫  数值为 cycles/op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531"/>
        <w:gridCol w:w="2083"/>
        <w:gridCol w:w="2083"/>
        <w:gridCol w:w="2083"/>
        <w:gridCol w:w="2083"/>
      </w:tblGrid>
      <w:tr>
        <w:trPr>
          <w:tblHeader/>
          <w:cantSplit/>
        </w:trPr>
        <w:tc>
          <w:tcPr>
            <w:tcW w:type="dxa" w:w="153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64核 put</w:t>
              <w:br/>
              <w:t>消息 B</w:t>
            </w:r>
          </w:p>
        </w:tc>
        <w:tc>
          <w:tcPr>
            <w:tcW w:type="dxa" w:w="2083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偏移0 B</w:t>
            </w:r>
          </w:p>
        </w:tc>
        <w:tc>
          <w:tcPr>
            <w:tcW w:type="dxa" w:w="2083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偏移4 B</w:t>
            </w:r>
          </w:p>
        </w:tc>
        <w:tc>
          <w:tcPr>
            <w:tcW w:type="dxa" w:w="2083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偏移64 B</w:t>
            </w:r>
          </w:p>
        </w:tc>
        <w:tc>
          <w:tcPr>
            <w:tcW w:type="dxa" w:w="2083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偏移124 B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1916.82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3578.60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1913.48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3498.34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124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3577.09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3573.98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3504.05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3492.66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128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439.42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5179.92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3502.36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5008.27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132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2735.08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5166.38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5027.86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2684.06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252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4279.26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4376.84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4602.30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4589.93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256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885.38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6060.12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4590.04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6222.33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260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3521.90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6057.30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6169.40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3493.38</w:t>
            </w:r>
          </w:p>
        </w:tc>
      </w:tr>
    </w:tbl>
    <w:p>
      <w:pPr>
        <w:spacing w:after="0"/>
      </w:pPr>
    </w:p>
    <w:p>
      <w:r>
        <w:t>64 核对齐 put 的 128 B 耗时为 439.42 cycles/op，而相邻 124 B 与 132 B 分别为 3577.09 与 2735.08。256 B 对齐也出现同类低谷，说明转折并非简单的消息越大越慢。</w:t>
      </w:r>
    </w:p>
    <w:p>
      <w:r>
        <w:br w:type="page"/>
      </w:r>
    </w:p>
    <w:p>
      <w:pPr>
        <w:pStyle w:val="Heading1"/>
      </w:pPr>
      <w:r>
        <w:t>3  偏移代价随负载放大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2447296"/>
            <wp:docPr id="2" name="Picture 2" descr="图 2  相同消息下偏移地址相对对齐地址的耗时比  虚线为 ipu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偏移代价随核数变化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447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相同消息下偏移地址相对对齐地址的耗时比  虚线为 iput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041"/>
        <w:gridCol w:w="1247"/>
        <w:gridCol w:w="2154"/>
        <w:gridCol w:w="2154"/>
        <w:gridCol w:w="2268"/>
      </w:tblGrid>
      <w:tr>
        <w:trPr>
          <w:tblHeader/>
          <w:cantSplit/>
        </w:trPr>
        <w:tc>
          <w:tcPr>
            <w:tcW w:type="dxa" w:w="204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模式与核数</w:t>
            </w:r>
          </w:p>
        </w:tc>
        <w:tc>
          <w:tcPr>
            <w:tcW w:type="dxa" w:w="1247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消息 B</w:t>
            </w:r>
          </w:p>
        </w:tc>
        <w:tc>
          <w:tcPr>
            <w:tcW w:type="dxa" w:w="2154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偏移4 B</w:t>
              <w:br/>
              <w:t>耗时比</w:t>
            </w:r>
          </w:p>
        </w:tc>
        <w:tc>
          <w:tcPr>
            <w:tcW w:type="dxa" w:w="2154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偏移64 B</w:t>
              <w:br/>
              <w:t>耗时比</w:t>
            </w:r>
          </w:p>
        </w:tc>
        <w:tc>
          <w:tcPr>
            <w:tcW w:type="dxa" w:w="226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偏移124 B</w:t>
              <w:br/>
              <w:t>耗时比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put  1核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128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1.599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1.023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1.614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put  64核</w:t>
            </w:r>
          </w:p>
        </w:tc>
        <w:tc>
          <w:tcPr>
            <w:tcW w:type="dxa" w:w="1247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128</w:t>
            </w:r>
          </w:p>
        </w:tc>
        <w:tc>
          <w:tcPr>
            <w:tcW w:type="dxa" w:w="215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11.788</w:t>
            </w:r>
          </w:p>
        </w:tc>
        <w:tc>
          <w:tcPr>
            <w:tcW w:type="dxa" w:w="215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7.970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11.398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put  1核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256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1.475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1.007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1.516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put  64核</w:t>
            </w:r>
          </w:p>
        </w:tc>
        <w:tc>
          <w:tcPr>
            <w:tcW w:type="dxa" w:w="1247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256</w:t>
            </w:r>
          </w:p>
        </w:tc>
        <w:tc>
          <w:tcPr>
            <w:tcW w:type="dxa" w:w="215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6.845</w:t>
            </w:r>
          </w:p>
        </w:tc>
        <w:tc>
          <w:tcPr>
            <w:tcW w:type="dxa" w:w="215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5.184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7.028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get  64核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128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1.389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1.390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1.391</w:t>
            </w:r>
          </w:p>
        </w:tc>
      </w:tr>
    </w:tbl>
    <w:p>
      <w:pPr>
        <w:spacing w:after="0"/>
      </w:pPr>
    </w:p>
    <w:p>
      <w:r>
        <w:t>128 B 的 put 偏移 4 B 代价从单核约 1.60 倍放大到 64 核约 11.79 倍；后者带宽下降 91.5%。同尺寸 get 的 64 核偏移代价仅约 1.39 倍，读写路径需要分开解释。</w:t>
      </w:r>
    </w:p>
    <w:p>
      <w:pPr>
        <w:pStyle w:val="Heading2"/>
      </w:pPr>
      <w:r>
        <w:t>仅靠覆盖的 128 B 块数仍不足以解释写入</w:t>
      </w:r>
    </w:p>
    <w:p>
      <w:r>
        <w:t>64 B 偏移 0 B 与 96 B 偏移 4 B 都位于单个 128 B 地址块内，但 64 核 put 耗时分别约为 1916.82 和 3571.86 cycles/op，相差约 1.86 倍。另一方面，64 B 偏移 64 B 耗时约 1913.48 cycles/op，接近偏移 0 B。起点、终点及片段大小也影响写入，不能把额外覆盖一个块直接等价为固定惩罚。</w:t>
      </w:r>
    </w:p>
    <w:p>
      <w:r>
        <w:t>这些现象支持对齐整块与部分块路径、并发争用等候选解释；目前未测硬件事务、bank/channel 或仲裁事件，尚不能确定是读改写、哪级缓存或某个互连部件导致。</w:t>
      </w:r>
    </w:p>
    <w:p>
      <w:r>
        <w:br w:type="page"/>
      </w:r>
    </w:p>
    <w:p>
      <w:pPr>
        <w:pStyle w:val="Heading1"/>
      </w:pPr>
      <w:r>
        <w:t>4  扩展到 128 KiB 的带宽曲线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4149434"/>
            <wp:docPr id="3" name="Picture 3" descr="图 3  四种 DMA 模式的对齐传输带宽  展示五档活跃核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消息大小与带宽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149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四种 DMA 模式的对齐传输带宽  展示五档活跃核数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361"/>
        <w:gridCol w:w="2835"/>
        <w:gridCol w:w="2835"/>
        <w:gridCol w:w="2835"/>
      </w:tblGrid>
      <w:tr>
        <w:trPr>
          <w:tblHeader/>
          <w:cantSplit/>
        </w:trPr>
        <w:tc>
          <w:tcPr>
            <w:tcW w:type="dxa" w:w="136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2835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128KiB 单核</w:t>
              <w:br/>
              <w:t>B/cycle</w:t>
            </w:r>
          </w:p>
        </w:tc>
        <w:tc>
          <w:tcPr>
            <w:tcW w:type="dxa" w:w="2835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128KiB 64核</w:t>
              <w:br/>
              <w:t>B/cycle</w:t>
            </w:r>
          </w:p>
        </w:tc>
        <w:tc>
          <w:tcPr>
            <w:tcW w:type="dxa" w:w="2835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64核与单核</w:t>
              <w:br/>
              <w:t>带宽比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16.705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20.851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1.248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put</w:t>
            </w:r>
          </w:p>
        </w:tc>
        <w:tc>
          <w:tcPr>
            <w:tcW w:type="dxa" w:w="283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18.120</w:t>
            </w:r>
          </w:p>
        </w:tc>
        <w:tc>
          <w:tcPr>
            <w:tcW w:type="dxa" w:w="283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15.381</w:t>
            </w:r>
          </w:p>
        </w:tc>
        <w:tc>
          <w:tcPr>
            <w:tcW w:type="dxa" w:w="283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0.849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iget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16.704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20.864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1.249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iput</w:t>
            </w:r>
          </w:p>
        </w:tc>
        <w:tc>
          <w:tcPr>
            <w:tcW w:type="dxa" w:w="283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18.137</w:t>
            </w:r>
          </w:p>
        </w:tc>
        <w:tc>
          <w:tcPr>
            <w:tcW w:type="dxa" w:w="283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15.254</w:t>
            </w:r>
          </w:p>
        </w:tc>
        <w:tc>
          <w:tcPr>
            <w:tcW w:type="dxa" w:w="283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0.841</w:t>
            </w:r>
          </w:p>
        </w:tc>
      </w:tr>
    </w:tbl>
    <w:p>
      <w:pPr>
        <w:spacing w:after="0"/>
      </w:pPr>
    </w:p>
    <w:p>
      <w:r>
        <w:t>单核 get 从 64 KiB 的 15.614 增到 128 KiB 的 16.705 B/cycle，增幅 7.0%；put 的相应增幅仅 3.5%。固定负载下大消息接近平台区，扩大消息并未带来成倍吞吐收益。</w:t>
      </w:r>
    </w:p>
    <w:p>
      <w:r>
        <w:t>64 核 get 在 32 至 128 KiB 约为 20.85 至 20.98 B/cycle；put 约为 15.38 至 15.60 B/cycle。这是本布局下的有效载荷吞吐，不是全芯片或理论主存峰值。</w:t>
      </w:r>
    </w:p>
    <w:p>
      <w:r>
        <w:br w:type="page"/>
      </w:r>
    </w:p>
    <w:p>
      <w:pPr>
        <w:pStyle w:val="Heading1"/>
      </w:pPr>
      <w:r>
        <w:t>5  中间核数揭示写入的吞吐下降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4035958"/>
            <wp:docPr id="4" name="Picture 4" descr="图 4  七档活跃核数的聚合吞吐  消息大小决定饱和和争用表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核数与聚合带宽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035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 七档活跃核数的聚合吞吐  消息大小决定饱和和争用表现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587"/>
        <w:gridCol w:w="2721"/>
        <w:gridCol w:w="2721"/>
        <w:gridCol w:w="2835"/>
      </w:tblGrid>
      <w:tr>
        <w:trPr>
          <w:tblHeader/>
          <w:cantSplit/>
        </w:trPr>
        <w:tc>
          <w:tcPr>
            <w:tcW w:type="dxa" w:w="1587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活跃核数</w:t>
            </w:r>
          </w:p>
        </w:tc>
        <w:tc>
          <w:tcPr>
            <w:tcW w:type="dxa" w:w="272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get 128KiB</w:t>
              <w:br/>
              <w:t>B/cycle</w:t>
            </w:r>
          </w:p>
        </w:tc>
        <w:tc>
          <w:tcPr>
            <w:tcW w:type="dxa" w:w="272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put 128KiB</w:t>
              <w:br/>
              <w:t>B/cycle</w:t>
            </w:r>
          </w:p>
        </w:tc>
        <w:tc>
          <w:tcPr>
            <w:tcW w:type="dxa" w:w="2835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put 对4核</w:t>
              <w:br/>
              <w:t>吞吐比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272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16.705</w:t>
            </w:r>
          </w:p>
        </w:tc>
        <w:tc>
          <w:tcPr>
            <w:tcW w:type="dxa" w:w="272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18.120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0.850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272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16.878</w:t>
            </w:r>
          </w:p>
        </w:tc>
        <w:tc>
          <w:tcPr>
            <w:tcW w:type="dxa" w:w="272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18.741</w:t>
            </w:r>
          </w:p>
        </w:tc>
        <w:tc>
          <w:tcPr>
            <w:tcW w:type="dxa" w:w="283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0.879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272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19.511</w:t>
            </w:r>
          </w:p>
        </w:tc>
        <w:tc>
          <w:tcPr>
            <w:tcW w:type="dxa" w:w="272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21.326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1.000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272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20.918</w:t>
            </w:r>
          </w:p>
        </w:tc>
        <w:tc>
          <w:tcPr>
            <w:tcW w:type="dxa" w:w="272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20.577</w:t>
            </w:r>
          </w:p>
        </w:tc>
        <w:tc>
          <w:tcPr>
            <w:tcW w:type="dxa" w:w="283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0.965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type="dxa" w:w="272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21.115</w:t>
            </w:r>
          </w:p>
        </w:tc>
        <w:tc>
          <w:tcPr>
            <w:tcW w:type="dxa" w:w="272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20.471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0.960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32</w:t>
            </w:r>
          </w:p>
        </w:tc>
        <w:tc>
          <w:tcPr>
            <w:tcW w:type="dxa" w:w="272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21.361</w:t>
            </w:r>
          </w:p>
        </w:tc>
        <w:tc>
          <w:tcPr>
            <w:tcW w:type="dxa" w:w="272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18.407</w:t>
            </w:r>
          </w:p>
        </w:tc>
        <w:tc>
          <w:tcPr>
            <w:tcW w:type="dxa" w:w="283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0.863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type="dxa" w:w="272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20.851</w:t>
            </w:r>
          </w:p>
        </w:tc>
        <w:tc>
          <w:tcPr>
            <w:tcW w:type="dxa" w:w="272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15.381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0.721</w:t>
            </w:r>
          </w:p>
        </w:tc>
      </w:tr>
    </w:tbl>
    <w:p>
      <w:pPr>
        <w:spacing w:after="0"/>
      </w:pPr>
    </w:p>
    <w:p>
      <w:r>
        <w:t>128 KiB 对齐 put 的本组最高值位于 4 核，为 21.326 B/cycle；64 核降至 15.381，比 4 核低 27.9%，也比单核低 15.1%。get 在 8 核已经达到该尺寸本组峰值的 95%，32 核最高，但 8、16、32、64 核之间只有几个百分点差异。</w:t>
      </w:r>
    </w:p>
    <w:p>
      <w:r>
        <w:t>该结论针对固定活跃 ID 与默认槽步长。4 核 ID 为 0、1、2、3，并非几何 2×2 的 0、1、8、9；因此不能将 4 核峰值归因于小簇，也不能用于证明 RMA router 共享结构。</w:t>
      </w:r>
    </w:p>
    <w:p>
      <w:r>
        <w:br w:type="page"/>
      </w:r>
    </w:p>
    <w:p>
      <w:pPr>
        <w:pStyle w:val="Heading1"/>
      </w:pPr>
      <w:r>
        <w:t>6  槽步长和核到地址排列影响吞吐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4215185"/>
            <wp:docPr id="5" name="Picture 5" descr="图 5  128 KiB 对齐消息的 64 核槽布局对照  所有排列复用相同缓冲基地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槽步长与映射对照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215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 128 KiB 对齐消息的 64 核槽布局对照  所有排列复用相同缓冲基地址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020"/>
        <w:gridCol w:w="2381"/>
        <w:gridCol w:w="2381"/>
        <w:gridCol w:w="2041"/>
        <w:gridCol w:w="2041"/>
      </w:tblGrid>
      <w:tr>
        <w:trPr>
          <w:tblHeader/>
          <w:cantSplit/>
        </w:trPr>
        <w:tc>
          <w:tcPr>
            <w:tcW w:type="dxa" w:w="1020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238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默认步长 identity</w:t>
            </w:r>
          </w:p>
        </w:tc>
        <w:tc>
          <w:tcPr>
            <w:tcW w:type="dxa" w:w="238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默认步长 transpose</w:t>
            </w:r>
          </w:p>
        </w:tc>
        <w:tc>
          <w:tcPr>
            <w:tcW w:type="dxa" w:w="204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262144 B identity</w:t>
            </w:r>
          </w:p>
        </w:tc>
        <w:tc>
          <w:tcPr>
            <w:tcW w:type="dxa" w:w="204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16布局最大与</w:t>
              <w:br/>
              <w:t>最小带宽比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20.848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18.522</w:t>
            </w:r>
          </w:p>
        </w:tc>
        <w:tc>
          <w:tcPr>
            <w:tcW w:type="dxa" w:w="204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16.376</w:t>
            </w:r>
          </w:p>
        </w:tc>
        <w:tc>
          <w:tcPr>
            <w:tcW w:type="dxa" w:w="204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1.274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put</w:t>
            </w:r>
          </w:p>
        </w:tc>
        <w:tc>
          <w:tcPr>
            <w:tcW w:type="dxa" w:w="238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15.433</w:t>
            </w:r>
          </w:p>
        </w:tc>
        <w:tc>
          <w:tcPr>
            <w:tcW w:type="dxa" w:w="238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14.158</w:t>
            </w:r>
          </w:p>
        </w:tc>
        <w:tc>
          <w:tcPr>
            <w:tcW w:type="dxa" w:w="204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13.354</w:t>
            </w:r>
          </w:p>
        </w:tc>
        <w:tc>
          <w:tcPr>
            <w:tcW w:type="dxa" w:w="204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1.156</w:t>
            </w:r>
          </w:p>
        </w:tc>
      </w:tr>
    </w:tbl>
    <w:p>
      <w:pPr>
        <w:spacing w:after="0"/>
      </w:pPr>
    </w:p>
    <w:p>
      <w:r>
        <w:t>128 KiB、64 核 get 在默认步长的 identity 布局为 20.848 B/cycle，步长改为 262144 B 后为 16.376，下降 21.5%。固定默认步长但改为 transpose 后下降 11.2%；相应 put 下降 8.3%。</w:t>
      </w:r>
    </w:p>
    <w:p>
      <w:r>
        <w:t>两端固定基地址分别为 0x500001406000 与 0x500002408000。64 核时固定步长下更换排列保持地址集合不变，仍出现吞吐差异，说明核到地址的配对关系参与了性能形成。核数小于 64 时排列也改变地址子集，应谨慎区分这两个因素。</w:t>
      </w:r>
    </w:p>
    <w:p>
      <w:r>
        <w:t>改变步长会改变地址间距、页/地址集合和访问范围，不能视为已控制的物理 bank 实验。虚拟地址并不能确定实际 DRAM bank/channel；本数据支持布局敏感性，尚未定位具体映射函数。</w:t>
      </w:r>
    </w:p>
    <w:p>
      <w:r>
        <w:br w:type="page"/>
      </w:r>
    </w:p>
    <w:p>
      <w:pPr>
        <w:pStyle w:val="Heading1"/>
      </w:pPr>
      <w:r>
        <w:t>7  小消息读取的耗时模式跟随地址槽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3444155"/>
            <wp:docPr id="6" name="Picture 6" descr="图 6  get 256 B  64核  偏移0 B  步长131200 B  上排按核 下排按槽重排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读取耗时随地址槽移动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44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  get 256 B  64核  偏移0 B  步长131200 B  上排按核 下排按槽重排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381"/>
        <w:gridCol w:w="3742"/>
        <w:gridCol w:w="3742"/>
      </w:tblGrid>
      <w:tr>
        <w:trPr>
          <w:tblHeader/>
          <w:cantSplit/>
        </w:trPr>
        <w:tc>
          <w:tcPr>
            <w:tcW w:type="dxa" w:w="238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映射对 identity</w:t>
            </w:r>
          </w:p>
        </w:tc>
        <w:tc>
          <w:tcPr>
            <w:tcW w:type="dxa" w:w="3742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按核ID的 Pearson r</w:t>
            </w:r>
          </w:p>
        </w:tc>
        <w:tc>
          <w:tcPr>
            <w:tcW w:type="dxa" w:w="3742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按地址槽的 Pearson r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reverse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-0.1667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0.9999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transpose</w:t>
            </w:r>
          </w:p>
        </w:tc>
        <w:tc>
          <w:tcPr>
            <w:tcW w:type="dxa" w:w="374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-0.0656</w:t>
            </w:r>
          </w:p>
        </w:tc>
        <w:tc>
          <w:tcPr>
            <w:tcW w:type="dxa" w:w="374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0.9996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shuffle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-0.0895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0.9996</w:t>
            </w:r>
          </w:p>
        </w:tc>
      </w:tr>
    </w:tbl>
    <w:p>
      <w:pPr>
        <w:spacing w:after="0"/>
      </w:pPr>
    </w:p>
    <w:p>
      <w:r>
        <w:t>换映射后，按核 ID 观察的快慢模式明显改变；将同一组耗时重新按地址槽号排列后，三种映射均与 identity 高度一致。按槽的相关系数约为 0.9996 至 0.9999，按核约为 −0.17 至 −0.07。这个案例的主要逐核差异更倾向于与主存地址槽关联。</w:t>
      </w:r>
    </w:p>
    <w:p>
      <w:r>
        <w:t>这里同一地址槽对应的是相同虚拟地址及同一进程中的缓冲区，已排除单纯由 tid 编号固定产生全部模式的解释。但尚无法区分内存映射、地址相关路由或其他与地址绑定的资源。大消息 get 的相关性更复杂，不能把本案例推广成所有读取都只由地址决定。</w:t>
      </w:r>
    </w:p>
    <w:p>
      <w:r>
        <w:t>下排的 8×8 仅将槽号按 slot=8r+c 重新排版，不是内存的物理二维拓扑；上排也仅按软件核 ID 展示。Pearson r 是描述性相似度，不是独立重复的显著性检验。</w:t>
      </w:r>
    </w:p>
    <w:p>
      <w:r>
        <w:br w:type="page"/>
      </w:r>
    </w:p>
    <w:p>
      <w:pPr>
        <w:pStyle w:val="Heading1"/>
      </w:pPr>
      <w:r>
        <w:t>8  大消息写入保留核位置相关模式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3440594"/>
            <wp:docPr id="7" name="Picture 7" descr="图 7  put 128 KiB  64核  偏移0 B  步长131200 B&#10;上排按核 下排按槽  色条单位为千 cycles/o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7_大消息写入的逐核模式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40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  put 128 KiB  64核  偏移0 B  步长131200 B</w:t>
        <w:br/>
        <w:t>上排按核 下排按槽  色条单位为千 cycles/op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381"/>
        <w:gridCol w:w="3742"/>
        <w:gridCol w:w="3742"/>
      </w:tblGrid>
      <w:tr>
        <w:trPr>
          <w:tblHeader/>
          <w:cantSplit/>
        </w:trPr>
        <w:tc>
          <w:tcPr>
            <w:tcW w:type="dxa" w:w="238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映射对 identity</w:t>
            </w:r>
          </w:p>
        </w:tc>
        <w:tc>
          <w:tcPr>
            <w:tcW w:type="dxa" w:w="3742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按核ID的 Pearson r</w:t>
            </w:r>
          </w:p>
        </w:tc>
        <w:tc>
          <w:tcPr>
            <w:tcW w:type="dxa" w:w="3742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按地址槽的 Pearson r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reverse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0.9998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-0.8171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transpose</w:t>
            </w:r>
          </w:p>
        </w:tc>
        <w:tc>
          <w:tcPr>
            <w:tcW w:type="dxa" w:w="374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0.9789</w:t>
            </w:r>
          </w:p>
        </w:tc>
        <w:tc>
          <w:tcPr>
            <w:tcW w:type="dxa" w:w="374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-0.0005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shuffle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0.9760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-0.0890</w:t>
            </w:r>
          </w:p>
        </w:tc>
      </w:tr>
    </w:tbl>
    <w:p>
      <w:pPr>
        <w:spacing w:after="0"/>
      </w:pPr>
    </w:p>
    <w:p>
      <w:r>
        <w:t>这个写入案例中，换槽后上排的耗时模式仍相近：按核 ID 的相关系数为 0.9760 至 0.9998；按地址槽重排后，相似性反而减弱。相比上一页的 256 B 读取，它更支持核位置、注入或调度等与 CPE 绑定因素参与逐核差异。</w:t>
      </w:r>
    </w:p>
    <w:p>
      <w:r>
        <w:t>吞吐与模式相似度应分开理解：即使各核的相对快慢排序相近，transpose 与 shuffle 的聚合吞吐仍低于 identity；地址配对仍能改变整体完成速度。固定核因素与地址因素可能同时存在，相关性并未证明具体部件或传输路线。</w:t>
      </w:r>
    </w:p>
    <w:p>
      <w:r>
        <w:t>也不是所有 put 都呈现这一模式：例如 64 B 写入，reverse 与 identity 的按核相关系数约为 −0.81，按槽约为 0.83。写入应按消息规模和对齐条件分别分析，不能仅用一个“核位置惩罚”解释所有数据。</w:t>
      </w:r>
    </w:p>
    <w:p>
      <w:pPr>
        <w:pStyle w:val="Heading2"/>
      </w:pPr>
      <w:r>
        <w:t>对体系结构建模的直接含义</w:t>
      </w:r>
    </w:p>
    <w:p>
      <w:r>
        <w:t>建议至少区分读与写、整块与部分块、消息大小、活跃核集合、槽步长和映射。现阶段可以使用这些测量条件下的分段拟合或查表；跨布局或跨型号预测仍需验证。本实验没有发起 CPE 间 RMA，不能据此生成小簇通信参数。</w:t>
      </w:r>
    </w:p>
    <w:p>
      <w:r>
        <w:br w:type="page"/>
      </w:r>
    </w:p>
    <w:p>
      <w:pPr>
        <w:pStyle w:val="Heading1"/>
      </w:pPr>
      <w:r>
        <w:t>9  跨阶段复测和结论的稳定程度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2504034"/>
            <wp:docPr id="8" name="Picture 8" descr="图 8  左为同配置跨阶段变化  右为匹配配置的非阻塞接口相对变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8_阶段一致性与接口对照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504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8  左为同配置跨阶段变化  右为匹配配置的非阻塞接口相对变化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268"/>
        <w:gridCol w:w="1304"/>
        <w:gridCol w:w="2098"/>
        <w:gridCol w:w="2098"/>
        <w:gridCol w:w="2098"/>
      </w:tblGrid>
      <w:tr>
        <w:trPr>
          <w:tblHeader/>
          <w:cantSplit/>
        </w:trPr>
        <w:tc>
          <w:tcPr>
            <w:tcW w:type="dxa" w:w="226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匹配阶段</w:t>
            </w:r>
          </w:p>
        </w:tc>
        <w:tc>
          <w:tcPr>
            <w:tcW w:type="dxa" w:w="1304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匹配组数</w:t>
            </w:r>
          </w:p>
        </w:tc>
        <w:tc>
          <w:tcPr>
            <w:tcW w:type="dxa" w:w="209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绝对变化中位数</w:t>
            </w:r>
          </w:p>
        </w:tc>
        <w:tc>
          <w:tcPr>
            <w:tcW w:type="dxa" w:w="209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绝对变化P90</w:t>
            </w:r>
          </w:p>
        </w:tc>
        <w:tc>
          <w:tcPr>
            <w:tcW w:type="dxa" w:w="209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绝对变化最大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boundary→load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504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0.098%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0.735%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7.64%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load→mapping</w:t>
            </w:r>
          </w:p>
        </w:tc>
        <w:tc>
          <w:tcPr>
            <w:tcW w:type="dxa" w:w="130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448</w:t>
            </w:r>
          </w:p>
        </w:tc>
        <w:tc>
          <w:tcPr>
            <w:tcW w:type="dxa" w:w="209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0.108%</w:t>
            </w:r>
          </w:p>
        </w:tc>
        <w:tc>
          <w:tcPr>
            <w:tcW w:type="dxa" w:w="209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0.682%</w:t>
            </w:r>
          </w:p>
        </w:tc>
        <w:tc>
          <w:tcPr>
            <w:tcW w:type="dxa" w:w="209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6.53%</w:t>
            </w:r>
          </w:p>
        </w:tc>
      </w:tr>
    </w:tbl>
    <w:p>
      <w:pPr>
        <w:spacing w:after="0"/>
      </w:pPr>
    </w:p>
    <w:p>
      <w:r>
        <w:t>匹配项使用相同模式、大小、核数、偏移、默认步长和 identity 映射。绝对变化定义为 |BW后/BW前−1|。它们是同一作业内不同阶段的复测，执行顺序固定；虽显示多数配置相近，却不等价于独立作业重复、随机运行顺序或置信区间。几个百分点的细小差异应留待复测。</w:t>
      </w:r>
    </w:p>
    <w:p>
      <w:r>
        <w:t>420 组匹配配置中，iget/get 带宽比中位数为 1.0006，iput/put 为 1.0005。非阻塞接口立即等待时，没有呈现稳定的整体吞吐优势；这不能用于评估多个未完成请求的流水收益。</w:t>
      </w:r>
    </w:p>
    <w:p>
      <w:pPr>
        <w:pStyle w:val="Heading2"/>
      </w:pPr>
      <w:r>
        <w:t>后续验证的优先级</w:t>
      </w:r>
    </w:p>
    <w:p>
      <w:r>
        <w:t>优先用多次独立作业、随机化配置顺序和实际资源共享记录复测写入边界、4 核与 64 核大消息差异及两类逐核模式。随后改变活跃核集合，在保持地址集合可比的条件下比较行、列和 2×2 位置；再测独立缓冲的请求窗口与轮转主存工作集，并标定计数器频率。</w:t>
      </w:r>
    </w:p>
    <w:p>
      <w:pPr>
        <w:pStyle w:val="Heading2"/>
      </w:pPr>
      <w:r>
        <w:t>数据和复现入口</w:t>
      </w:r>
    </w:p>
    <w:p>
      <w:r>
        <w:t>原始目录为 dma_results_20261005_203552_32484。主要依据包括 source 中的主从核源码、plan.csv、slot_maps.csv、raw、study_summary.csv、study_scaling.csv、build_info.txt 和 cpuinfo.txt；作业编号来自 job.log，compute.txt 中作业环境变量未提供编号。</w:t>
      </w:r>
    </w:p>
    <w:p>
      <w:r>
        <w:t>复核脚本为 bench/analyze_dma_study.py。衍生表保存在 outputs/dma_study_analysis_20261005_203552_32484，含边界对照、负载峰值、布局对照、阶段复测和相关性记录。接口语义参照目录内《SACA编程指南》DMA 章节及《神威众核编程指南》2.4、3.4、4.1、4.3 节。</w:t>
      </w:r>
    </w:p>
    <w:sectPr w:rsidR="00FC693F" w:rsidRPr="0006063C" w:rsidSect="00034616">
      <w:footerReference w:type="default" r:id="rId9"/>
      <w:pgSz w:w="11906" w:h="16838"/>
      <w:pgMar w:top="1020" w:right="1020" w:bottom="964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Arial" w:hAnsi="Arial" w:eastAsia="宋体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Arial" w:hAnsi="Arial" w:eastAsia="宋体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SW39000 DMA 扩展实验结果分析</dc:title>
  <dc:subject>128 KiB 消息 边界 核数 主存槽映射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