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SW39000 DMA 扩展实验结果分析</w:t>
      </w:r>
    </w:p>
    <w:p>
      <w:r>
        <w:t>实验日期 2026年10月5日    作业 8420952    队列 q_share</w:t>
      </w:r>
    </w:p>
    <w:p>
      <w:r>
        <w:t>本实验测量一个核组内主存与从核 LDM 之间的 DMA，覆盖 8 B 至 128 KiB 消息、七档负载与多种地址布局。结果表明：128 B 对齐写入的边界显著，偏移代价随并发放大；大消息读取接近吞吐平台，写入则在较高核数下下降。读写开销、对齐条件和核到地址的对应关系应分别进入模型。</w:t>
      </w:r>
    </w:p>
    <w:p>
      <w:pPr>
        <w:pStyle w:val="Heading1"/>
      </w:pPr>
      <w:r>
        <w:t>1  实验配置与数据复核</w:t>
      </w:r>
    </w:p>
    <w:p>
      <w:pPr>
        <w:pStyle w:val="Heading2"/>
      </w:pPr>
      <w:r>
        <w:t>1.1  平台 接口与完整实验矩阵</w:t>
      </w:r>
    </w:p>
    <w:p>
      <w:r>
        <w:t>主核 MPE 负责控制，从核 CPE 执行搬运；日志中的 SPE 也是从核标识。CG 为核组，本实验只使用一个 CG 的 64 个 CPE。LDM 为从核本地存储器；get/iget 将主存 src 读入 LDM，put/iput 将 LDM 写到独立主存 dst。非阻塞接口每次发起后立即等待，四种模式的软件请求窗口均为 W=1。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701"/>
        <w:gridCol w:w="8164"/>
      </w:tblGrid>
      <w:tr>
        <w:trPr>
          <w:tblHeader/>
          <w:cantSplit/>
        </w:trPr>
        <w:tc>
          <w:tcPr>
            <w:tcW w:type="dxa" w:w="170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项目</w:t>
            </w:r>
          </w:p>
        </w:tc>
        <w:tc>
          <w:tcPr>
            <w:tcW w:type="dxa" w:w="8164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本次记录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平台与编译</w:t>
            </w:r>
          </w:p>
        </w:tc>
        <w:tc>
          <w:tcPr>
            <w:tcW w:type="dxa" w:w="816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cpu revision=sw39000  SPE 2250 MHz  MPE 2100 MHz</w:t>
              <w:br/>
              <w:t>swgcc/1473  GCC 7.1.0  目标 sw_64sw6a-sunway-linux-gnu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编译选项</w:t>
            </w:r>
          </w:p>
        </w:tc>
        <w:tc>
          <w:tcPr>
            <w:tcW w:type="dxa" w:w="816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主核 -mhost -O2 -g  从核 -mslave -msimd -O2 -g</w:t>
              <w:br/>
              <w:t>链接 -mhybrid -g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资源与 LDM</w:t>
            </w:r>
          </w:p>
        </w:tc>
        <w:tc>
          <w:tcPr>
            <w:tcW w:type="dxa" w:w="816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MPE=1  CG=1  CPE=64  请求 -cache_size 0</w:t>
              <w:br/>
              <w:t>静态 LDM 132840 B  共享 LDM 配置及资源独占程度未确认</w:t>
            </w:r>
          </w:p>
        </w:tc>
      </w:tr>
    </w:tbl>
    <w:p>
      <w:pPr>
        <w:spacing w:after="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041"/>
        <w:gridCol w:w="1134"/>
        <w:gridCol w:w="1701"/>
        <w:gridCol w:w="2608"/>
        <w:gridCol w:w="2381"/>
      </w:tblGrid>
      <w:tr>
        <w:trPr>
          <w:tblHeader/>
          <w:cantSplit/>
        </w:trPr>
        <w:tc>
          <w:tcPr>
            <w:tcW w:type="dxa" w:w="204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1134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大小数</w:t>
            </w:r>
          </w:p>
        </w:tc>
        <w:tc>
          <w:tcPr>
            <w:tcW w:type="dxa" w:w="170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偏移 B</w:t>
            </w:r>
          </w:p>
        </w:tc>
        <w:tc>
          <w:tcPr>
            <w:tcW w:type="dxa" w:w="260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步长数×排列数</w:t>
            </w:r>
          </w:p>
        </w:tc>
        <w:tc>
          <w:tcPr>
            <w:tcW w:type="dxa" w:w="238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案例数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boundary 边界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9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0 4 64 124</w:t>
            </w:r>
          </w:p>
        </w:tc>
        <w:tc>
          <w:tcPr>
            <w:tcW w:type="dxa" w:w="260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1×1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1008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load 负载</w:t>
            </w:r>
          </w:p>
        </w:tc>
        <w:tc>
          <w:tcPr>
            <w:tcW w:type="dxa" w:w="113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30</w:t>
            </w:r>
          </w:p>
        </w:tc>
        <w:tc>
          <w:tcPr>
            <w:tcW w:type="dxa" w:w="170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0 4</w:t>
            </w:r>
          </w:p>
        </w:tc>
        <w:tc>
          <w:tcPr>
            <w:tcW w:type="dxa" w:w="260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1×1</w:t>
            </w:r>
          </w:p>
        </w:tc>
        <w:tc>
          <w:tcPr>
            <w:tcW w:type="dxa" w:w="238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1680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mapping 映射</w:t>
            </w:r>
          </w:p>
        </w:tc>
        <w:tc>
          <w:tcPr>
            <w:tcW w:type="dxa" w:w="113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0 4</w:t>
            </w:r>
          </w:p>
        </w:tc>
        <w:tc>
          <w:tcPr>
            <w:tcW w:type="dxa" w:w="260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4×4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7168</w:t>
            </w:r>
          </w:p>
        </w:tc>
      </w:tr>
    </w:tbl>
    <w:p>
      <w:pPr>
        <w:spacing w:after="0"/>
      </w:pPr>
    </w:p>
    <w:p>
      <w:r>
        <w:t>各阶段均包含 get、put、iget、iput 四种模式和 N=1、2、4、8、16、32、64 七档负载。N 表示计时的活跃核数，ID 固定为 0 至 N−1。边界组大小为 64、96、124、128、132、192、252、256、260 B。负载组的全部大小以 B 列出：8、16、32、64、96、124、128、132、192、252、256、260、384、512、768、1024、1536、2048、3072、4096、6144、8192、12288、16384、24576、32768、49152、65536、98304、131072。映射组大小为 64、128、256、4096、32768、65536、98304、131072 B。</w:t>
      </w:r>
    </w:p>
    <w:p>
      <w:pPr>
        <w:pStyle w:val="Heading2"/>
      </w:pPr>
      <w:r>
        <w:t>数据复核</w:t>
      </w:r>
    </w:p>
    <w:p>
      <w:r>
        <w:t>正式案例 9856 项，另有四种模式×1核或64核的 8 项正确性检查，大小 8 B、重复 10 次。独立交叉复核 179076 条活跃核记录与 8448 条扩展比及效率记录，计划、原始数据和汇总一致，errors 均为0，完成标记均记9856。</w:t>
      </w:r>
    </w:p>
    <w:p>
      <w:r>
        <w:t>数据模式为 (tid×17+j×13+7) mod 256。读模式检查最后的 LDM 内容，写模式在 join 后检查主存 dst，计时循环记录接口返回错误。校验覆盖最终内容，未逐轮验证数据时序。q_share 名称本身不证明独占；平台参数也不直接迁移为 SW26010Pro 参数。</w:t>
      </w:r>
    </w:p>
    <w:p>
      <w:r>
        <w:br w:type="page"/>
      </w:r>
    </w:p>
    <w:p>
      <w:pPr>
        <w:pStyle w:val="Heading2"/>
      </w:pPr>
      <w:r>
        <w:t>1.2  计时与完成条件</w:t>
      </w:r>
    </w:p>
    <w:p>
      <w:r>
        <w:t>每项先预热 8 次，S&lt;1 KiB 重复 R=10000 次，其余 R=1000 次。各核预热后同步，再用 athread_stime_cycle() 记录本地循环起止周期。计时包含调用、循环、返回码检查与完成等待；屏障、初始化、spawn/join、校验和输出位于计时区外。全部64核启动，非活跃核只参加计时区外的同步和结果回写。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551"/>
        <w:gridCol w:w="7313"/>
      </w:tblGrid>
      <w:tr>
        <w:trPr>
          <w:tblHeader/>
          <w:cantSplit/>
        </w:trPr>
        <w:tc>
          <w:tcPr>
            <w:tcW w:type="dxa" w:w="255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指标</w:t>
            </w:r>
          </w:p>
        </w:tc>
        <w:tc>
          <w:tcPr>
            <w:tcW w:type="dxa" w:w="7313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定义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逐核耗时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Tᵢ=endᵢ−beginᵢ  tᵢ=Tᵢ/R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汇总 cycles/op</w:t>
            </w:r>
          </w:p>
        </w:tc>
        <w:tc>
          <w:tcPr>
            <w:tcW w:type="dxa" w:w="731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tmax=max(Tᵢ)/R  取活跃核中最慢均值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聚合带宽 B/cycle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BW=N×S×R/max(Tᵢ)=N×S/tmax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扩展比与效率</w:t>
            </w:r>
          </w:p>
        </w:tc>
        <w:tc>
          <w:tcPr>
            <w:tcW w:type="dxa" w:w="731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Speedup=BW(N)/BW(1)  Efficiency=Speedup/N</w:t>
            </w:r>
          </w:p>
        </w:tc>
      </w:tr>
      <w:tr>
        <w:trPr>
          <w:cantSplit/>
        </w:trPr>
        <w:tc>
          <w:tcPr>
            <w:tcW w:type="dxa" w:w="255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偏移耗时比</w:t>
            </w:r>
          </w:p>
        </w:tc>
        <w:tc>
          <w:tcPr>
            <w:tcW w:type="dxa" w:w="731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tmax(offset)/tmax(0)  大于1表示偏移更慢</w:t>
            </w:r>
          </w:p>
        </w:tc>
      </w:tr>
    </w:tbl>
    <w:p>
      <w:pPr>
        <w:spacing w:after="0"/>
      </w:pPr>
    </w:p>
    <w:p>
      <w:r>
        <w:t>扩展比匹配模式、大小、偏移、步长与排列。聚合带宽采用最大本地累计周期，不直接相加各核带宽，也未另测全组共同起止时间；各核记录自身经过的周期，不要求绝对计数器起点同步。它是有效载荷吞吐，不含硬件协议及分段流量。</w:t>
      </w:r>
    </w:p>
    <w:p>
      <w:r>
        <w:t>示例：boundary 的 128 B、64 核、对齐 put，R=10000，最大累计周期为 4,394,158，故 cycles/op=439.4158，BW=64×128/439.4158=18.6429 B/cycle。</w:t>
      </w:r>
    </w:p>
    <w:p>
      <w:pPr>
        <w:pStyle w:val="Heading2"/>
      </w:pPr>
      <w:r>
        <w:t>单核小消息完成开销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361"/>
        <w:gridCol w:w="1701"/>
        <w:gridCol w:w="3628"/>
        <w:gridCol w:w="3175"/>
      </w:tblGrid>
      <w:tr>
        <w:trPr>
          <w:tblHeader/>
          <w:cantSplit/>
        </w:trPr>
        <w:tc>
          <w:tcPr>
            <w:tcW w:type="dxa" w:w="136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170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大小区间</w:t>
            </w:r>
          </w:p>
        </w:tc>
        <w:tc>
          <w:tcPr>
            <w:tcW w:type="dxa" w:w="362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cycles/op 范围</w:t>
            </w:r>
          </w:p>
        </w:tc>
        <w:tc>
          <w:tcPr>
            <w:tcW w:type="dxa" w:w="3175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中位数 cycles/op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get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8至64 B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441.06 至 441.36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441.11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put</w:t>
            </w:r>
          </w:p>
        </w:tc>
        <w:tc>
          <w:tcPr>
            <w:tcW w:type="dxa" w:w="170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8至64 B</w:t>
            </w:r>
          </w:p>
        </w:tc>
        <w:tc>
          <w:tcPr>
            <w:tcW w:type="dxa" w:w="362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240.03 至 240.04</w:t>
            </w:r>
          </w:p>
        </w:tc>
        <w:tc>
          <w:tcPr>
            <w:tcW w:type="dxa" w:w="317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240.03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iget</w:t>
            </w:r>
          </w:p>
        </w:tc>
        <w:tc>
          <w:tcPr>
            <w:tcW w:type="dxa" w:w="170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8至64 B</w:t>
            </w:r>
          </w:p>
        </w:tc>
        <w:tc>
          <w:tcPr>
            <w:tcW w:type="dxa" w:w="362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440.75 至 441.05</w:t>
            </w:r>
          </w:p>
        </w:tc>
        <w:tc>
          <w:tcPr>
            <w:tcW w:type="dxa" w:w="317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440.93</w:t>
            </w:r>
          </w:p>
        </w:tc>
      </w:tr>
      <w:tr>
        <w:trPr>
          <w:cantSplit/>
        </w:trPr>
        <w:tc>
          <w:tcPr>
            <w:tcW w:type="dxa" w:w="136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iput</w:t>
            </w:r>
          </w:p>
        </w:tc>
        <w:tc>
          <w:tcPr>
            <w:tcW w:type="dxa" w:w="170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8至64 B</w:t>
            </w:r>
          </w:p>
        </w:tc>
        <w:tc>
          <w:tcPr>
            <w:tcW w:type="dxa" w:w="362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234.02 至 234.03</w:t>
            </w:r>
          </w:p>
        </w:tc>
        <w:tc>
          <w:tcPr>
            <w:tcW w:type="dxa" w:w="317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234.02</w:t>
            </w:r>
          </w:p>
        </w:tc>
      </w:tr>
    </w:tbl>
    <w:p>
      <w:pPr>
        <w:spacing w:after="0"/>
      </w:pPr>
    </w:p>
    <w:p>
      <w:r>
        <w:t>以上为 load 阶段、偏移0 B、默认步长和 identity 排列。读取约441 cycles，写入约234至240 cycles；没有扣除空循环，不能视为纯硬件启动延迟。供应方完成表示源 LDM 数据已取走，获取方完成表示目标 LDM 已收到；put/iput 不直接测量每轮最终 DRAM 提交延迟。</w:t>
      </w:r>
    </w:p>
    <w:p>
      <w:r>
        <w:t>KiB=1024 B。原始周期与 B/cycle 为主要结果；仅当计数器按 SPE 2.25 GHz 递增时，ns=cycles÷2.25，十进制 GB/s=BW×2.25。计数器未独立标定，cpuinfo 的 timer frequency 100 Hz 不是此计数器频率。</w:t>
      </w:r>
    </w:p>
    <w:p>
      <w:r>
        <w:br w:type="page"/>
      </w:r>
    </w:p>
    <w:p>
      <w:pPr>
        <w:pStyle w:val="Heading2"/>
      </w:pPr>
      <w:r>
        <w:t>1.3  主存槽布局与执行条件</w:t>
      </w:r>
    </w:p>
    <w:p>
      <w:r>
        <w:t>槽是主存数组中供一个从核访问的逻辑区域。数据缓冲上限 C=131072 B，主存槽步长为相邻槽起点的距离，不等于每轮传输字节数 S。主存 src 和 dst 数组均按 128 B 对齐，分别分配 64×262144 B，即各 16 MiB；两者共 32 MiB，另有结果数组。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3288"/>
        <w:gridCol w:w="3288"/>
        <w:gridCol w:w="3288"/>
      </w:tblGrid>
      <w:tr>
        <w:trPr>
          <w:tblHeader/>
          <w:cantSplit/>
        </w:trPr>
        <w:tc>
          <w:tcPr>
            <w:tcW w:type="dxa" w:w="328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步长计算</w:t>
            </w:r>
          </w:p>
        </w:tc>
        <w:tc>
          <w:tcPr>
            <w:tcW w:type="dxa" w:w="328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步长 B</w:t>
            </w:r>
          </w:p>
        </w:tc>
        <w:tc>
          <w:tcPr>
            <w:tcW w:type="dxa" w:w="328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128KiB 消息后的间隔 B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C+128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131200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128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C+256</w:t>
            </w:r>
          </w:p>
        </w:tc>
        <w:tc>
          <w:tcPr>
            <w:tcW w:type="dxa" w:w="328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131328</w:t>
            </w:r>
          </w:p>
        </w:tc>
        <w:tc>
          <w:tcPr>
            <w:tcW w:type="dxa" w:w="328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256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C+4096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135168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4096</w:t>
            </w:r>
          </w:p>
        </w:tc>
      </w:tr>
      <w:tr>
        <w:trPr>
          <w:cantSplit/>
        </w:trPr>
        <w:tc>
          <w:tcPr>
            <w:tcW w:type="dxa" w:w="328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2C</w:t>
            </w:r>
          </w:p>
        </w:tc>
        <w:tc>
          <w:tcPr>
            <w:tcW w:type="dxa" w:w="328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262144</w:t>
            </w:r>
          </w:p>
        </w:tc>
        <w:tc>
          <w:tcPr>
            <w:tcW w:type="dxa" w:w="328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131072</w:t>
            </w:r>
          </w:p>
        </w:tc>
      </w:tr>
    </w:tbl>
    <w:p>
      <w:pPr>
        <w:spacing w:after="0"/>
      </w:pPr>
    </w:p>
    <w:p>
      <w:r>
        <w:t>四种步长均是 128 B 的倍数，且足以容纳 128 KiB 数据及最大 124 B 偏移，避免槽间重叠。偏移只施加于主存地址，LDM 数据缓冲起点始终保持 128 B 对齐。因而对齐实验改变的是主存端起点。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268"/>
        <w:gridCol w:w="7597"/>
      </w:tblGrid>
      <w:tr>
        <w:trPr>
          <w:tblHeader/>
          <w:cantSplit/>
        </w:trPr>
        <w:tc>
          <w:tcPr>
            <w:tcW w:type="dxa" w:w="226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排列名称</w:t>
            </w:r>
          </w:p>
        </w:tc>
        <w:tc>
          <w:tcPr>
            <w:tcW w:type="dxa" w:w="7597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核 ID tid 对应的槽号 slot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identity</w:t>
            </w:r>
          </w:p>
        </w:tc>
        <w:tc>
          <w:tcPr>
            <w:tcW w:type="dxa" w:w="759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slot=tid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reverse</w:t>
            </w:r>
          </w:p>
        </w:tc>
        <w:tc>
          <w:tcPr>
            <w:tcW w:type="dxa" w:w="7597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slot=63−tid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transpose</w:t>
            </w:r>
          </w:p>
        </w:tc>
        <w:tc>
          <w:tcPr>
            <w:tcW w:type="dxa" w:w="759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slot=(tid mod 8)×8+floor(tid/8)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shuffle</w:t>
            </w:r>
          </w:p>
        </w:tc>
        <w:tc>
          <w:tcPr>
            <w:tcW w:type="dxa" w:w="7597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固定种子 20261005 的 Fisher–Yates 排列</w:t>
              <w:br/>
              <w:t>伪随机状态按源码的 32 位 xorshift 更新</w:t>
            </w:r>
          </w:p>
        </w:tc>
      </w:tr>
    </w:tbl>
    <w:p>
      <w:pPr>
        <w:spacing w:after="0"/>
      </w:pPr>
    </w:p>
    <w:p>
      <w:r>
        <w:t>逐核主存地址的计算式为 address=base+slot_of_pe[tid]×slot_stride+offset。get 使用 src，put 使用 dst；各案例 CSV 同时保存两端地址、slot 和映射名称，便于核对。两端基地址整个过程固定为 src=0x500001406000、dst=0x500002408000。</w:t>
      </w:r>
    </w:p>
    <w:p>
      <w:r>
        <w:t>当 N=64、步长及偏移固定时，四种排列访问相同的 64 个地址，只改变哪个核访问哪个地址。这有助于区分固定核因素与核地址配对因素。当 N&lt;64 时，只取排列中前 N 个核对应的槽，更换排列同时改变访问地址子集。</w:t>
      </w:r>
    </w:p>
    <w:p>
      <w:r>
        <w:t>改变步长同时改变地址间距、页分布、访问范围等条件；不是单独改变已知物理 bank 的实验。虽然按 8×8 展示软件核 ID 或槽号便于识别模式，槽号二维排版不代表内存物理拓扑，虚拟地址也不能直接还原 DRAM channel 或 bank。</w:t>
      </w:r>
    </w:p>
    <w:p>
      <w:r>
        <w:t>boundary 与 load 固定步长131200 B和 identity；mapping 改变步长与排列。源和目标主存数组一次分配，整个作业内基地址固定；每轮始终复用同一主存槽和 LDM 缓冲。一次作业内按 plan.csv 固定顺序执行三个阶段，shuffle 并未打乱运行顺序。</w:t>
      </w:r>
    </w:p>
    <w:p>
      <w:r>
        <w:t>每核 LDM 数据缓冲为128 KiB、128 B对齐。手册描述 LDM 总容量256 KiB，可划分 Cache、私有和连续共享 LDM；本次 Cache 请求为0，实际共享分配量未知。链接报告静态 LDM 132840 B，未用 -b 搬移栈；本次运行完成不能保证其他内存配置也能容纳。</w:t>
      </w:r>
    </w:p>
    <w:p>
      <w:r>
        <w:br w:type="page"/>
      </w:r>
    </w:p>
    <w:p>
      <w:pPr>
        <w:pStyle w:val="Heading1"/>
      </w:pPr>
      <w:r>
        <w:t>2  DMA 带宽曲线</w:t>
      </w:r>
    </w:p>
    <w:p>
      <w:r>
        <w:t>默认布局下，单核吞吐随消息增大上升，64核大消息吞吐接近平台区。对齐读写表现不同：读取约20.85至20.98 B/cycle，写入约15.38至15.60 B/cycle。以下曲线同时显示1核与64核、主存偏移0 B与4 B，所有条件均来自 load 阶段。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4035958"/>
            <wp:docPr id="1" name="Picture 1" descr="图 1  四种 DMA 模式在两档核数与两种主存偏移下的聚合带宽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_DMA带宽曲线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035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  四种 DMA 模式在两档核数与两种主存偏移下的聚合带宽</w:t>
      </w:r>
    </w:p>
    <w:p>
      <w:r>
        <w:t>put/iput 的两个尖峰位于128 B和256 B，已用箭头标明，均为64核、偏移0 B的对齐写入。它们不是128 KiB附近的大消息峰值。横轴为以2为底的对数刻度，等距表示相同倍数，而非相同字节增量。尖峰来自完成耗时的局部低谷，具体硬件原因仍需区分。</w:t>
      </w:r>
    </w:p>
    <w:p>
      <w:pPr>
        <w:pStyle w:val="Heading2"/>
      </w:pPr>
      <w:r>
        <w:t>128 KiB 对齐传输的代表结果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020"/>
        <w:gridCol w:w="1984"/>
        <w:gridCol w:w="1984"/>
        <w:gridCol w:w="2268"/>
        <w:gridCol w:w="2608"/>
      </w:tblGrid>
      <w:tr>
        <w:trPr>
          <w:tblHeader/>
          <w:cantSplit/>
        </w:trPr>
        <w:tc>
          <w:tcPr>
            <w:tcW w:type="dxa" w:w="1020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1984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单核 B/cycle</w:t>
            </w:r>
          </w:p>
        </w:tc>
        <w:tc>
          <w:tcPr>
            <w:tcW w:type="dxa" w:w="1984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64核 B/cycle</w:t>
            </w:r>
          </w:p>
        </w:tc>
        <w:tc>
          <w:tcPr>
            <w:tcW w:type="dxa" w:w="226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64与1核带宽比</w:t>
            </w:r>
          </w:p>
        </w:tc>
        <w:tc>
          <w:tcPr>
            <w:tcW w:type="dxa" w:w="260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64核条件换算 GB/s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get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16.705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20.851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1.248</w:t>
            </w:r>
          </w:p>
        </w:tc>
        <w:tc>
          <w:tcPr>
            <w:tcW w:type="dxa" w:w="260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46.92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put</w:t>
            </w:r>
          </w:p>
        </w:tc>
        <w:tc>
          <w:tcPr>
            <w:tcW w:type="dxa" w:w="198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18.120</w:t>
            </w:r>
          </w:p>
        </w:tc>
        <w:tc>
          <w:tcPr>
            <w:tcW w:type="dxa" w:w="198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15.381</w:t>
            </w:r>
          </w:p>
        </w:tc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0.849</w:t>
            </w:r>
          </w:p>
        </w:tc>
        <w:tc>
          <w:tcPr>
            <w:tcW w:type="dxa" w:w="260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34.61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iget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16.704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20.864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1.249</w:t>
            </w:r>
          </w:p>
        </w:tc>
        <w:tc>
          <w:tcPr>
            <w:tcW w:type="dxa" w:w="260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46.94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iput</w:t>
            </w:r>
          </w:p>
        </w:tc>
        <w:tc>
          <w:tcPr>
            <w:tcW w:type="dxa" w:w="198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18.137</w:t>
            </w:r>
          </w:p>
        </w:tc>
        <w:tc>
          <w:tcPr>
            <w:tcW w:type="dxa" w:w="198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15.254</w:t>
            </w:r>
          </w:p>
        </w:tc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0.841</w:t>
            </w:r>
          </w:p>
        </w:tc>
        <w:tc>
          <w:tcPr>
            <w:tcW w:type="dxa" w:w="260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34.32</w:t>
            </w:r>
          </w:p>
        </w:tc>
      </w:tr>
    </w:tbl>
    <w:p>
      <w:pPr>
        <w:spacing w:after="0"/>
      </w:pPr>
    </w:p>
    <w:p>
      <w:r>
        <w:t>64至128 KiB的单核 get 带宽从 15.614 增至 16.705 B/cycle，增幅7.0%；put 增幅3.5%。扩大消息主要摊薄固定开销，未使大消息平台吞吐成倍增长。条件换算不替代频率标定；本结果适用于单核组、W=1、固定槽预热后访问，不代表全芯片峰值。</w:t>
      </w:r>
    </w:p>
    <w:p>
      <w:r>
        <w:br w:type="page"/>
      </w:r>
    </w:p>
    <w:p>
      <w:pPr>
        <w:pStyle w:val="Heading1"/>
      </w:pPr>
      <w:r>
        <w:t>3  并发扩展与共享吞吐</w:t>
      </w:r>
    </w:p>
    <w:p>
      <w:pPr>
        <w:pStyle w:val="Heading2"/>
      </w:pPr>
      <w:r>
        <w:t>3.1  消息大小决定并发收益</w:t>
      </w:r>
    </w:p>
    <w:p>
      <w:r>
        <w:t>64核相对单核的带宽比在小消息下较高，随消息增大明显下降。理想线性扩展比为64，图中所有值都低于这一基准。写入还在128 B对齐处出现特殊高点，需要结合第4章的块边界分析。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2504034"/>
            <wp:docPr id="2" name="Picture 2" descr="图 2  64核相对单核的聚合带宽比  虚线接口为 iget 与 ipu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2_并发扩展比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504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2  64核相对单核的聚合带宽比  虚线接口为 iget 与 iput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381"/>
        <w:gridCol w:w="3742"/>
        <w:gridCol w:w="3742"/>
      </w:tblGrid>
      <w:tr>
        <w:trPr>
          <w:tblHeader/>
          <w:cantSplit/>
        </w:trPr>
        <w:tc>
          <w:tcPr>
            <w:tcW w:type="dxa" w:w="238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消息大小</w:t>
            </w:r>
          </w:p>
        </w:tc>
        <w:tc>
          <w:tcPr>
            <w:tcW w:type="dxa" w:w="3742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get 对齐扩展比</w:t>
            </w:r>
          </w:p>
        </w:tc>
        <w:tc>
          <w:tcPr>
            <w:tcW w:type="dxa" w:w="3742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put 对齐扩展比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8 B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24.77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8.03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64 B</w:t>
            </w:r>
          </w:p>
        </w:tc>
        <w:tc>
          <w:tcPr>
            <w:tcW w:type="dxa" w:w="374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24.71</w:t>
            </w:r>
          </w:p>
        </w:tc>
        <w:tc>
          <w:tcPr>
            <w:tcW w:type="dxa" w:w="374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8.02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128 B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24.75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35.47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 KiB</w:t>
            </w:r>
          </w:p>
        </w:tc>
        <w:tc>
          <w:tcPr>
            <w:tcW w:type="dxa" w:w="374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9.07</w:t>
            </w:r>
          </w:p>
        </w:tc>
        <w:tc>
          <w:tcPr>
            <w:tcW w:type="dxa" w:w="374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3.99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 KiB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3.45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1.69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16 KiB</w:t>
            </w:r>
          </w:p>
        </w:tc>
        <w:tc>
          <w:tcPr>
            <w:tcW w:type="dxa" w:w="374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1.83</w:t>
            </w:r>
          </w:p>
        </w:tc>
        <w:tc>
          <w:tcPr>
            <w:tcW w:type="dxa" w:w="374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1.06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32 KiB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1.50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0.95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64 KiB</w:t>
            </w:r>
          </w:p>
        </w:tc>
        <w:tc>
          <w:tcPr>
            <w:tcW w:type="dxa" w:w="374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1.34</w:t>
            </w:r>
          </w:p>
        </w:tc>
        <w:tc>
          <w:tcPr>
            <w:tcW w:type="dxa" w:w="374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0.89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128 KiB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1.25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0.85</w:t>
            </w:r>
          </w:p>
        </w:tc>
      </w:tr>
    </w:tbl>
    <w:p>
      <w:pPr>
        <w:spacing w:after="0"/>
      </w:pPr>
    </w:p>
    <w:p>
      <w:r>
        <w:t>8 B对齐 get 扩展为 24.77 倍，128 KiB仅 1.25 倍。128 KiB put 扩展比为 0.849，64核聚合吞吐反而低于单核。效率为扩展比除以64，反映吞吐未随核数线性增长，不是应用计算效率。</w:t>
      </w:r>
    </w:p>
    <w:p>
      <w:r>
        <w:br w:type="page"/>
      </w:r>
    </w:p>
    <w:p>
      <w:pPr>
        <w:pStyle w:val="Heading2"/>
      </w:pPr>
      <w:r>
        <w:t>3.2  七档核数定位饱和与下降区间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4035958"/>
            <wp:docPr id="3" name="Picture 3" descr="图 3  七档活跃核数的聚合吞吐  消息大小决定饱和和争用表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3_活跃核数与共享吞吐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035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3  七档活跃核数的聚合吞吐  消息大小决定饱和和争用表现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587"/>
        <w:gridCol w:w="2721"/>
        <w:gridCol w:w="2721"/>
        <w:gridCol w:w="2835"/>
      </w:tblGrid>
      <w:tr>
        <w:trPr>
          <w:tblHeader/>
          <w:cantSplit/>
        </w:trPr>
        <w:tc>
          <w:tcPr>
            <w:tcW w:type="dxa" w:w="1587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活跃核数</w:t>
            </w:r>
          </w:p>
        </w:tc>
        <w:tc>
          <w:tcPr>
            <w:tcW w:type="dxa" w:w="272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get 128KiB</w:t>
              <w:br/>
              <w:t>B/cycle</w:t>
            </w:r>
          </w:p>
        </w:tc>
        <w:tc>
          <w:tcPr>
            <w:tcW w:type="dxa" w:w="272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put 128KiB</w:t>
              <w:br/>
              <w:t>B/cycle</w:t>
            </w:r>
          </w:p>
        </w:tc>
        <w:tc>
          <w:tcPr>
            <w:tcW w:type="dxa" w:w="2835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put 对4核</w:t>
              <w:br/>
              <w:t>吞吐比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272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16.705</w:t>
            </w:r>
          </w:p>
        </w:tc>
        <w:tc>
          <w:tcPr>
            <w:tcW w:type="dxa" w:w="272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18.120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0.850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type="dxa" w:w="272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16.878</w:t>
            </w:r>
          </w:p>
        </w:tc>
        <w:tc>
          <w:tcPr>
            <w:tcW w:type="dxa" w:w="272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18.741</w:t>
            </w:r>
          </w:p>
        </w:tc>
        <w:tc>
          <w:tcPr>
            <w:tcW w:type="dxa" w:w="283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0.879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type="dxa" w:w="272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19.511</w:t>
            </w:r>
          </w:p>
        </w:tc>
        <w:tc>
          <w:tcPr>
            <w:tcW w:type="dxa" w:w="272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21.326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1.000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type="dxa" w:w="272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20.918</w:t>
            </w:r>
          </w:p>
        </w:tc>
        <w:tc>
          <w:tcPr>
            <w:tcW w:type="dxa" w:w="272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20.577</w:t>
            </w:r>
          </w:p>
        </w:tc>
        <w:tc>
          <w:tcPr>
            <w:tcW w:type="dxa" w:w="283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0.965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16</w:t>
            </w:r>
          </w:p>
        </w:tc>
        <w:tc>
          <w:tcPr>
            <w:tcW w:type="dxa" w:w="272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21.115</w:t>
            </w:r>
          </w:p>
        </w:tc>
        <w:tc>
          <w:tcPr>
            <w:tcW w:type="dxa" w:w="272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20.471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0.960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32</w:t>
            </w:r>
          </w:p>
        </w:tc>
        <w:tc>
          <w:tcPr>
            <w:tcW w:type="dxa" w:w="272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21.361</w:t>
            </w:r>
          </w:p>
        </w:tc>
        <w:tc>
          <w:tcPr>
            <w:tcW w:type="dxa" w:w="272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18.407</w:t>
            </w:r>
          </w:p>
        </w:tc>
        <w:tc>
          <w:tcPr>
            <w:tcW w:type="dxa" w:w="283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0.863</w:t>
            </w:r>
          </w:p>
        </w:tc>
      </w:tr>
      <w:tr>
        <w:trPr>
          <w:cantSplit/>
        </w:trPr>
        <w:tc>
          <w:tcPr>
            <w:tcW w:type="dxa" w:w="158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64</w:t>
            </w:r>
          </w:p>
        </w:tc>
        <w:tc>
          <w:tcPr>
            <w:tcW w:type="dxa" w:w="272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20.851</w:t>
            </w:r>
          </w:p>
        </w:tc>
        <w:tc>
          <w:tcPr>
            <w:tcW w:type="dxa" w:w="272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15.381</w:t>
            </w:r>
          </w:p>
        </w:tc>
        <w:tc>
          <w:tcPr>
            <w:tcW w:type="dxa" w:w="283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0.721</w:t>
            </w:r>
          </w:p>
        </w:tc>
      </w:tr>
    </w:tbl>
    <w:p>
      <w:pPr>
        <w:spacing w:after="0"/>
      </w:pPr>
    </w:p>
    <w:p>
      <w:r>
        <w:t>128 KiB 对齐 put 的本组最高值位于 4 核，为 21.326 B/cycle；64 核降至 15.381，比 4 核低 27.9%，也比单核低 15.1%。get 在 8 核已经达到该尺寸本组峰值的 95%，32 核最高，但 8、16、32、64 核之间只有几个百分点差异。</w:t>
      </w:r>
    </w:p>
    <w:p>
      <w:r>
        <w:t>该结论针对固定活跃 ID 与默认槽步长。4 核 ID 为 0、1、2、3，并非几何 2×2 的 0、1、8、9；因此不能将 4 核峰值归因于小簇，也不能用于证明 RMA router 共享结构。</w:t>
      </w:r>
    </w:p>
    <w:p>
      <w:r>
        <w:br w:type="page"/>
      </w:r>
    </w:p>
    <w:p>
      <w:pPr>
        <w:pStyle w:val="Heading1"/>
      </w:pPr>
      <w:r>
        <w:t>4  主存对齐与 128 B 写入边界</w:t>
      </w:r>
    </w:p>
    <w:p>
      <w:pPr>
        <w:pStyle w:val="Heading2"/>
      </w:pPr>
      <w:r>
        <w:t>4.1  九种尺寸与四种偏移的边界细扫</w:t>
      </w:r>
    </w:p>
    <w:p>
      <w:r>
        <w:t>主存端偏移均满足4 B接口约束，但改变相对于128 B边界的位置；LDM端始终128 B对齐。64核写入在128 B与256 B对齐处出现耗时低谷，相邻部分块尺寸明显较慢。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4044606"/>
            <wp:docPr id="4" name="Picture 4" descr="图 4  put 与 iput 的九种尺寸和四种偏移细扫  数值为 cycles/o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4_写入边界细扫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0446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4  put 与 iput 的九种尺寸和四种偏移细扫  数值为 cycles/op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531"/>
        <w:gridCol w:w="2083"/>
        <w:gridCol w:w="2083"/>
        <w:gridCol w:w="2083"/>
        <w:gridCol w:w="2083"/>
      </w:tblGrid>
      <w:tr>
        <w:trPr>
          <w:tblHeader/>
          <w:cantSplit/>
        </w:trPr>
        <w:tc>
          <w:tcPr>
            <w:tcW w:type="dxa" w:w="153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64核 put</w:t>
              <w:br/>
              <w:t>消息 B</w:t>
            </w:r>
          </w:p>
        </w:tc>
        <w:tc>
          <w:tcPr>
            <w:tcW w:type="dxa" w:w="2083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偏移0 B</w:t>
            </w:r>
          </w:p>
        </w:tc>
        <w:tc>
          <w:tcPr>
            <w:tcW w:type="dxa" w:w="2083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偏移4 B</w:t>
            </w:r>
          </w:p>
        </w:tc>
        <w:tc>
          <w:tcPr>
            <w:tcW w:type="dxa" w:w="2083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偏移64 B</w:t>
            </w:r>
          </w:p>
        </w:tc>
        <w:tc>
          <w:tcPr>
            <w:tcW w:type="dxa" w:w="2083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偏移124 B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64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1916.82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3578.60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1913.48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3498.34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96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1917.49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3571.86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3503.49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5014.15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124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3577.09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3573.98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3504.05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3492.66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128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439.42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5179.92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3502.36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5008.27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132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2735.08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5166.38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5027.86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2684.06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192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2716.46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6690.86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2694.59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4582.60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252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4279.26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4376.84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4602.30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4589.93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256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885.38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6060.12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4590.04</w:t>
            </w:r>
          </w:p>
        </w:tc>
        <w:tc>
          <w:tcPr>
            <w:tcW w:type="dxa" w:w="2083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6222.33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260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3521.90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6057.30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6169.40</w:t>
            </w:r>
          </w:p>
        </w:tc>
        <w:tc>
          <w:tcPr>
            <w:tcW w:type="dxa" w:w="2083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3493.38</w:t>
            </w:r>
          </w:p>
        </w:tc>
      </w:tr>
    </w:tbl>
    <w:p>
      <w:pPr>
        <w:spacing w:after="0"/>
      </w:pPr>
    </w:p>
    <w:p>
      <w:r>
        <w:t>64 核对齐 put 的 128 B 耗时为 439.42 cycles/op，而相邻 124 B 与 132 B 分别为 3577.09 与 2735.08。256 B 对齐也出现同类低谷，说明转折并非简单的消息越大越慢。</w:t>
      </w:r>
    </w:p>
    <w:p>
      <w:r>
        <w:br w:type="page"/>
      </w:r>
    </w:p>
    <w:p>
      <w:pPr>
        <w:pStyle w:val="Heading2"/>
      </w:pPr>
      <w:r>
        <w:t>4.2  偏移惩罚随并发放大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2447296"/>
            <wp:docPr id="5" name="Picture 5" descr="图 5  相同消息下偏移地址相对对齐地址的耗时比  虚线为 ipu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5_偏移代价与负载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4472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5  相同消息下偏移地址相对对齐地址的耗时比  虚线为 iput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041"/>
        <w:gridCol w:w="1247"/>
        <w:gridCol w:w="2154"/>
        <w:gridCol w:w="2154"/>
        <w:gridCol w:w="2268"/>
      </w:tblGrid>
      <w:tr>
        <w:trPr>
          <w:tblHeader/>
          <w:cantSplit/>
        </w:trPr>
        <w:tc>
          <w:tcPr>
            <w:tcW w:type="dxa" w:w="204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模式与核数</w:t>
            </w:r>
          </w:p>
        </w:tc>
        <w:tc>
          <w:tcPr>
            <w:tcW w:type="dxa" w:w="1247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消息 B</w:t>
            </w:r>
          </w:p>
        </w:tc>
        <w:tc>
          <w:tcPr>
            <w:tcW w:type="dxa" w:w="2154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偏移4 B</w:t>
              <w:br/>
              <w:t>耗时比</w:t>
            </w:r>
          </w:p>
        </w:tc>
        <w:tc>
          <w:tcPr>
            <w:tcW w:type="dxa" w:w="2154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偏移64 B</w:t>
              <w:br/>
              <w:t>耗时比</w:t>
            </w:r>
          </w:p>
        </w:tc>
        <w:tc>
          <w:tcPr>
            <w:tcW w:type="dxa" w:w="226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偏移124 B</w:t>
              <w:br/>
              <w:t>耗时比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put  1核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128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1.599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1.023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1.614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put  64核</w:t>
            </w:r>
          </w:p>
        </w:tc>
        <w:tc>
          <w:tcPr>
            <w:tcW w:type="dxa" w:w="1247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128</w:t>
            </w:r>
          </w:p>
        </w:tc>
        <w:tc>
          <w:tcPr>
            <w:tcW w:type="dxa" w:w="215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11.788</w:t>
            </w:r>
          </w:p>
        </w:tc>
        <w:tc>
          <w:tcPr>
            <w:tcW w:type="dxa" w:w="215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7.970</w:t>
            </w:r>
          </w:p>
        </w:tc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11.398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put  1核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256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1.475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1.007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1.516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put  64核</w:t>
            </w:r>
          </w:p>
        </w:tc>
        <w:tc>
          <w:tcPr>
            <w:tcW w:type="dxa" w:w="1247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256</w:t>
            </w:r>
          </w:p>
        </w:tc>
        <w:tc>
          <w:tcPr>
            <w:tcW w:type="dxa" w:w="215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6.845</w:t>
            </w:r>
          </w:p>
        </w:tc>
        <w:tc>
          <w:tcPr>
            <w:tcW w:type="dxa" w:w="215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5.184</w:t>
            </w:r>
          </w:p>
        </w:tc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7.028</w:t>
            </w:r>
          </w:p>
        </w:tc>
      </w:tr>
      <w:tr>
        <w:trPr>
          <w:cantSplit/>
        </w:trPr>
        <w:tc>
          <w:tcPr>
            <w:tcW w:type="dxa" w:w="204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get  64核</w:t>
            </w:r>
          </w:p>
        </w:tc>
        <w:tc>
          <w:tcPr>
            <w:tcW w:type="dxa" w:w="124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128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1.389</w:t>
            </w:r>
          </w:p>
        </w:tc>
        <w:tc>
          <w:tcPr>
            <w:tcW w:type="dxa" w:w="215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1.390</w:t>
            </w:r>
          </w:p>
        </w:tc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1.391</w:t>
            </w:r>
          </w:p>
        </w:tc>
      </w:tr>
    </w:tbl>
    <w:p>
      <w:pPr>
        <w:spacing w:after="0"/>
      </w:pPr>
    </w:p>
    <w:p>
      <w:r>
        <w:t>128 B 的 put 偏移 4 B 代价从单核约 1.60 倍放大到 64 核约 11.79 倍；后者带宽下降 91.5%。同尺寸 get 的 64 核偏移代价仅约 1.39 倍，读写路径需要分开解释。</w:t>
      </w:r>
    </w:p>
    <w:p>
      <w:pPr>
        <w:pStyle w:val="Heading2"/>
      </w:pPr>
      <w:r>
        <w:t>仅靠覆盖的 128 B 块数仍不足以解释写入</w:t>
      </w:r>
    </w:p>
    <w:p>
      <w:r>
        <w:t>64 B 偏移 0 B 与 96 B 偏移 4 B 都位于单个 128 B 地址块内，但 64 核 put 耗时分别约为 1916.82 和 3571.86 cycles/op，相差约 1.86 倍。另一方面，64 B 偏移 64 B 耗时约 1913.48 cycles/op，接近偏移 0 B。起点、终点及片段大小也影响写入，不能把额外覆盖一个块直接等价为固定惩罚。</w:t>
      </w:r>
    </w:p>
    <w:p>
      <w:r>
        <w:t>这些现象支持对齐整块与部分块路径、并发争用等候选解释；目前未测硬件事务、bank/channel 或仲裁事件，尚不能确定是读改写、哪级缓存或某个互连部件导致。</w:t>
      </w:r>
    </w:p>
    <w:p>
      <w:r>
        <w:br w:type="page"/>
      </w:r>
    </w:p>
    <w:p>
      <w:pPr>
        <w:pStyle w:val="Heading1"/>
      </w:pPr>
      <w:r>
        <w:t>5  操作完成耗时与非阻塞接口</w:t>
      </w:r>
    </w:p>
    <w:p>
      <w:pPr>
        <w:pStyle w:val="Heading2"/>
      </w:pPr>
      <w:r>
        <w:t>5.1  完成耗时曲线与匹配接口比较</w:t>
      </w:r>
    </w:p>
    <w:p>
      <w:r>
        <w:t>get 的单核小消息完成耗时较平稳；大消息下64核逐次完成耗时受共享吞吐约束。put 在64核、128 B对齐处明显下降，不能对全尺寸使用同一条线性延迟曲线。图中耗时取最慢核平均值，纵轴为对数刻度。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2504034"/>
            <wp:docPr id="6" name="Picture 6" descr="图 6  get 与 put 的完成耗时  对齐与偏移4 B的对照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6_操作完成耗时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504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6  get 与 put 的完成耗时  对齐与偏移4 B的对照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134"/>
        <w:gridCol w:w="1984"/>
        <w:gridCol w:w="4252"/>
        <w:gridCol w:w="2494"/>
      </w:tblGrid>
      <w:tr>
        <w:trPr>
          <w:tblHeader/>
          <w:cantSplit/>
        </w:trPr>
        <w:tc>
          <w:tcPr>
            <w:tcW w:type="dxa" w:w="1134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核数</w:t>
            </w:r>
          </w:p>
        </w:tc>
        <w:tc>
          <w:tcPr>
            <w:tcW w:type="dxa" w:w="1984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带宽比</w:t>
            </w:r>
          </w:p>
        </w:tc>
        <w:tc>
          <w:tcPr>
            <w:tcW w:type="dxa" w:w="4252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60组配置的范围</w:t>
            </w:r>
          </w:p>
        </w:tc>
        <w:tc>
          <w:tcPr>
            <w:tcW w:type="dxa" w:w="2494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中位数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iget/get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0.9951 至 1.0235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1.0010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98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iput/put</w:t>
            </w:r>
          </w:p>
        </w:tc>
        <w:tc>
          <w:tcPr>
            <w:tcW w:type="dxa" w:w="425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0.9757 至 1.0439</w:t>
            </w:r>
          </w:p>
        </w:tc>
        <w:tc>
          <w:tcPr>
            <w:tcW w:type="dxa" w:w="249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1.0034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64</w:t>
            </w:r>
          </w:p>
        </w:tc>
        <w:tc>
          <w:tcPr>
            <w:tcW w:type="dxa" w:w="198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iget/get</w:t>
            </w:r>
          </w:p>
        </w:tc>
        <w:tc>
          <w:tcPr>
            <w:tcW w:type="dxa" w:w="425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0.9957 至 1.0113</w:t>
            </w:r>
          </w:p>
        </w:tc>
        <w:tc>
          <w:tcPr>
            <w:tcW w:type="dxa" w:w="249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1.0006</w:t>
            </w:r>
          </w:p>
        </w:tc>
      </w:tr>
      <w:tr>
        <w:trPr>
          <w:cantSplit/>
        </w:trPr>
        <w:tc>
          <w:tcPr>
            <w:tcW w:type="dxa" w:w="113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64</w:t>
            </w:r>
          </w:p>
        </w:tc>
        <w:tc>
          <w:tcPr>
            <w:tcW w:type="dxa" w:w="198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iput/put</w:t>
            </w:r>
          </w:p>
        </w:tc>
        <w:tc>
          <w:tcPr>
            <w:tcW w:type="dxa" w:w="425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0.9917 至 1.0128</w:t>
            </w:r>
          </w:p>
        </w:tc>
        <w:tc>
          <w:tcPr>
            <w:tcW w:type="dxa" w:w="249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1.0000</w:t>
            </w:r>
          </w:p>
        </w:tc>
      </w:tr>
    </w:tbl>
    <w:p>
      <w:pPr>
        <w:spacing w:after="0"/>
      </w:pPr>
    </w:p>
    <w:p>
      <w:r>
        <w:t>每核比较包含30种大小×两种偏移。四种模式均逐次等待完成，因此 iget/iput 没有被用作流水线；比值接近1主要说明当前调用方式下差异较小。读写完成边界不同，不能直接把小消息基线差解释为 DRAM 读写物理延迟差。</w:t>
      </w:r>
    </w:p>
    <w:p>
      <w:pPr>
        <w:pStyle w:val="Heading2"/>
      </w:pPr>
      <w:r>
        <w:t>测量边界</w:t>
      </w:r>
    </w:p>
    <w:p>
      <w:r>
        <w:t>每配置只有一个独立计时区间，R次循环提高均值稳定性，不是R次独立实验；没有独立重复的置信区间。大消息平台、全尺寸的接口对照和单核小消息固定耗时应分别理解，不能互相替代。</w:t>
      </w:r>
    </w:p>
    <w:p>
      <w:r>
        <w:br w:type="page"/>
      </w:r>
    </w:p>
    <w:p>
      <w:pPr>
        <w:pStyle w:val="Heading2"/>
      </w:pPr>
      <w:r>
        <w:t>5.2  同作业跨阶段复测的稳定程度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2504034"/>
            <wp:docPr id="7" name="Picture 7" descr="图 7  左为同配置跨阶段变化  右为匹配配置的非阻塞接口相对变化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7_阶段复测与接口对照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2504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7  左为同配置跨阶段变化  右为匹配配置的非阻塞接口相对变化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268"/>
        <w:gridCol w:w="1304"/>
        <w:gridCol w:w="2098"/>
        <w:gridCol w:w="2098"/>
        <w:gridCol w:w="2098"/>
      </w:tblGrid>
      <w:tr>
        <w:trPr>
          <w:tblHeader/>
          <w:cantSplit/>
        </w:trPr>
        <w:tc>
          <w:tcPr>
            <w:tcW w:type="dxa" w:w="226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匹配阶段</w:t>
            </w:r>
          </w:p>
        </w:tc>
        <w:tc>
          <w:tcPr>
            <w:tcW w:type="dxa" w:w="1304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匹配组数</w:t>
            </w:r>
          </w:p>
        </w:tc>
        <w:tc>
          <w:tcPr>
            <w:tcW w:type="dxa" w:w="209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绝对变化中位数</w:t>
            </w:r>
          </w:p>
        </w:tc>
        <w:tc>
          <w:tcPr>
            <w:tcW w:type="dxa" w:w="209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绝对变化P90</w:t>
            </w:r>
          </w:p>
        </w:tc>
        <w:tc>
          <w:tcPr>
            <w:tcW w:type="dxa" w:w="209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绝对变化最大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boundary→load</w:t>
            </w:r>
          </w:p>
        </w:tc>
        <w:tc>
          <w:tcPr>
            <w:tcW w:type="dxa" w:w="130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504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0.098%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0.735%</w:t>
            </w:r>
          </w:p>
        </w:tc>
        <w:tc>
          <w:tcPr>
            <w:tcW w:type="dxa" w:w="209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7.64%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load→mapping</w:t>
            </w:r>
          </w:p>
        </w:tc>
        <w:tc>
          <w:tcPr>
            <w:tcW w:type="dxa" w:w="130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448</w:t>
            </w:r>
          </w:p>
        </w:tc>
        <w:tc>
          <w:tcPr>
            <w:tcW w:type="dxa" w:w="209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0.108%</w:t>
            </w:r>
          </w:p>
        </w:tc>
        <w:tc>
          <w:tcPr>
            <w:tcW w:type="dxa" w:w="209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0.682%</w:t>
            </w:r>
          </w:p>
        </w:tc>
        <w:tc>
          <w:tcPr>
            <w:tcW w:type="dxa" w:w="209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6.53%</w:t>
            </w:r>
          </w:p>
        </w:tc>
      </w:tr>
    </w:tbl>
    <w:p>
      <w:pPr>
        <w:spacing w:after="0"/>
      </w:pPr>
    </w:p>
    <w:p>
      <w:r>
        <w:t>匹配项使用相同模式、大小、核数、偏移、默认步长和 identity 映射。绝对变化定义为 |BW后/BW前−1|。它们是同一作业内不同阶段的复测，执行顺序固定；虽显示多数配置相近，却不等价于独立作业重复、随机运行顺序或置信区间。几个百分点的细小差异应留待复测。</w:t>
      </w:r>
    </w:p>
    <w:p>
      <w:r>
        <w:t>420 组匹配配置中，iget/get 带宽比中位数为 1.0006，iput/put 为 1.0005。非阻塞接口立即等待时，没有呈现稳定的整体吞吐优势；这不能用于评估多个未完成请求的流水收益。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268"/>
        <w:gridCol w:w="1899"/>
        <w:gridCol w:w="1899"/>
        <w:gridCol w:w="1899"/>
        <w:gridCol w:w="1899"/>
      </w:tblGrid>
      <w:tr>
        <w:trPr>
          <w:tblHeader/>
          <w:cantSplit/>
        </w:trPr>
        <w:tc>
          <w:tcPr>
            <w:tcW w:type="dxa" w:w="226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匹配带宽比</w:t>
            </w:r>
          </w:p>
        </w:tc>
        <w:tc>
          <w:tcPr>
            <w:tcW w:type="dxa" w:w="1899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最小值</w:t>
            </w:r>
          </w:p>
        </w:tc>
        <w:tc>
          <w:tcPr>
            <w:tcW w:type="dxa" w:w="1899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中位数</w:t>
            </w:r>
          </w:p>
        </w:tc>
        <w:tc>
          <w:tcPr>
            <w:tcW w:type="dxa" w:w="1899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P90</w:t>
            </w:r>
          </w:p>
        </w:tc>
        <w:tc>
          <w:tcPr>
            <w:tcW w:type="dxa" w:w="1899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最大值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iget/get</w:t>
            </w:r>
          </w:p>
        </w:tc>
        <w:tc>
          <w:tcPr>
            <w:tcW w:type="dxa" w:w="1899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0.9686</w:t>
            </w:r>
          </w:p>
        </w:tc>
        <w:tc>
          <w:tcPr>
            <w:tcW w:type="dxa" w:w="1899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1.0006</w:t>
            </w:r>
          </w:p>
        </w:tc>
        <w:tc>
          <w:tcPr>
            <w:tcW w:type="dxa" w:w="1899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1.0067</w:t>
            </w:r>
          </w:p>
        </w:tc>
        <w:tc>
          <w:tcPr>
            <w:tcW w:type="dxa" w:w="1899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1.0551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iput/put</w:t>
            </w:r>
          </w:p>
        </w:tc>
        <w:tc>
          <w:tcPr>
            <w:tcW w:type="dxa" w:w="1899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0.8920</w:t>
            </w:r>
          </w:p>
        </w:tc>
        <w:tc>
          <w:tcPr>
            <w:tcW w:type="dxa" w:w="1899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1.0005</w:t>
            </w:r>
          </w:p>
        </w:tc>
        <w:tc>
          <w:tcPr>
            <w:tcW w:type="dxa" w:w="1899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1.0211</w:t>
            </w:r>
          </w:p>
        </w:tc>
        <w:tc>
          <w:tcPr>
            <w:tcW w:type="dxa" w:w="1899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1.0753</w:t>
            </w:r>
          </w:p>
        </w:tc>
      </w:tr>
    </w:tbl>
    <w:p>
      <w:pPr>
        <w:spacing w:after="0"/>
      </w:pPr>
    </w:p>
    <w:p>
      <w:r>
        <w:t>图 7 的箱线图汇集不同配置的变化分布，箱体、分位数与范围描述的是这批配置的异质性，不是同一配置多次独立测量的误差条。不能依据比值中位数接近1，声称接口在所有配置下性能完全相同；也不能从最大单点优势选择出普遍更快的接口。</w:t>
      </w:r>
    </w:p>
    <w:p>
      <w:r>
        <w:br w:type="page"/>
      </w:r>
    </w:p>
    <w:p>
      <w:pPr>
        <w:pStyle w:val="Heading1"/>
      </w:pPr>
      <w:r>
        <w:t>6  逐核耗时与空间差异</w:t>
      </w:r>
    </w:p>
    <w:p>
      <w:pPr>
        <w:pStyle w:val="Heading2"/>
      </w:pPr>
      <w:r>
        <w:t>6.1  小消息读取的模式跟随地址槽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3444155"/>
            <wp:docPr id="8" name="Picture 8" descr="图 8  get 256 B  64核  偏移0 B  步长131200 B  上排按核 下排按槽重排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8_读取空间差异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441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8  get 256 B  64核  偏移0 B  步长131200 B  上排按核 下排按槽重排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381"/>
        <w:gridCol w:w="3742"/>
        <w:gridCol w:w="3742"/>
      </w:tblGrid>
      <w:tr>
        <w:trPr>
          <w:tblHeader/>
          <w:cantSplit/>
        </w:trPr>
        <w:tc>
          <w:tcPr>
            <w:tcW w:type="dxa" w:w="238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映射对 identity</w:t>
            </w:r>
          </w:p>
        </w:tc>
        <w:tc>
          <w:tcPr>
            <w:tcW w:type="dxa" w:w="3742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按核ID的 Pearson r</w:t>
            </w:r>
          </w:p>
        </w:tc>
        <w:tc>
          <w:tcPr>
            <w:tcW w:type="dxa" w:w="3742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按地址槽的 Pearson r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reverse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-0.1667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0.9999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transpose</w:t>
            </w:r>
          </w:p>
        </w:tc>
        <w:tc>
          <w:tcPr>
            <w:tcW w:type="dxa" w:w="374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-0.0656</w:t>
            </w:r>
          </w:p>
        </w:tc>
        <w:tc>
          <w:tcPr>
            <w:tcW w:type="dxa" w:w="374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0.9996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shuffle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-0.0895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0.9996</w:t>
            </w:r>
          </w:p>
        </w:tc>
      </w:tr>
    </w:tbl>
    <w:p>
      <w:pPr>
        <w:spacing w:after="0"/>
      </w:pPr>
    </w:p>
    <w:p>
      <w:r>
        <w:t>换映射后，按核 ID 观察的快慢模式明显改变；将同一组耗时重新按地址槽号排列后，三种映射均与 identity 高度一致。按槽的相关系数约为 0.9996 至 0.9999，按核约为 −0.17 至 −0.07。这个案例的主要逐核差异更倾向于与主存地址槽关联。</w:t>
      </w:r>
    </w:p>
    <w:p>
      <w:r>
        <w:t>这里同一地址槽对应的是相同虚拟地址及同一进程中的缓冲区，已排除单纯由 tid 编号固定产生全部模式的解释。但尚无法区分内存映射、地址相关路由或其他与地址绑定的资源。大消息 get 的相关性更复杂，不能把本案例推广成所有读取都只由地址决定。</w:t>
      </w:r>
    </w:p>
    <w:p>
      <w:r>
        <w:t>下排的 8×8 仅将槽号按 slot=8r+c 重新排版，不是内存的物理二维拓扑；上排也仅按软件核 ID 展示。Pearson r 是描述性相似度，不是独立重复的显著性检验。</w:t>
      </w:r>
    </w:p>
    <w:p>
      <w:r>
        <w:t>相关系数按两组 64 项耗时的中心化乘积之和，除以各自中心化平方和乘积的平方根计算。r 接近1表示快慢变化线性同向，接近−1表示反向，接近0表示缺少线性一致性；它不要求绝对耗时相等。按槽比较前先把各核耗时重新放到它实际访问的 slot，避免把排列本身当成性能变化。</w:t>
      </w:r>
    </w:p>
    <w:p>
      <w:r>
        <w:br w:type="page"/>
      </w:r>
    </w:p>
    <w:p>
      <w:pPr>
        <w:pStyle w:val="Heading2"/>
      </w:pPr>
      <w:r>
        <w:t>6.2  大消息写入保留核 ID 相关模式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3440594"/>
            <wp:docPr id="9" name="Picture 9" descr="图 9  put 128 KiB  64核  偏移0 B  步长131200 B&#10;上排按核 下排按槽  色条单位为千 cycles/op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9_写入空间差异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3440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9  put 128 KiB  64核  偏移0 B  步长131200 B</w:t>
        <w:br/>
        <w:t>上排按核 下排按槽  色条单位为千 cycles/op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381"/>
        <w:gridCol w:w="3742"/>
        <w:gridCol w:w="3742"/>
      </w:tblGrid>
      <w:tr>
        <w:trPr>
          <w:tblHeader/>
          <w:cantSplit/>
        </w:trPr>
        <w:tc>
          <w:tcPr>
            <w:tcW w:type="dxa" w:w="238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映射对 identity</w:t>
            </w:r>
          </w:p>
        </w:tc>
        <w:tc>
          <w:tcPr>
            <w:tcW w:type="dxa" w:w="3742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按核ID的 Pearson r</w:t>
            </w:r>
          </w:p>
        </w:tc>
        <w:tc>
          <w:tcPr>
            <w:tcW w:type="dxa" w:w="3742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按地址槽的 Pearson r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reverse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0.9998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-0.8171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transpose</w:t>
            </w:r>
          </w:p>
        </w:tc>
        <w:tc>
          <w:tcPr>
            <w:tcW w:type="dxa" w:w="374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0.9789</w:t>
            </w:r>
          </w:p>
        </w:tc>
        <w:tc>
          <w:tcPr>
            <w:tcW w:type="dxa" w:w="374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-0.0005</w:t>
            </w:r>
          </w:p>
        </w:tc>
      </w:tr>
      <w:tr>
        <w:trPr>
          <w:cantSplit/>
        </w:trPr>
        <w:tc>
          <w:tcPr>
            <w:tcW w:type="dxa" w:w="238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shuffle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0.9760</w:t>
            </w:r>
          </w:p>
        </w:tc>
        <w:tc>
          <w:tcPr>
            <w:tcW w:type="dxa" w:w="374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-0.0890</w:t>
            </w:r>
          </w:p>
        </w:tc>
      </w:tr>
    </w:tbl>
    <w:p>
      <w:pPr>
        <w:spacing w:after="0"/>
      </w:pPr>
    </w:p>
    <w:p>
      <w:r>
        <w:t>这个写入案例中，换槽后上排的耗时模式仍相近：按核 ID 的相关系数为 0.9760 至 0.9998；按地址槽重排后，相似性反而减弱。与第 6.1 节的 256 B 读取相比较，它更支持核位置、注入或调度等与 CPE 绑定因素参与逐核差异。</w:t>
      </w:r>
    </w:p>
    <w:p>
      <w:r>
        <w:t>吞吐与模式相似度应分开理解：即使各核的相对快慢排序相近，transpose 与 shuffle 的聚合吞吐仍低于 identity；地址配对仍能改变整体完成速度。固定核因素与地址因素可能同时存在，相关性并未证明具体部件或传输路线。</w:t>
      </w:r>
    </w:p>
    <w:p>
      <w:r>
        <w:t>也不是所有 put 都呈现这一模式：例如 64 B 写入，reverse 与 identity 的按核相关系数约为 −0.81，按槽约为 0.83。写入应按消息规模和对齐条件分别分析，不能仅用一个“核位置惩罚”解释所有数据。</w:t>
      </w:r>
    </w:p>
    <w:p>
      <w:pPr>
        <w:pStyle w:val="Heading2"/>
      </w:pPr>
      <w:r>
        <w:t>对体系结构建模的直接含义</w:t>
      </w:r>
    </w:p>
    <w:p>
      <w:r>
        <w:t>建议至少区分读与写、整块与部分块、消息大小、活跃核集合、槽步长和映射。现阶段可以使用这些测量条件下的分段拟合或查表；跨布局或跨型号预测仍需验证。本实验没有发起 CPE 间 RMA，不能据此生成小簇通信参数。</w:t>
      </w:r>
    </w:p>
    <w:p>
      <w:r>
        <w:br w:type="page"/>
      </w:r>
    </w:p>
    <w:p>
      <w:pPr>
        <w:pStyle w:val="Heading2"/>
      </w:pPr>
      <w:r>
        <w:t>6.3  槽布局同时改变聚合吞吐</w:t>
      </w:r>
    </w:p>
    <w:p>
      <w:r>
        <w:t>逐核模式相似并不意味着聚合吞吐不变。下面固定64核与128 KiB消息，比较四种步长和四种排列，量化地址配对对整体完成速度的影响。</w:t>
      </w:r>
    </w:p>
    <w:p>
      <w:pPr>
        <w:keepNext/>
        <w:spacing w:after="60"/>
        <w:jc w:val="center"/>
      </w:pPr>
      <w:r>
        <w:drawing>
          <wp:inline xmlns:a="http://schemas.openxmlformats.org/drawingml/2006/main" xmlns:pic="http://schemas.openxmlformats.org/drawingml/2006/picture">
            <wp:extent cx="6192000" cy="4215185"/>
            <wp:docPr id="10" name="Picture 10" descr="图 10  128 KiB 对齐消息的 64 核槽布局对照  所有排列复用相同缓冲基地址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图10_槽布局与聚合吞吐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92000" cy="42151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 10  128 KiB 对齐消息的 64 核槽布局对照  所有排列复用相同缓冲基地址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020"/>
        <w:gridCol w:w="2381"/>
        <w:gridCol w:w="2381"/>
        <w:gridCol w:w="2041"/>
        <w:gridCol w:w="2041"/>
      </w:tblGrid>
      <w:tr>
        <w:trPr>
          <w:tblHeader/>
          <w:cantSplit/>
        </w:trPr>
        <w:tc>
          <w:tcPr>
            <w:tcW w:type="dxa" w:w="1020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238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默认步长 identity</w:t>
            </w:r>
          </w:p>
        </w:tc>
        <w:tc>
          <w:tcPr>
            <w:tcW w:type="dxa" w:w="238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默认步长 transpose</w:t>
            </w:r>
          </w:p>
        </w:tc>
        <w:tc>
          <w:tcPr>
            <w:tcW w:type="dxa" w:w="204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262144 B identity</w:t>
            </w:r>
          </w:p>
        </w:tc>
        <w:tc>
          <w:tcPr>
            <w:tcW w:type="dxa" w:w="204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16布局最大与</w:t>
              <w:br/>
              <w:t>最小带宽比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get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20.848</w:t>
            </w:r>
          </w:p>
        </w:tc>
        <w:tc>
          <w:tcPr>
            <w:tcW w:type="dxa" w:w="238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18.522</w:t>
            </w:r>
          </w:p>
        </w:tc>
        <w:tc>
          <w:tcPr>
            <w:tcW w:type="dxa" w:w="204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16.376</w:t>
            </w:r>
          </w:p>
        </w:tc>
        <w:tc>
          <w:tcPr>
            <w:tcW w:type="dxa" w:w="204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1.274</w:t>
            </w:r>
          </w:p>
        </w:tc>
      </w:tr>
      <w:tr>
        <w:trPr>
          <w:cantSplit/>
        </w:trPr>
        <w:tc>
          <w:tcPr>
            <w:tcW w:type="dxa" w:w="1020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put</w:t>
            </w:r>
          </w:p>
        </w:tc>
        <w:tc>
          <w:tcPr>
            <w:tcW w:type="dxa" w:w="238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15.433</w:t>
            </w:r>
          </w:p>
        </w:tc>
        <w:tc>
          <w:tcPr>
            <w:tcW w:type="dxa" w:w="238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14.158</w:t>
            </w:r>
          </w:p>
        </w:tc>
        <w:tc>
          <w:tcPr>
            <w:tcW w:type="dxa" w:w="204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13.354</w:t>
            </w:r>
          </w:p>
        </w:tc>
        <w:tc>
          <w:tcPr>
            <w:tcW w:type="dxa" w:w="204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1.156</w:t>
            </w:r>
          </w:p>
        </w:tc>
      </w:tr>
    </w:tbl>
    <w:p>
      <w:pPr>
        <w:spacing w:after="0"/>
      </w:pPr>
    </w:p>
    <w:p>
      <w:r>
        <w:t>128 KiB、64 核 get 在默认步长的 identity 布局为 20.848 B/cycle，步长改为 262144 B 后为 16.376，下降 21.5%。固定默认步长但改为 transpose 后下降 11.2%；相应 put 下降 8.3%。</w:t>
      </w:r>
    </w:p>
    <w:p>
      <w:r>
        <w:t>两端固定基地址分别为 0x500001406000 与 0x500002408000。64 核时固定步长下更换排列保持地址集合不变，仍出现吞吐差异，说明核到地址的配对关系参与了性能形成。核数小于 64 时排列也改变地址子集，应谨慎区分这两个因素。</w:t>
      </w:r>
    </w:p>
    <w:p>
      <w:r>
        <w:t>改变步长会改变地址间距、页/地址集合和访问范围，不能视为已控制的物理 bank 实验。虚拟地址并不能确定实际 DRAM bank/channel；本数据支持布局敏感性，尚未定位具体映射函数。</w:t>
      </w:r>
    </w:p>
    <w:p>
      <w:r>
        <w:br w:type="page"/>
      </w:r>
    </w:p>
    <w:p>
      <w:pPr>
        <w:pStyle w:val="Heading1"/>
      </w:pPr>
      <w:r>
        <w:t>7  初步建模参数与后续实验</w:t>
      </w:r>
    </w:p>
    <w:p>
      <w:pPr>
        <w:pStyle w:val="Heading2"/>
      </w:pPr>
      <w:r>
        <w:t>7.1  对齐大消息的分段线性模型</w:t>
      </w:r>
    </w:p>
    <w:p>
      <w:r>
        <w:t>默认步长131200 B、identity、偏移0 B下，拟合 T(S)=α+βS。T为汇总 cycles/op，S为字节数。单核取1至128 KiB的8个倍增点，64核取4至128 KiB的6个倍增点；分别拟合四种模式。表中的斜率吞吐为 N/β，α为区间外推截距，均不是直接测得的硬件常数。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907"/>
        <w:gridCol w:w="680"/>
        <w:gridCol w:w="1814"/>
        <w:gridCol w:w="2041"/>
        <w:gridCol w:w="2665"/>
        <w:gridCol w:w="1757"/>
      </w:tblGrid>
      <w:tr>
        <w:trPr>
          <w:tblHeader/>
          <w:cantSplit/>
        </w:trPr>
        <w:tc>
          <w:tcPr>
            <w:tcW w:type="dxa" w:w="907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模式</w:t>
            </w:r>
          </w:p>
        </w:tc>
        <w:tc>
          <w:tcPr>
            <w:tcW w:type="dxa" w:w="680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核数</w:t>
            </w:r>
          </w:p>
        </w:tc>
        <w:tc>
          <w:tcPr>
            <w:tcW w:type="dxa" w:w="1814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α cycles</w:t>
            </w:r>
          </w:p>
        </w:tc>
        <w:tc>
          <w:tcPr>
            <w:tcW w:type="dxa" w:w="204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β cycles/B</w:t>
            </w:r>
          </w:p>
        </w:tc>
        <w:tc>
          <w:tcPr>
            <w:tcW w:type="dxa" w:w="2665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斜率吞吐 B/cycle</w:t>
            </w:r>
          </w:p>
        </w:tc>
        <w:tc>
          <w:tcPr>
            <w:tcW w:type="dxa" w:w="1757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R²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get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502.45</w:t>
            </w:r>
          </w:p>
        </w:tc>
        <w:tc>
          <w:tcPr>
            <w:tcW w:type="dxa" w:w="204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0.056130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17.82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0.999956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get</w:t>
            </w:r>
          </w:p>
        </w:tc>
        <w:tc>
          <w:tcPr>
            <w:tcW w:type="dxa" w:w="680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64</w:t>
            </w:r>
          </w:p>
        </w:tc>
        <w:tc>
          <w:tcPr>
            <w:tcW w:type="dxa" w:w="181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263.77</w:t>
            </w:r>
          </w:p>
        </w:tc>
        <w:tc>
          <w:tcPr>
            <w:tcW w:type="dxa" w:w="204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3.063333</w:t>
            </w:r>
          </w:p>
        </w:tc>
        <w:tc>
          <w:tcPr>
            <w:tcW w:type="dxa" w:w="266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20.89</w:t>
            </w:r>
          </w:p>
        </w:tc>
        <w:tc>
          <w:tcPr>
            <w:tcW w:type="dxa" w:w="1757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0.999985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put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246.76</w:t>
            </w:r>
          </w:p>
        </w:tc>
        <w:tc>
          <w:tcPr>
            <w:tcW w:type="dxa" w:w="204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0.053321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18.75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0.999999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put</w:t>
            </w:r>
          </w:p>
        </w:tc>
        <w:tc>
          <w:tcPr>
            <w:tcW w:type="dxa" w:w="680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64</w:t>
            </w:r>
          </w:p>
        </w:tc>
        <w:tc>
          <w:tcPr>
            <w:tcW w:type="dxa" w:w="181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-344.04</w:t>
            </w:r>
          </w:p>
        </w:tc>
        <w:tc>
          <w:tcPr>
            <w:tcW w:type="dxa" w:w="204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4.151956</w:t>
            </w:r>
          </w:p>
        </w:tc>
        <w:tc>
          <w:tcPr>
            <w:tcW w:type="dxa" w:w="266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15.41</w:t>
            </w:r>
          </w:p>
        </w:tc>
        <w:tc>
          <w:tcPr>
            <w:tcW w:type="dxa" w:w="1757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0.999934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iget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496.47</w:t>
            </w:r>
          </w:p>
        </w:tc>
        <w:tc>
          <w:tcPr>
            <w:tcW w:type="dxa" w:w="204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0.056122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17.82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0.999967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iget</w:t>
            </w:r>
          </w:p>
        </w:tc>
        <w:tc>
          <w:tcPr>
            <w:tcW w:type="dxa" w:w="680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64</w:t>
            </w:r>
          </w:p>
        </w:tc>
        <w:tc>
          <w:tcPr>
            <w:tcW w:type="dxa" w:w="181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294.89</w:t>
            </w:r>
          </w:p>
        </w:tc>
        <w:tc>
          <w:tcPr>
            <w:tcW w:type="dxa" w:w="204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3.061620</w:t>
            </w:r>
          </w:p>
        </w:tc>
        <w:tc>
          <w:tcPr>
            <w:tcW w:type="dxa" w:w="266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20.90</w:t>
            </w:r>
          </w:p>
        </w:tc>
        <w:tc>
          <w:tcPr>
            <w:tcW w:type="dxa" w:w="1757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0.999987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iput</w:t>
            </w:r>
          </w:p>
        </w:tc>
        <w:tc>
          <w:tcPr>
            <w:tcW w:type="dxa" w:w="680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1814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240.83</w:t>
            </w:r>
          </w:p>
        </w:tc>
        <w:tc>
          <w:tcPr>
            <w:tcW w:type="dxa" w:w="204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0.053305</w:t>
            </w:r>
          </w:p>
        </w:tc>
        <w:tc>
          <w:tcPr>
            <w:tcW w:type="dxa" w:w="2665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18.76</w:t>
            </w:r>
          </w:p>
        </w:tc>
        <w:tc>
          <w:tcPr>
            <w:tcW w:type="dxa" w:w="1757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1.000000</w:t>
            </w:r>
          </w:p>
        </w:tc>
      </w:tr>
      <w:tr>
        <w:trPr>
          <w:cantSplit/>
        </w:trPr>
        <w:tc>
          <w:tcPr>
            <w:tcW w:type="dxa" w:w="907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iput</w:t>
            </w:r>
          </w:p>
        </w:tc>
        <w:tc>
          <w:tcPr>
            <w:tcW w:type="dxa" w:w="680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64</w:t>
            </w:r>
          </w:p>
        </w:tc>
        <w:tc>
          <w:tcPr>
            <w:tcW w:type="dxa" w:w="1814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-1041.52</w:t>
            </w:r>
          </w:p>
        </w:tc>
        <w:tc>
          <w:tcPr>
            <w:tcW w:type="dxa" w:w="204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4.187128</w:t>
            </w:r>
          </w:p>
        </w:tc>
        <w:tc>
          <w:tcPr>
            <w:tcW w:type="dxa" w:w="2665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15.28</w:t>
            </w:r>
          </w:p>
        </w:tc>
        <w:tc>
          <w:tcPr>
            <w:tcW w:type="dxa" w:w="1757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0.999870</w:t>
            </w:r>
          </w:p>
        </w:tc>
      </w:tr>
    </w:tbl>
    <w:p>
      <w:pPr>
        <w:spacing w:after="0"/>
      </w:pPr>
    </w:p>
    <w:p>
      <w:r>
        <w:t>高 R² 表明所选大消息区间总体接近线性，不说明小消息或其他布局也适用。64核 put/iput 的负截距是区间外推结果，不代表负延迟；α也不应替代读取约441 cycles的小消息平台。β反映当前负载、布局与串行等待下的有效传输斜率，不是单链路理论带宽。模型不能跨过128 B部分块边界直接预测写入。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1701"/>
        <w:gridCol w:w="4082"/>
        <w:gridCol w:w="4082"/>
      </w:tblGrid>
      <w:tr>
        <w:trPr>
          <w:tblHeader/>
          <w:cantSplit/>
        </w:trPr>
        <w:tc>
          <w:tcPr>
            <w:tcW w:type="dxa" w:w="1701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核数</w:t>
            </w:r>
          </w:p>
        </w:tc>
        <w:tc>
          <w:tcPr>
            <w:tcW w:type="dxa" w:w="4082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get 最大相对拟合误差</w:t>
            </w:r>
          </w:p>
        </w:tc>
        <w:tc>
          <w:tcPr>
            <w:tcW w:type="dxa" w:w="4082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put 最大相对拟合误差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1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3.51%</w:t>
            </w:r>
          </w:p>
        </w:tc>
        <w:tc>
          <w:tcPr>
            <w:tcW w:type="dxa" w:w="4082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0.87%</w:t>
            </w:r>
          </w:p>
        </w:tc>
      </w:tr>
      <w:tr>
        <w:trPr>
          <w:cantSplit/>
        </w:trPr>
        <w:tc>
          <w:tcPr>
            <w:tcW w:type="dxa" w:w="1701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64</w:t>
            </w:r>
          </w:p>
        </w:tc>
        <w:tc>
          <w:tcPr>
            <w:tcW w:type="dxa" w:w="408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3.97%</w:t>
            </w:r>
          </w:p>
        </w:tc>
        <w:tc>
          <w:tcPr>
            <w:tcW w:type="dxa" w:w="4082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5.09%</w:t>
            </w:r>
          </w:p>
        </w:tc>
      </w:tr>
    </w:tbl>
    <w:p>
      <w:pPr>
        <w:spacing w:after="0"/>
      </w:pPr>
    </w:p>
    <w:p>
      <w:r>
        <w:t>相对误差按 |预测/实测−1| 在拟合点上取最大值，是样本内误差，不是独立验证误差。大消息点主导R²，区间低端仍可能有偏差。模型建议分别保存小消息固定开销、按大小与偏移划分的写入表，以及按核数和槽布局条件化的大消息斜率。</w:t>
      </w:r>
    </w:p>
    <w:p>
      <w:r>
        <w:t>本次关键经验值为：128 B、64核 put 偏移4 B耗时约增至11.79倍；128 KiB对齐 put 的4核观测峰值21.326 B/cycle、64核15.381；同尺寸 get 在8核已接近平台区。逐核相关性支持分开考虑地址槽与核因素，但没有确定具体路由或bank机制。</w:t>
      </w:r>
    </w:p>
    <w:p>
      <w:r>
        <w:br w:type="page"/>
      </w:r>
    </w:p>
    <w:p>
      <w:pPr>
        <w:pStyle w:val="Heading2"/>
      </w:pPr>
      <w:r>
        <w:t>7.2  后续实验与数据依据</w:t>
      </w:r>
    </w:p>
    <w:p>
      <w:pPr>
        <w:pStyle w:val="Heading2"/>
      </w:pPr>
      <w:r>
        <w:t>已经完成与仍需补充的测量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85" w:type="dxa"/>
          <w:bottom w:w="85" w:type="dxa"/>
          <w:left w:w="85" w:type="dxa"/>
          <w:right w:w="85" w:type="dxa"/>
        </w:tblCellMar>
      </w:tblPr>
      <w:tblGrid>
        <w:gridCol w:w="2268"/>
        <w:gridCol w:w="3288"/>
        <w:gridCol w:w="4309"/>
      </w:tblGrid>
      <w:tr>
        <w:trPr>
          <w:tblHeader/>
          <w:cantSplit/>
        </w:trPr>
        <w:tc>
          <w:tcPr>
            <w:tcW w:type="dxa" w:w="226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实验项目</w:t>
            </w:r>
          </w:p>
        </w:tc>
        <w:tc>
          <w:tcPr>
            <w:tcW w:type="dxa" w:w="3288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本次状态</w:t>
            </w:r>
          </w:p>
        </w:tc>
        <w:tc>
          <w:tcPr>
            <w:tcW w:type="dxa" w:w="4309"/>
            <w:vAlign w:val="center"/>
            <w:shd w:fill="24445E"/>
          </w:tcPr>
          <w:p>
            <w:pPr>
              <w:spacing w:after="0" w:line="252" w:lineRule="auto"/>
              <w:jc w:val="center"/>
            </w:pPr>
            <w:r>
              <w:rPr>
                <w:b/>
                <w:color w:val="FFFFFF"/>
                <w:sz w:val="19"/>
              </w:rPr>
              <w:t>下一步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边界与偏移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9种大小×4种偏移</w:t>
            </w:r>
          </w:p>
        </w:tc>
        <w:tc>
          <w:tcPr>
            <w:tcW w:type="dxa" w:w="4309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独立重复关键边界及片段对照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中间负载</w:t>
            </w:r>
          </w:p>
        </w:tc>
        <w:tc>
          <w:tcPr>
            <w:tcW w:type="dxa" w:w="328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七档核数</w:t>
            </w:r>
          </w:p>
        </w:tc>
        <w:tc>
          <w:tcPr>
            <w:tcW w:type="dxa" w:w="4309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固定可比地址集合轮换活跃核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地址布局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4步长×4排列</w:t>
            </w:r>
          </w:p>
        </w:tc>
        <w:tc>
          <w:tcPr>
            <w:tcW w:type="dxa" w:w="4309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结合物理地址或硬件事件定位机制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独立重复与顺序</w:t>
            </w:r>
          </w:p>
        </w:tc>
        <w:tc>
          <w:tcPr>
            <w:tcW w:type="dxa" w:w="328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单作业固定顺序</w:t>
            </w:r>
          </w:p>
        </w:tc>
        <w:tc>
          <w:tcPr>
            <w:tcW w:type="dxa" w:w="4309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多次独立作业并随机化顺序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资源与内存配置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Cache请求0  共享程度未知</w:t>
            </w:r>
          </w:p>
        </w:tc>
        <w:tc>
          <w:tcPr>
            <w:tcW w:type="dxa" w:w="4309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记录分配、同节点作业与实际LDM划分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请求窗口与工作集</w:t>
            </w:r>
          </w:p>
        </w:tc>
        <w:tc>
          <w:tcPr>
            <w:tcW w:type="dxa" w:w="3288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W=1  固定地址复用</w:t>
            </w:r>
          </w:p>
        </w:tc>
        <w:tc>
          <w:tcPr>
            <w:tcW w:type="dxa" w:w="4309"/>
            <w:vAlign w:val="center"/>
            <w:shd w:fill="F1F5F8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独立缓冲扫W并轮转主存工作集</w:t>
            </w:r>
          </w:p>
        </w:tc>
      </w:tr>
      <w:tr>
        <w:trPr>
          <w:cantSplit/>
        </w:trPr>
        <w:tc>
          <w:tcPr>
            <w:tcW w:type="dxa" w:w="226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计数器频率</w:t>
            </w:r>
          </w:p>
        </w:tc>
        <w:tc>
          <w:tcPr>
            <w:tcW w:type="dxa" w:w="3288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尚未独立标定</w:t>
            </w:r>
          </w:p>
        </w:tc>
        <w:tc>
          <w:tcPr>
            <w:tcW w:type="dxa" w:w="4309"/>
            <w:vAlign w:val="center"/>
            <w:shd w:fill="FFFFFF"/>
          </w:tcPr>
          <w:p>
            <w:pPr>
              <w:spacing w:after="0" w:line="252" w:lineRule="auto"/>
              <w:jc w:val="center"/>
            </w:pPr>
            <w:r>
              <w:rPr>
                <w:sz w:val="19"/>
              </w:rPr>
              <w:t>与可信时间基准交叉标定</w:t>
            </w:r>
          </w:p>
        </w:tc>
      </w:tr>
    </w:tbl>
    <w:p>
      <w:pPr>
        <w:spacing w:after="0"/>
      </w:pPr>
    </w:p>
    <w:p>
      <w:r>
        <w:t>先复测写入边界、4核与64核的大消息差异及两类逐核模式，再测请求窗口和轮转工作集。改变槽间距不是工作集轮转，固定种子的shuffle也不是执行顺序随机化。DMA没有发起CPE间RMA，本结果不能生成2×2小簇router参数；后者需要独立RMA拓扑实验。</w:t>
      </w:r>
    </w:p>
    <w:p>
      <w:pPr>
        <w:pStyle w:val="Heading2"/>
      </w:pPr>
      <w:r>
        <w:t>数据与手册依据</w:t>
      </w:r>
    </w:p>
    <w:p>
      <w:r>
        <w:t>数据集为 dma_results_20261005_203552_32484：plan.csv和slot_maps.csv定义条件与排列；raw及smoke保留原始记录；study_summary.csv与study_scaling.csv保留汇总和扩展；source为运行版本，build_info.txt、build.log、cpuinfo.txt和job.log为配置依据。所有图表和模型均使用本次数据。</w:t>
      </w:r>
    </w:p>
    <w:p>
      <w:r>
        <w:t>手册依据：《SACA编程指南》v0.62，PDF第59页说明128 B主存请求拆分，第60页定义完成条件，第88页定义从核计数器；《神威众核编程指南》2.4.2、3.4、4.1、4.3节说明内存与接口。分段描述与观测一致，但额外分段不足以单独解释11.79倍惩罚。</w:t>
      </w:r>
    </w:p>
    <w:p>
      <w:pPr>
        <w:pStyle w:val="Heading2"/>
      </w:pPr>
      <w:r>
        <w:t>复核与生成入口</w:t>
      </w:r>
    </w:p>
    <w:p>
      <w:r>
        <w:t>远端运行入口为 DMA_MAX_BYTES=131072 bash run_dma_boundary.sh q_share。对已有结果做分析无需提交新作业；在项目根目录执行：</w:t>
      </w:r>
    </w:p>
    <w:p>
      <w:r>
        <w:t>python bench/analyze_dma_study.py dma_results_20261005_203552_32484 --out outputs/dma_study_analysis_20261005_203552_32484</w:t>
      </w:r>
    </w:p>
    <w:p>
      <w:r>
        <w:t>分析目录保存完整性、边界、负载、布局、阶段差异和相关性衍生表。结构对齐版的模型参数另存同目录 model_fits_128k.csv；本报告目录的 _build/draw_aligned_charts.py 和 build_aligned_report.py 生成编号图表与正文。</w:t>
      </w:r>
    </w:p>
    <w:p>
      <w:r>
        <w:t>适用范围为本次SW39000环境、单CG、W=1、固定槽预热后访问。其他Cache/LDM配置、活跃位置、轮转工作集、型号或共享状态下，应复测后再迁移。</w:t>
      </w:r>
    </w:p>
    <w:sectPr w:rsidR="00FC693F" w:rsidRPr="0006063C" w:rsidSect="00034616">
      <w:footerReference w:type="default" r:id="rId9"/>
      <w:pgSz w:w="11906" w:h="16838"/>
      <w:pgMar w:top="1020" w:right="1020" w:bottom="964" w:left="1020" w:header="720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</w:r>
    <w:fldSimple w:instr="PAGE"/>
    <w:r>
      <w:rPr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Arial" w:hAnsi="Arial" w:eastAsia="宋体"/>
      <w:b w:val="0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20"/>
      <w:outlineLvl w:val="0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Arial" w:hAnsi="Arial" w:eastAsia="黑体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240" w:lineRule="auto"/>
      <w:contextualSpacing/>
    </w:pPr>
    <w:rPr>
      <w:rFonts w:asciiTheme="majorHAnsi" w:eastAsiaTheme="majorEastAsia" w:hAnsiTheme="majorHAnsi" w:cstheme="majorBidi" w:ascii="Arial" w:hAnsi="Arial" w:eastAsia="黑体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160"/>
    </w:pPr>
    <w:rPr>
      <w:rFonts w:ascii="Arial" w:hAnsi="Arial" w:eastAsia="宋体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Relationship Id="rId15" Type="http://schemas.openxmlformats.org/officeDocument/2006/relationships/image" Target="media/image6.png"/><Relationship Id="rId16" Type="http://schemas.openxmlformats.org/officeDocument/2006/relationships/image" Target="media/image7.png"/><Relationship Id="rId17" Type="http://schemas.openxmlformats.org/officeDocument/2006/relationships/image" Target="media/image8.png"/><Relationship Id="rId18" Type="http://schemas.openxmlformats.org/officeDocument/2006/relationships/image" Target="media/image9.png"/><Relationship Id="rId19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SW39000 DMA 扩展实验结果分析</dc:title>
  <dc:subject>128 KiB 消息 边界 核数 主存槽映射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