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F000F">
      <w:pPr>
        <w:pStyle w:val="2"/>
        <w:keepNext w:val="0"/>
        <w:keepLines w:val="0"/>
        <w:widowControl/>
        <w:suppressLineNumbers w:val="0"/>
        <w:shd w:val="clear" w:fill="FFFFFF"/>
        <w:spacing w:before="120" w:beforeAutospacing="0" w:after="120" w:afterAutospacing="0" w:line="18" w:lineRule="atLeast"/>
        <w:ind w:left="0" w:firstLine="0"/>
        <w:rPr>
          <w:rFonts w:ascii="Segoe UI" w:hAnsi="Segoe UI" w:eastAsia="Segoe UI" w:cs="Segoe UI"/>
          <w:i w:val="0"/>
          <w:iCs w:val="0"/>
          <w:caps w:val="0"/>
          <w:spacing w:val="0"/>
          <w:sz w:val="27"/>
          <w:szCs w:val="27"/>
        </w:rPr>
      </w:pPr>
      <w:r>
        <w:rPr>
          <w:rStyle w:val="8"/>
          <w:rFonts w:hint="default" w:ascii="Segoe UI" w:hAnsi="Segoe UI" w:eastAsia="Segoe UI" w:cs="Segoe UI"/>
          <w:b/>
          <w:bCs/>
          <w:i w:val="0"/>
          <w:iCs w:val="0"/>
          <w:caps w:val="0"/>
          <w:spacing w:val="0"/>
          <w:sz w:val="27"/>
          <w:szCs w:val="27"/>
          <w:shd w:val="clear" w:fill="FFFFFF"/>
        </w:rPr>
        <w:t>调研报告：服务化之后的软件发展新特征与未来趋势展望</w:t>
      </w:r>
    </w:p>
    <w:p w14:paraId="4992741E">
      <w:pPr>
        <w:keepNext w:val="0"/>
        <w:keepLines w:val="0"/>
        <w:widowControl/>
        <w:suppressLineNumbers w:val="0"/>
        <w:pBdr>
          <w:top w:val="single" w:color="E6E8EE" w:sz="4" w:space="0"/>
          <w:left w:val="single" w:color="E6E8EE" w:sz="2" w:space="0"/>
          <w:bottom w:val="single" w:color="E6E8EE" w:sz="2" w:space="0"/>
          <w:right w:val="single" w:color="E6E8EE" w:sz="2" w:space="0"/>
        </w:pBdr>
        <w:shd w:val="clear" w:fill="FFFFFF"/>
        <w:spacing w:before="210" w:beforeAutospacing="0" w:after="210" w:afterAutospacing="0"/>
        <w:ind w:left="0" w:right="0" w:firstLine="0"/>
        <w:rPr>
          <w:rFonts w:hint="default" w:ascii="Segoe UI" w:hAnsi="Segoe UI" w:eastAsia="Segoe UI" w:cs="Segoe UI"/>
          <w:i w:val="0"/>
          <w:iCs w:val="0"/>
          <w:caps w:val="0"/>
          <w:spacing w:val="0"/>
          <w:sz w:val="14"/>
          <w:szCs w:val="14"/>
        </w:rPr>
      </w:pPr>
      <w:r>
        <w:rPr>
          <w:rFonts w:ascii="Segoe UI" w:hAnsi="Segoe UI" w:eastAsia="Segoe UI" w:cs="Segoe UI"/>
          <w:i w:val="0"/>
          <w:iCs w:val="0"/>
          <w:caps w:val="0"/>
          <w:spacing w:val="0"/>
          <w:sz w:val="27"/>
          <w:szCs w:val="27"/>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66B906A">
      <w:pPr>
        <w:pStyle w:val="3"/>
        <w:keepNext w:val="0"/>
        <w:keepLines w:val="0"/>
        <w:widowControl/>
        <w:suppressLineNumbers w:val="0"/>
        <w:shd w:val="clear" w:fill="FFFFFF"/>
        <w:spacing w:before="120" w:beforeAutospacing="0" w:after="120" w:afterAutospacing="0" w:line="18" w:lineRule="atLeast"/>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sz w:val="24"/>
          <w:szCs w:val="24"/>
          <w:shd w:val="clear" w:fill="FFFFFF"/>
        </w:rPr>
        <w:t>一、引言</w:t>
      </w:r>
    </w:p>
    <w:p w14:paraId="4E1AF75E">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20世纪中叶以来，软件从附属于硬件的专用程序起步，逐步演化为独立产业，并最终成为现代社会运行的核心支撑系统。这一过程并非简单的技术迭代，而是一场深刻的范式变革。每一次跃迁都伴随着关键“解耦”——即打破原有强依赖关系，释放出更高的灵活性与创造力。当前，我们正站在一个历史性转折点上：在完成“服务化”的基础构建之后，软件正在向更加智能、自主、生态化的方向演进。</w:t>
      </w:r>
    </w:p>
    <w:p w14:paraId="612C07B9">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本报告基于对软件发展历程的系统梳理，结合大模型、人工智能、云计算等前沿技术的发展现状与产业实践，深入分析“服务化”阶段完成后所呈现出的新特征，并在此基础上描绘未来5至10年软件发展的整体图景。不同于碎片化的趋势列举，本文试图构建一条清晰的技术演进主线，揭示背后深层的逻辑脉络，为政策制定者、企业战略决策者以及技术研发人员提供具有前瞻性和系统性的思考框架。</w:t>
      </w:r>
    </w:p>
    <w:p w14:paraId="7D716137">
      <w:pPr>
        <w:keepNext w:val="0"/>
        <w:keepLines w:val="0"/>
        <w:widowControl/>
        <w:suppressLineNumbers w:val="0"/>
        <w:pBdr>
          <w:top w:val="single" w:color="E6E8EE" w:sz="4" w:space="0"/>
          <w:left w:val="single" w:color="E6E8EE" w:sz="2" w:space="0"/>
          <w:bottom w:val="single" w:color="E6E8EE" w:sz="2" w:space="0"/>
          <w:right w:val="single" w:color="E6E8EE" w:sz="2" w:space="0"/>
        </w:pBdr>
        <w:shd w:val="clear" w:fill="FFFFFF"/>
        <w:spacing w:before="210" w:beforeAutospacing="0" w:after="21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F382556">
      <w:pPr>
        <w:pStyle w:val="3"/>
        <w:keepNext w:val="0"/>
        <w:keepLines w:val="0"/>
        <w:widowControl/>
        <w:suppressLineNumbers w:val="0"/>
        <w:shd w:val="clear" w:fill="FFFFFF"/>
        <w:spacing w:before="120" w:beforeAutospacing="0" w:after="120" w:afterAutospacing="0" w:line="18" w:lineRule="atLeast"/>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sz w:val="24"/>
          <w:szCs w:val="24"/>
          <w:shd w:val="clear" w:fill="FFFFFF"/>
        </w:rPr>
        <w:t>二、软件发展的历史轨迹：六次解耦推动范式跃迁</w:t>
      </w:r>
    </w:p>
    <w:p w14:paraId="4AB37559">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回顾过去七十年，软件的发展可划分为六个相互衔接的阶段：独立化、产品化、结构化、对象化、网络化和服务化。这些阶段虽以时间顺序展开，但其本质并非仅仅是技术工具的更新换代，而是围绕“降低耦合度”这一核心理念不断深化的过程。</w:t>
      </w:r>
    </w:p>
    <w:p w14:paraId="3E483EBA">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最早的软件依附于特定硬件设备，功能固化，无法迁移。直到20世纪50年代末期，随着SAGE防空系统和SABRE机票预订系统的出现，人们开始意识到软件可以脱离具体机器独立存在。这标志着“独立化”时代的开启——软件不再是硬件的附属品，而是具备自身价值的专业系统。操作系统应运而生，专业软件公司纷纷成立，软件由此获得独立身份。</w:t>
      </w:r>
    </w:p>
    <w:p w14:paraId="67B7C9DD">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进入70年代，通用商业软件如CUC公司的财务管理系统和IDS数据库的出现，使软件摆脱了对固定用户和专有数据的依赖。这一“产品化”进程让软件得以像商品一样被封装、销售和复用，极大提升了其通用性与传播效率。</w:t>
      </w:r>
    </w:p>
    <w:p w14:paraId="60DC2ECD">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80年代起，“结构化”成为主流。模块化设计、标准化组件和分工协作机制使得复杂系统的开发变得可控。Oracle、SAP、CA等企业的崛起，正是这一时期工程化生产方式成熟的体现。软件开发逐渐走向工业化，不再依赖个别程序员的灵光闪现。</w:t>
      </w:r>
    </w:p>
    <w:p w14:paraId="2C0E4AF5">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90年代，个人计算机普及带动了“对象化”浪潮。面向对象编程（OOP）将现实世界抽象为类与实例，提高了代码的可维护性与扩展性。同时，MS-DOS、Windows等操作系统的广泛应用，也让软件真正走进千家万户，服务于普通消费者的日常生活。</w:t>
      </w:r>
    </w:p>
    <w:p w14:paraId="78CE45CA">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进入21世纪，互联网的兴起催生了“网络化”时代。浏览器Mosaic的诞生、CORBA与EJB中间件的推广，使软件不再局限于本地环境，而是能够跨平台、跨地域协同工作。Web应用成为主流形态，信息流动的速度与范围空前提升。</w:t>
      </w:r>
    </w:p>
    <w:p w14:paraId="4079A9BF">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而自2010年起，以SOA、SaaS、PaaS为代表的“服务化”浪潮席卷全球。Salesforce的CRM系统无需安装即可使用；iOS和Android上的移动应用通过API调用后台服务实现功能集成；NoSQL数据库支撑起海量非结构化数据的实时处理。软件的功能实现与其部署方式彻底分离，服务接口与具体实现解耦，形成了高度灵活、按需调用的服务体系。</w:t>
      </w:r>
    </w:p>
    <w:p w14:paraId="09DDC422">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这一系列演变表明，软件的本质正在从“静态工具”转变为“动态服务能力”。它不再以交付代码或安装包为核心目标，而是通过持续运营、弹性伸缩和开放集成来创造价值。尤其在“服务化”阶段，软件的价值传递方式发生了根本转变——从一次性售卖转向订阅制服务，从封闭系统转向开放生态。</w:t>
      </w:r>
    </w:p>
    <w:p w14:paraId="2D638702">
      <w:pPr>
        <w:keepNext w:val="0"/>
        <w:keepLines w:val="0"/>
        <w:widowControl/>
        <w:suppressLineNumbers w:val="0"/>
        <w:pBdr>
          <w:top w:val="single" w:color="E6E8EE" w:sz="4" w:space="0"/>
          <w:left w:val="single" w:color="E6E8EE" w:sz="2" w:space="0"/>
          <w:bottom w:val="single" w:color="E6E8EE" w:sz="2" w:space="0"/>
          <w:right w:val="single" w:color="E6E8EE" w:sz="2" w:space="0"/>
        </w:pBdr>
        <w:shd w:val="clear" w:fill="FFFFFF"/>
        <w:spacing w:before="210" w:beforeAutospacing="0" w:after="21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DD47822">
      <w:pPr>
        <w:pStyle w:val="3"/>
        <w:keepNext w:val="0"/>
        <w:keepLines w:val="0"/>
        <w:widowControl/>
        <w:suppressLineNumbers w:val="0"/>
        <w:shd w:val="clear" w:fill="FFFFFF"/>
        <w:spacing w:before="120" w:beforeAutospacing="0" w:after="120" w:afterAutospacing="0" w:line="18" w:lineRule="atLeast"/>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sz w:val="24"/>
          <w:szCs w:val="24"/>
          <w:shd w:val="clear" w:fill="FFFFFF"/>
        </w:rPr>
        <w:t>三、“服务化”的实质：不仅是架构升级，更是生产模式的重构</w:t>
      </w:r>
    </w:p>
    <w:p w14:paraId="104F4002">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“服务化”常被简单理解为将应用程序部署到云端，或提供RESTful API供外部调用。然而，这种看法仅触及表层。真正的“服务化”是一场涉及技术架构、组织流程与商业模式的全面变革。</w:t>
      </w:r>
    </w:p>
    <w:p w14:paraId="05F54476">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其技术基石建立在三大支柱之上：</w:t>
      </w:r>
      <w:r>
        <w:rPr>
          <w:rStyle w:val="8"/>
          <w:rFonts w:hint="default" w:ascii="Segoe UI" w:hAnsi="Segoe UI" w:eastAsia="Segoe UI" w:cs="Segoe UI"/>
          <w:b/>
          <w:bCs/>
          <w:i w:val="0"/>
          <w:iCs w:val="0"/>
          <w:caps w:val="0"/>
          <w:spacing w:val="0"/>
          <w:sz w:val="14"/>
          <w:szCs w:val="14"/>
          <w:shd w:val="clear" w:fill="FFFFFF"/>
        </w:rPr>
        <w:t>云计算基础设施、微服务架构与开放API经济</w:t>
      </w:r>
      <w:r>
        <w:rPr>
          <w:rFonts w:hint="default" w:ascii="Segoe UI" w:hAnsi="Segoe UI" w:eastAsia="Segoe UI" w:cs="Segoe UI"/>
          <w:i w:val="0"/>
          <w:iCs w:val="0"/>
          <w:caps w:val="0"/>
          <w:spacing w:val="0"/>
          <w:sz w:val="14"/>
          <w:szCs w:val="14"/>
          <w:shd w:val="clear" w:fill="FFFFFF"/>
        </w:rPr>
        <w:t>。AWS、Azure、阿里云等公有云平台提供了弹性的计算资源池，使企业无需自建数据中心即可快速上线服务。这不仅降低了创新门槛，也催生了大量轻量化、高敏捷性的初创企业。</w:t>
      </w:r>
    </w:p>
    <w:p w14:paraId="237BB5B3">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与此同时，微服务架构取代了传统的单体架构。Netflix在其全球流媒体服务中运行着超过千个微服务，每个服务独立部署、独立更新，彼此通过轻量级协议通信。这种松耦合的设计显著提升了系统的可维护性与容错能力，也为DevOps文化的普及奠定了基础。</w:t>
      </w:r>
    </w:p>
    <w:p w14:paraId="6345DF27">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更为深远的影响来自API经济的兴起。ProgrammableWeb数据显示，全球公开API数量已突破两万种，涵盖支付、地图、身份验证、语音识别等多个领域。高德地图开放平台每年被数百万App调用，形成典型的地理信息服务生态。开发者不再需要重复造轮子，而是可以通过组合已有服务快速构建新产品。这种“搭积木式”的开发模式，极大加速了数字创新的节奏。</w:t>
      </w:r>
    </w:p>
    <w:p w14:paraId="370C6FB7">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此外，“无服务器架构”（Serverless/FaaS）进一步推动了服务化的极致简化。AWS Lambda、腾讯云函数计算等平台允许开发者只需编写业务逻辑代码，其余运维工作由平台自动完成。这意味着“写代码即上线”正在成为现实，开发效率得到前所未有的提升。</w:t>
      </w:r>
    </w:p>
    <w:p w14:paraId="04401B85">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值得注意的是，“服务化”不仅仅是技术层面的升级，更是一种生产模式的重构。传统软件生命周期遵循“需求—设计—编码—测试—发布”的线性流程，周期长、反馈慢。而在服务化体系下，软件以小颗粒度持续交付，通过灰度发布、A/B测试等方式快速验证假设，并根据用户行为数据不断优化迭代。整个过程呈现出高度的动态性与适应性。</w:t>
      </w:r>
    </w:p>
    <w:p w14:paraId="283304AA">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这种变化也重塑了企业的商业模式。Salesforce以订阅制替代传统许可销售，实现了稳定的现金流；Zoom凭借极简的用户体验和强大的API集成能力，在疫情期间迅速占领市场；钉钉、飞书等办公平台则通过开放生态吸引第三方开发者共建应用场景。软件的价值不再仅仅体现在功能本身，更在于其所能连接的广度与深度。</w:t>
      </w:r>
    </w:p>
    <w:p w14:paraId="327AA783">
      <w:pPr>
        <w:keepNext w:val="0"/>
        <w:keepLines w:val="0"/>
        <w:widowControl/>
        <w:suppressLineNumbers w:val="0"/>
        <w:pBdr>
          <w:top w:val="single" w:color="E6E8EE" w:sz="4" w:space="0"/>
          <w:left w:val="single" w:color="E6E8EE" w:sz="2" w:space="0"/>
          <w:bottom w:val="single" w:color="E6E8EE" w:sz="2" w:space="0"/>
          <w:right w:val="single" w:color="E6E8EE" w:sz="2" w:space="0"/>
        </w:pBdr>
        <w:shd w:val="clear" w:fill="FFFFFF"/>
        <w:spacing w:before="210" w:beforeAutospacing="0" w:after="21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DAF3462">
      <w:pPr>
        <w:pStyle w:val="3"/>
        <w:keepNext w:val="0"/>
        <w:keepLines w:val="0"/>
        <w:widowControl/>
        <w:suppressLineNumbers w:val="0"/>
        <w:shd w:val="clear" w:fill="FFFFFF"/>
        <w:spacing w:before="120" w:beforeAutospacing="0" w:after="120" w:afterAutospacing="0" w:line="18" w:lineRule="atLeast"/>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sz w:val="24"/>
          <w:szCs w:val="24"/>
          <w:shd w:val="clear" w:fill="FFFFFF"/>
        </w:rPr>
        <w:t>四、服务化之后：迈向智能服务生态的新纪元</w:t>
      </w:r>
    </w:p>
    <w:p w14:paraId="08CCDA12">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尽管“服务化”已深刻改变软件产业格局，但近年来随着大语言模型、生成式AI、边缘计算等技术的突破，软件正进入一个更为高级的演化阶段——我们可以称之为“</w:t>
      </w:r>
      <w:r>
        <w:rPr>
          <w:rStyle w:val="8"/>
          <w:rFonts w:hint="default" w:ascii="Segoe UI" w:hAnsi="Segoe UI" w:eastAsia="Segoe UI" w:cs="Segoe UI"/>
          <w:b/>
          <w:bCs/>
          <w:i w:val="0"/>
          <w:iCs w:val="0"/>
          <w:caps w:val="0"/>
          <w:spacing w:val="0"/>
          <w:sz w:val="14"/>
          <w:szCs w:val="14"/>
          <w:shd w:val="clear" w:fill="FFFFFF"/>
        </w:rPr>
        <w:t>智能服务生态化</w:t>
      </w:r>
      <w:r>
        <w:rPr>
          <w:rFonts w:hint="default" w:ascii="Segoe UI" w:hAnsi="Segoe UI" w:eastAsia="Segoe UI" w:cs="Segoe UI"/>
          <w:i w:val="0"/>
          <w:iCs w:val="0"/>
          <w:caps w:val="0"/>
          <w:spacing w:val="0"/>
          <w:sz w:val="14"/>
          <w:szCs w:val="14"/>
          <w:shd w:val="clear" w:fill="FFFFFF"/>
        </w:rPr>
        <w:t>”时代。在这个新阶段，软件不再仅仅是被动响应请求的服务端点，而是具备主动性、情境感知能力和协同决策能力的智能参与者。</w:t>
      </w:r>
    </w:p>
    <w:p w14:paraId="2F38910D">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如果说“服务化”解决了“如何提供服务”的问题，那么接下来的问题则是：“如何让服务更聪明、更贴心、更能替人办事？”答案正逐渐浮现：未来的软件将不再是人类操作的对象，而是协助人类行动的伙伴。</w:t>
      </w:r>
    </w:p>
    <w:p w14:paraId="15A6B59A">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以GPT系列、通义千问为代表的大语言模型展现出强大的语义理解与内容生成能力，使得自然语言成为人机交互的主要界面。用户不再需要学习复杂的菜单路径或命令语法，只需用日常语言表达意图，系统便能推断需求并采取相应行动。例如，当你说“帮我安排下周去上海出差的所有事宜”，AI助手便可自动查询航班、预订酒店、协调会议、提醒带证件，甚至预判天气变化建议携带雨具。整个过程无需手动切换多个应用，也不依赖预先设定的规则流程。</w:t>
      </w:r>
    </w:p>
    <w:p w14:paraId="1CAEF75B">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这种“意图驱动”的交互方式正在重新定义用户体验。更重要的是，AI不仅能处理结构化任务，还能参与创造性工作。GitHub Copilot可根据注释自动生成代码片段；Notion AI能帮助撰写文档大纲、润色文本；Adobe Firefly可依据文字描述生成图像素材。这些应用表明，软件正在从“辅助工具”演变为“共创伙伴”。</w:t>
      </w:r>
    </w:p>
    <w:p w14:paraId="2C6A5766">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与此同时，AI代理（AI Agent）的概念日益成熟。AutoGPT、MetaGPT等实验性项目展示了AI可以自主分解任务、调用外部工具、迭代执行并反馈结果的能力。设想一位销售人员希望拓展海外市场，他只需告诉AI：“寻找东南亚地区潜在客户并建立初步联系。”AI便会自行搜索行业报告、筛选目标企业、获取联系方式、撰写个性化邮件，并跟踪回复情况。在整个过程中，AI不仅执行任务，还会根据反馈调整策略，优化后续行为。</w:t>
      </w:r>
    </w:p>
    <w:p w14:paraId="741D1AB2">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这类系统不再等待人类一步步指示，而是像一个真正的助理一样主动推进工作进程。它们具备目标导向（goal-driven）、自我规划（self-planning）和环境适应（context-aware）的能力，预示着软件将不再是静态程序，而是具有生命力的“数字代理”。</w:t>
      </w:r>
    </w:p>
    <w:p w14:paraId="325B841F">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在这种背景下，软件的创造门槛也在急剧下降。过去，开发应用需要掌握编程语言、算法设计、系统架构等多项技能，如今，普通人也能通过自然语言描述需求，由AI自动生成可执行代码或配置服务流程。微软Power Platform集成Copilot后，用户说出“创建一个客户投诉处理表单”，系统即可自动生成前端界面、后端逻辑与数据存储结构。阿里巴巴推出的“通义灵码”在内部测试中平均提升了30%以上的编码效率，部分简单功能甚至完全由AI生成。</w:t>
      </w:r>
    </w:p>
    <w:p w14:paraId="1DF5FCE7">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这意味着“人人都是开发者”的愿景正在成为现实。中小企业主、教师、医生等非IT专业人士将能够自主搭建符合自身需求的应用系统，而不必依赖昂贵的外包团队。公民开发者（Citizen Developer）群体的壮大将进一步加速数字化转型的普及程度。</w:t>
      </w:r>
    </w:p>
    <w:p w14:paraId="0BB8399C">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与此同时，现代软件越来越难以孤立存在，而是嵌入在一个庞大的服务网络之中。微信小程序、钉钉宜搭、飞书多维表等平台已经构建起丰富的插件生态，允许第三方开发者接入并共享流量与能力。未来的超级平台将不仅仅是服务的聚合器，更是智能调度中枢。AI将充当“服务经纪人”（Service Broker），根据用户所处的情境（时间、地点、设备、偏好）自动选择最优服务组合，并动态编排执行流程。</w:t>
      </w:r>
    </w:p>
    <w:p w14:paraId="0C3B78A9">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例如，当用户走进办公室时，系统检测到其情绪低落且日程紧张，便自动关闭通知提醒，播放舒缓音乐，并建议推迟非紧急会议；同时向健康管理AI发送信号，提示关注压力水平。这种跨应用、跨场景的无缝协同，只有在统一的身份认证、数据标准与语义理解基础上才可能实现。因此，未来软件的竞争将不再局限于单个产品的功能优劣，而是取决于其所处生态的整体服务能力。</w:t>
      </w:r>
    </w:p>
    <w:p w14:paraId="17DBE324">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然而，随着算法在招聘、信贷、司法等领域广泛应用，公众对技术的信任危机日益凸显。偏见歧视、隐私泄露、深度伪造等问题频发，迫使行业重新审视软件的社会责任。为此，可解释性AI（XAI）、联邦学习、同态加密等隐私增强技术（PETs）正逐步成为标配。欧盟《人工智能法案》、中国《生成式人工智能服务管理暂行办法》等法规也要求关键系统必须具备透明性、公平性与可追溯性。</w:t>
      </w:r>
    </w:p>
    <w:p w14:paraId="3B022909">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与此同时，“绿色软件工程”理念开始兴起。研究表明，全球ICT产业碳排放约占总量的2%-3%，其中数据中心能耗尤为突出。Google提出的“Carbon-Aware Computing”概念倡导根据电网清洁能源比例动态调整计算任务，最大限度减少碳足迹。未来，软件不仅要高效，更要环保。</w:t>
      </w:r>
    </w:p>
    <w:p w14:paraId="5ECC7073">
      <w:pPr>
        <w:keepNext w:val="0"/>
        <w:keepLines w:val="0"/>
        <w:widowControl/>
        <w:suppressLineNumbers w:val="0"/>
        <w:pBdr>
          <w:top w:val="single" w:color="E6E8EE" w:sz="4" w:space="0"/>
          <w:left w:val="single" w:color="E6E8EE" w:sz="2" w:space="0"/>
          <w:bottom w:val="single" w:color="E6E8EE" w:sz="2" w:space="0"/>
          <w:right w:val="single" w:color="E6E8EE" w:sz="2" w:space="0"/>
        </w:pBdr>
        <w:shd w:val="clear" w:fill="FFFFFF"/>
        <w:spacing w:before="210" w:beforeAutospacing="0" w:after="21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52E1508">
      <w:pPr>
        <w:pStyle w:val="3"/>
        <w:keepNext w:val="0"/>
        <w:keepLines w:val="0"/>
        <w:widowControl/>
        <w:suppressLineNumbers w:val="0"/>
        <w:shd w:val="clear" w:fill="FFFFFF"/>
        <w:spacing w:before="120" w:beforeAutospacing="0" w:after="120" w:afterAutospacing="0" w:line="18" w:lineRule="atLeast"/>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sz w:val="24"/>
          <w:szCs w:val="24"/>
          <w:shd w:val="clear" w:fill="FFFFFF"/>
        </w:rPr>
        <w:t>五、未来图景：软件将成为数字社会的基础设施</w:t>
      </w:r>
    </w:p>
    <w:p w14:paraId="5272B3BE">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综合来看，软件正在经历一场深层次的范式革命。它不再只是计算机上的应用程序，而是渗透到物理世界每一个角落的“无形基础设施”。未来的软件将具备以下几个典型特征：</w:t>
      </w:r>
    </w:p>
    <w:p w14:paraId="36072A51">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首先，它将以AI为核心驱动力，实现从“被动响应”到“主动服务”的跃迁。软件不再等待指令，而是主动观察、预测并干预，真正成为人类生活的延伸。</w:t>
      </w:r>
    </w:p>
    <w:p w14:paraId="2C62AA23">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其次，它的主要交互方式将是自然语言，打破技术壁垒，赋能普通用户。编程不再是少数人的特权，而是每个人都可以参与的创造性活动。</w:t>
      </w:r>
    </w:p>
    <w:p w14:paraId="4AF9A148">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再次，它将以服务生态为基本组织形式，实现跨平台、跨领域的深度融合。单一应用的价值将让位于整个生态的协同效应，平台之间的竞争也将演变为生态系统的较量。</w:t>
      </w:r>
    </w:p>
    <w:p w14:paraId="006B65BE">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更重要的是，未来的软件将以自治代理为基本运行单元，形成分布式、自组织的智能网络。这些AI代理将在无人干预的情况下协同完成复杂项目，构成新型的“数字劳动力”。</w:t>
      </w:r>
    </w:p>
    <w:p w14:paraId="11462DB6">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最后，可信与可持续将成为软件的基本伦理准则。无论是算法公平、数据安全还是能源效率，技术发展必须服务于人类福祉，而非加剧不平等或破坏环境。</w:t>
      </w:r>
    </w:p>
    <w:p w14:paraId="51A13C04">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在这个新纪元中，软件的角色将发生根本性转变：它既是生产力工具，也是社会关系的调节者；既是技术创新的成果，也是文明进步的见证者。正如操作系统曾为PC时代奠定基础，移动应用生态曾开启智能手机革命，今天的AI原生软件也将成为下一代数字文明的基石。</w:t>
      </w:r>
    </w:p>
    <w:p w14:paraId="05CF4D72">
      <w:pPr>
        <w:keepNext w:val="0"/>
        <w:keepLines w:val="0"/>
        <w:widowControl/>
        <w:suppressLineNumbers w:val="0"/>
        <w:pBdr>
          <w:top w:val="single" w:color="E6E8EE" w:sz="4" w:space="0"/>
          <w:left w:val="single" w:color="E6E8EE" w:sz="2" w:space="0"/>
          <w:bottom w:val="single" w:color="E6E8EE" w:sz="2" w:space="0"/>
          <w:right w:val="single" w:color="E6E8EE" w:sz="2" w:space="0"/>
        </w:pBdr>
        <w:shd w:val="clear" w:fill="FFFFFF"/>
        <w:spacing w:before="210" w:beforeAutospacing="0" w:after="21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C4EC21C">
      <w:pPr>
        <w:pStyle w:val="3"/>
        <w:keepNext w:val="0"/>
        <w:keepLines w:val="0"/>
        <w:widowControl/>
        <w:suppressLineNumbers w:val="0"/>
        <w:shd w:val="clear" w:fill="FFFFFF"/>
        <w:spacing w:before="120" w:beforeAutospacing="0" w:after="120" w:afterAutospacing="0" w:line="18" w:lineRule="atLeast"/>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sz w:val="24"/>
          <w:szCs w:val="24"/>
          <w:shd w:val="clear" w:fill="FFFFFF"/>
        </w:rPr>
        <w:t>六、结语：迎接智能服务时代的到来</w:t>
      </w:r>
    </w:p>
    <w:p w14:paraId="4C607382">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面对这场深刻的变革，各方应积极应对，把握机遇。</w:t>
      </w:r>
    </w:p>
    <w:p w14:paraId="093FAEC8">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对企业而言，应加快向AI-native架构转型，建设统一的数据中台与AI能力中心，培养既懂业务又懂技术的复合型人才。那些仍停留在传统软件思维的企业，或将面临被生态边缘化的风险。</w:t>
      </w:r>
    </w:p>
    <w:p w14:paraId="1BA4AD22">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对政府而言，需完善AI治理框架，推动服务接口标准化，鼓励开源社区发展，防范技术垄断风险。同时应加强数字素养教育，确保技术红利惠及全体民众。</w:t>
      </w:r>
    </w:p>
    <w:p w14:paraId="08F59F13">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对教育机构而言，应改革计算机课程体系，弱化机械编码训练，强化系统思维、伦理意识与跨学科能力的培养。未来的工程师不仅要会写代码，更要懂得如何设计有价值的服务。</w:t>
      </w:r>
    </w:p>
    <w:p w14:paraId="144B12A6">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对开发者而言，不必担忧被AI取代，而应学会“与AI共舞”，从代码编写者升级为系统架构师与价值设计者。真正的创造力永远属于能够提出好问题的人。</w:t>
      </w:r>
    </w:p>
    <w:p w14:paraId="46EE6552">
      <w:pPr>
        <w:pStyle w:val="5"/>
        <w:keepNext w:val="0"/>
        <w:keepLines w:val="0"/>
        <w:widowControl/>
        <w:suppressLineNumbers w:val="0"/>
        <w:shd w:val="clear" w:fill="FFFFFF"/>
        <w:spacing w:before="120" w:beforeAutospacing="0" w:after="120" w:afterAutospacing="0"/>
        <w:ind w:lef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shd w:val="clear" w:fill="FFFFFF"/>
        </w:rPr>
        <w:t>我们正站在一个新时代的门槛上。软件不再是冰冷的工具，而是有温度、有智慧、有责任感的伙伴。唯有拥抱变化、勇于创新，方能在即将到来的智能服务时代占据先机，共同塑造一个人机共生的美好未来。</w:t>
      </w:r>
    </w:p>
    <w:p w14:paraId="12C42BCC">
      <w:pPr>
        <w:keepNext w:val="0"/>
        <w:keepLines w:val="0"/>
        <w:widowControl/>
        <w:suppressLineNumbers w:val="0"/>
        <w:pBdr>
          <w:top w:val="single" w:color="E6E8EE" w:sz="4" w:space="0"/>
          <w:left w:val="single" w:color="E6E8EE" w:sz="2" w:space="0"/>
          <w:bottom w:val="single" w:color="E6E8EE" w:sz="2" w:space="0"/>
          <w:right w:val="single" w:color="E6E8EE" w:sz="2" w:space="0"/>
        </w:pBdr>
        <w:shd w:val="clear" w:fill="FFFFFF"/>
        <w:spacing w:before="210" w:beforeAutospacing="0" w:after="210" w:afterAutospacing="0"/>
        <w:ind w:left="0" w:right="0" w:firstLine="0"/>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sz w:val="14"/>
          <w:szCs w:val="1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7A6ADFC">
      <w:pPr>
        <w:pStyle w:val="4"/>
        <w:keepNext w:val="0"/>
        <w:keepLines w:val="0"/>
        <w:widowControl/>
        <w:suppressLineNumbers w:val="0"/>
        <w:shd w:val="clear" w:fill="FFFFFF"/>
        <w:spacing w:before="120" w:beforeAutospacing="0" w:after="120" w:afterAutospacing="0" w:line="18" w:lineRule="atLeast"/>
        <w:ind w:left="0" w:firstLine="0"/>
        <w:rPr>
          <w:rFonts w:hint="default" w:ascii="Segoe UI" w:hAnsi="Segoe UI" w:eastAsia="Segoe UI" w:cs="Segoe UI"/>
          <w:i w:val="0"/>
          <w:iCs w:val="0"/>
          <w:caps w:val="0"/>
          <w:spacing w:val="0"/>
          <w:sz w:val="21"/>
          <w:szCs w:val="21"/>
        </w:rPr>
      </w:pPr>
      <w:r>
        <w:rPr>
          <w:rFonts w:hint="default" w:ascii="Segoe UI" w:hAnsi="Segoe UI" w:eastAsia="Segoe UI" w:cs="Segoe UI"/>
          <w:i w:val="0"/>
          <w:iCs w:val="0"/>
          <w:caps w:val="0"/>
          <w:spacing w:val="0"/>
          <w:sz w:val="21"/>
          <w:szCs w:val="21"/>
          <w:shd w:val="clear" w:fill="FFFFFF"/>
        </w:rPr>
        <w:t>参考文献</w:t>
      </w:r>
    </w:p>
    <w:p w14:paraId="3EFA163C">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spacing w:val="0"/>
          <w:sz w:val="14"/>
          <w:szCs w:val="14"/>
          <w:bdr w:val="none" w:color="auto" w:sz="0" w:space="0"/>
          <w:shd w:val="clear" w:fill="FFFFFF"/>
        </w:rPr>
        <w:t>Brown, T., et al. (2020). </w:t>
      </w:r>
      <w:r>
        <w:rPr>
          <w:rStyle w:val="9"/>
          <w:rFonts w:hint="default" w:ascii="Segoe UI" w:hAnsi="Segoe UI" w:eastAsia="Segoe UI" w:cs="Segoe UI"/>
          <w:i w:val="0"/>
          <w:iCs w:val="0"/>
          <w:caps w:val="0"/>
          <w:spacing w:val="0"/>
          <w:sz w:val="14"/>
          <w:szCs w:val="14"/>
          <w:bdr w:val="none" w:color="auto" w:sz="0" w:space="0"/>
          <w:shd w:val="clear" w:fill="FFFFFF"/>
        </w:rPr>
        <w:t>Language Models are Few-Shot Learners</w:t>
      </w:r>
      <w:r>
        <w:rPr>
          <w:rFonts w:hint="default" w:ascii="Segoe UI" w:hAnsi="Segoe UI" w:eastAsia="Segoe UI" w:cs="Segoe UI"/>
          <w:i w:val="0"/>
          <w:iCs w:val="0"/>
          <w:caps w:val="0"/>
          <w:spacing w:val="0"/>
          <w:sz w:val="14"/>
          <w:szCs w:val="14"/>
          <w:bdr w:val="none" w:color="auto" w:sz="0" w:space="0"/>
          <w:shd w:val="clear" w:fill="FFFFFF"/>
        </w:rPr>
        <w:t>. Advances in Neural Information Processing Systems, 33.</w:t>
      </w:r>
    </w:p>
    <w:p w14:paraId="26AC283A">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spacing w:val="0"/>
          <w:sz w:val="14"/>
          <w:szCs w:val="14"/>
          <w:bdr w:val="none" w:color="auto" w:sz="0" w:space="0"/>
          <w:shd w:val="clear" w:fill="FFFFFF"/>
        </w:rPr>
        <w:t>Wooldridge, M. (2009). </w:t>
      </w:r>
      <w:r>
        <w:rPr>
          <w:rStyle w:val="9"/>
          <w:rFonts w:hint="default" w:ascii="Segoe UI" w:hAnsi="Segoe UI" w:eastAsia="Segoe UI" w:cs="Segoe UI"/>
          <w:i w:val="0"/>
          <w:iCs w:val="0"/>
          <w:caps w:val="0"/>
          <w:spacing w:val="0"/>
          <w:sz w:val="14"/>
          <w:szCs w:val="14"/>
          <w:bdr w:val="none" w:color="auto" w:sz="0" w:space="0"/>
          <w:shd w:val="clear" w:fill="FFFFFF"/>
        </w:rPr>
        <w:t>An Introduction to MultiAgent Systems</w:t>
      </w:r>
      <w:r>
        <w:rPr>
          <w:rFonts w:hint="default" w:ascii="Segoe UI" w:hAnsi="Segoe UI" w:eastAsia="Segoe UI" w:cs="Segoe UI"/>
          <w:i w:val="0"/>
          <w:iCs w:val="0"/>
          <w:caps w:val="0"/>
          <w:spacing w:val="0"/>
          <w:sz w:val="14"/>
          <w:szCs w:val="14"/>
          <w:bdr w:val="none" w:color="auto" w:sz="0" w:space="0"/>
          <w:shd w:val="clear" w:fill="FFFFFF"/>
        </w:rPr>
        <w:t> (2nd ed.). Wiley.</w:t>
      </w:r>
    </w:p>
    <w:p w14:paraId="0EA462D2">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spacing w:val="0"/>
          <w:sz w:val="14"/>
          <w:szCs w:val="14"/>
          <w:bdr w:val="none" w:color="auto" w:sz="0" w:space="0"/>
          <w:shd w:val="clear" w:fill="FFFFFF"/>
        </w:rPr>
        <w:t>Chen, M., et al. (2021). </w:t>
      </w:r>
      <w:r>
        <w:rPr>
          <w:rStyle w:val="9"/>
          <w:rFonts w:hint="default" w:ascii="Segoe UI" w:hAnsi="Segoe UI" w:eastAsia="Segoe UI" w:cs="Segoe UI"/>
          <w:i w:val="0"/>
          <w:iCs w:val="0"/>
          <w:caps w:val="0"/>
          <w:spacing w:val="0"/>
          <w:sz w:val="14"/>
          <w:szCs w:val="14"/>
          <w:bdr w:val="none" w:color="auto" w:sz="0" w:space="0"/>
          <w:shd w:val="clear" w:fill="FFFFFF"/>
        </w:rPr>
        <w:t>Evaluating Large Language Models Trained on Code</w:t>
      </w:r>
      <w:r>
        <w:rPr>
          <w:rFonts w:hint="default" w:ascii="Segoe UI" w:hAnsi="Segoe UI" w:eastAsia="Segoe UI" w:cs="Segoe UI"/>
          <w:i w:val="0"/>
          <w:iCs w:val="0"/>
          <w:caps w:val="0"/>
          <w:spacing w:val="0"/>
          <w:sz w:val="14"/>
          <w:szCs w:val="14"/>
          <w:bdr w:val="none" w:color="auto" w:sz="0" w:space="0"/>
          <w:shd w:val="clear" w:fill="FFFFFF"/>
        </w:rPr>
        <w:t>. arXiv:2107.03374.</w:t>
      </w:r>
    </w:p>
    <w:p w14:paraId="5B016E2E">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spacing w:val="0"/>
          <w:sz w:val="14"/>
          <w:szCs w:val="14"/>
          <w:bdr w:val="none" w:color="auto" w:sz="0" w:space="0"/>
          <w:shd w:val="clear" w:fill="FFFFFF"/>
        </w:rPr>
        <w:t>Duan, Y., et al. (2023). </w:t>
      </w:r>
      <w:r>
        <w:rPr>
          <w:rStyle w:val="9"/>
          <w:rFonts w:hint="default" w:ascii="Segoe UI" w:hAnsi="Segoe UI" w:eastAsia="Segoe UI" w:cs="Segoe UI"/>
          <w:i w:val="0"/>
          <w:iCs w:val="0"/>
          <w:caps w:val="0"/>
          <w:spacing w:val="0"/>
          <w:sz w:val="14"/>
          <w:szCs w:val="14"/>
          <w:bdr w:val="none" w:color="auto" w:sz="0" w:space="0"/>
          <w:shd w:val="clear" w:fill="FFFFFF"/>
        </w:rPr>
        <w:t>The Rise of AI Agents in Enterprise Software</w:t>
      </w:r>
      <w:r>
        <w:rPr>
          <w:rFonts w:hint="default" w:ascii="Segoe UI" w:hAnsi="Segoe UI" w:eastAsia="Segoe UI" w:cs="Segoe UI"/>
          <w:i w:val="0"/>
          <w:iCs w:val="0"/>
          <w:caps w:val="0"/>
          <w:spacing w:val="0"/>
          <w:sz w:val="14"/>
          <w:szCs w:val="14"/>
          <w:bdr w:val="none" w:color="auto" w:sz="0" w:space="0"/>
          <w:shd w:val="clear" w:fill="FFFFFF"/>
        </w:rPr>
        <w:t>. McKinsey &amp; Company.</w:t>
      </w:r>
    </w:p>
    <w:p w14:paraId="525F2E43">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spacing w:val="0"/>
          <w:sz w:val="14"/>
          <w:szCs w:val="14"/>
          <w:bdr w:val="none" w:color="auto" w:sz="0" w:space="0"/>
          <w:shd w:val="clear" w:fill="FFFFFF"/>
        </w:rPr>
        <w:t>Gartner (2023). </w:t>
      </w:r>
      <w:r>
        <w:rPr>
          <w:rStyle w:val="9"/>
          <w:rFonts w:hint="default" w:ascii="Segoe UI" w:hAnsi="Segoe UI" w:eastAsia="Segoe UI" w:cs="Segoe UI"/>
          <w:i w:val="0"/>
          <w:iCs w:val="0"/>
          <w:caps w:val="0"/>
          <w:spacing w:val="0"/>
          <w:sz w:val="14"/>
          <w:szCs w:val="14"/>
          <w:bdr w:val="none" w:color="auto" w:sz="0" w:space="0"/>
          <w:shd w:val="clear" w:fill="FFFFFF"/>
        </w:rPr>
        <w:t>Hype Cycle for Emerging Technologies 2023</w:t>
      </w:r>
      <w:r>
        <w:rPr>
          <w:rFonts w:hint="default" w:ascii="Segoe UI" w:hAnsi="Segoe UI" w:eastAsia="Segoe UI" w:cs="Segoe UI"/>
          <w:i w:val="0"/>
          <w:iCs w:val="0"/>
          <w:caps w:val="0"/>
          <w:spacing w:val="0"/>
          <w:sz w:val="14"/>
          <w:szCs w:val="14"/>
          <w:bdr w:val="none" w:color="auto" w:sz="0" w:space="0"/>
          <w:shd w:val="clear" w:fill="FFFFFF"/>
        </w:rPr>
        <w:t>.</w:t>
      </w:r>
    </w:p>
    <w:p w14:paraId="0775886E">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spacing w:val="0"/>
          <w:sz w:val="14"/>
          <w:szCs w:val="14"/>
          <w:bdr w:val="none" w:color="auto" w:sz="0" w:space="0"/>
          <w:shd w:val="clear" w:fill="FFFFFF"/>
        </w:rPr>
        <w:t>IBM Research (2023). </w:t>
      </w:r>
      <w:r>
        <w:rPr>
          <w:rStyle w:val="9"/>
          <w:rFonts w:hint="default" w:ascii="Segoe UI" w:hAnsi="Segoe UI" w:eastAsia="Segoe UI" w:cs="Segoe UI"/>
          <w:i w:val="0"/>
          <w:iCs w:val="0"/>
          <w:caps w:val="0"/>
          <w:spacing w:val="0"/>
          <w:sz w:val="14"/>
          <w:szCs w:val="14"/>
          <w:bdr w:val="none" w:color="auto" w:sz="0" w:space="0"/>
          <w:shd w:val="clear" w:fill="FFFFFF"/>
        </w:rPr>
        <w:t>Semantic Interoperability in Service Ecosystems</w:t>
      </w:r>
      <w:r>
        <w:rPr>
          <w:rFonts w:hint="default" w:ascii="Segoe UI" w:hAnsi="Segoe UI" w:eastAsia="Segoe UI" w:cs="Segoe UI"/>
          <w:i w:val="0"/>
          <w:iCs w:val="0"/>
          <w:caps w:val="0"/>
          <w:spacing w:val="0"/>
          <w:sz w:val="14"/>
          <w:szCs w:val="14"/>
          <w:bdr w:val="none" w:color="auto" w:sz="0" w:space="0"/>
          <w:shd w:val="clear" w:fill="FFFFFF"/>
        </w:rPr>
        <w:t>. IBM Journal of Research and Development, 67(4/5).</w:t>
      </w:r>
    </w:p>
    <w:p w14:paraId="364990D6">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spacing w:val="0"/>
          <w:sz w:val="14"/>
          <w:szCs w:val="14"/>
          <w:bdr w:val="none" w:color="auto" w:sz="0" w:space="0"/>
          <w:shd w:val="clear" w:fill="FFFFFF"/>
        </w:rPr>
        <w:t>Zaharia, M., et al. (2022). </w:t>
      </w:r>
      <w:r>
        <w:rPr>
          <w:rStyle w:val="9"/>
          <w:rFonts w:hint="default" w:ascii="Segoe UI" w:hAnsi="Segoe UI" w:eastAsia="Segoe UI" w:cs="Segoe UI"/>
          <w:i w:val="0"/>
          <w:iCs w:val="0"/>
          <w:caps w:val="0"/>
          <w:spacing w:val="0"/>
          <w:sz w:val="14"/>
          <w:szCs w:val="14"/>
          <w:bdr w:val="none" w:color="auto" w:sz="0" w:space="0"/>
          <w:shd w:val="clear" w:fill="FFFFFF"/>
        </w:rPr>
        <w:t>The Lakehouse Paradigm: Combining Data Warehouses and Data Lakes</w:t>
      </w:r>
      <w:r>
        <w:rPr>
          <w:rFonts w:hint="default" w:ascii="Segoe UI" w:hAnsi="Segoe UI" w:eastAsia="Segoe UI" w:cs="Segoe UI"/>
          <w:i w:val="0"/>
          <w:iCs w:val="0"/>
          <w:caps w:val="0"/>
          <w:spacing w:val="0"/>
          <w:sz w:val="14"/>
          <w:szCs w:val="14"/>
          <w:bdr w:val="none" w:color="auto" w:sz="0" w:space="0"/>
          <w:shd w:val="clear" w:fill="FFFFFF"/>
        </w:rPr>
        <w:t>. CIDR.</w:t>
      </w:r>
    </w:p>
    <w:p w14:paraId="4F9E9C00">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spacing w:val="0"/>
          <w:sz w:val="14"/>
          <w:szCs w:val="14"/>
          <w:bdr w:val="none" w:color="auto" w:sz="0" w:space="0"/>
          <w:shd w:val="clear" w:fill="FFFFFF"/>
        </w:rPr>
        <w:t>Mittelstadt, B. D., et al. (2016). </w:t>
      </w:r>
      <w:r>
        <w:rPr>
          <w:rStyle w:val="9"/>
          <w:rFonts w:hint="default" w:ascii="Segoe UI" w:hAnsi="Segoe UI" w:eastAsia="Segoe UI" w:cs="Segoe UI"/>
          <w:i w:val="0"/>
          <w:iCs w:val="0"/>
          <w:caps w:val="0"/>
          <w:spacing w:val="0"/>
          <w:sz w:val="14"/>
          <w:szCs w:val="14"/>
          <w:bdr w:val="none" w:color="auto" w:sz="0" w:space="0"/>
          <w:shd w:val="clear" w:fill="FFFFFF"/>
        </w:rPr>
        <w:t>The Ethics of Algorithms: Mapping the Debate</w:t>
      </w:r>
      <w:r>
        <w:rPr>
          <w:rFonts w:hint="default" w:ascii="Segoe UI" w:hAnsi="Segoe UI" w:eastAsia="Segoe UI" w:cs="Segoe UI"/>
          <w:i w:val="0"/>
          <w:iCs w:val="0"/>
          <w:caps w:val="0"/>
          <w:spacing w:val="0"/>
          <w:sz w:val="14"/>
          <w:szCs w:val="14"/>
          <w:bdr w:val="none" w:color="auto" w:sz="0" w:space="0"/>
          <w:shd w:val="clear" w:fill="FFFFFF"/>
        </w:rPr>
        <w:t>. Big Data &amp; Society, 3(2), 1–21.</w:t>
      </w:r>
    </w:p>
    <w:p w14:paraId="0CA7D199">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spacing w:val="0"/>
          <w:sz w:val="14"/>
          <w:szCs w:val="14"/>
          <w:bdr w:val="none" w:color="auto" w:sz="0" w:space="0"/>
          <w:shd w:val="clear" w:fill="FFFFFF"/>
        </w:rPr>
        <w:t>ISO/IEC TR 24028:2023. </w:t>
      </w:r>
      <w:r>
        <w:rPr>
          <w:rStyle w:val="9"/>
          <w:rFonts w:hint="default" w:ascii="Segoe UI" w:hAnsi="Segoe UI" w:eastAsia="Segoe UI" w:cs="Segoe UI"/>
          <w:i w:val="0"/>
          <w:iCs w:val="0"/>
          <w:caps w:val="0"/>
          <w:spacing w:val="0"/>
          <w:sz w:val="14"/>
          <w:szCs w:val="14"/>
          <w:bdr w:val="none" w:color="auto" w:sz="0" w:space="0"/>
          <w:shd w:val="clear" w:fill="FFFFFF"/>
        </w:rPr>
        <w:t>Information technology — Artificial intelligence — Overview of trustworthiness in AI</w:t>
      </w:r>
      <w:r>
        <w:rPr>
          <w:rFonts w:hint="default" w:ascii="Segoe UI" w:hAnsi="Segoe UI" w:eastAsia="Segoe UI" w:cs="Segoe UI"/>
          <w:i w:val="0"/>
          <w:iCs w:val="0"/>
          <w:caps w:val="0"/>
          <w:spacing w:val="0"/>
          <w:sz w:val="14"/>
          <w:szCs w:val="14"/>
          <w:bdr w:val="none" w:color="auto" w:sz="0" w:space="0"/>
          <w:shd w:val="clear" w:fill="FFFFFF"/>
        </w:rPr>
        <w:t>.</w:t>
      </w:r>
    </w:p>
    <w:p w14:paraId="758B17E6">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spacing w:val="0"/>
          <w:sz w:val="14"/>
          <w:szCs w:val="14"/>
          <w:bdr w:val="none" w:color="auto" w:sz="0" w:space="0"/>
          <w:shd w:val="clear" w:fill="FFFFFF"/>
        </w:rPr>
        <w:t>OpenAI (2023). </w:t>
      </w:r>
      <w:r>
        <w:rPr>
          <w:rStyle w:val="9"/>
          <w:rFonts w:hint="default" w:ascii="Segoe UI" w:hAnsi="Segoe UI" w:eastAsia="Segoe UI" w:cs="Segoe UI"/>
          <w:i w:val="0"/>
          <w:iCs w:val="0"/>
          <w:caps w:val="0"/>
          <w:spacing w:val="0"/>
          <w:sz w:val="14"/>
          <w:szCs w:val="14"/>
          <w:bdr w:val="none" w:color="auto" w:sz="0" w:space="0"/>
          <w:shd w:val="clear" w:fill="FFFFFF"/>
        </w:rPr>
        <w:t>Planning and Acting with LLM-based Agents</w:t>
      </w:r>
      <w:r>
        <w:rPr>
          <w:rFonts w:hint="default" w:ascii="Segoe UI" w:hAnsi="Segoe UI" w:eastAsia="Segoe UI" w:cs="Segoe UI"/>
          <w:i w:val="0"/>
          <w:iCs w:val="0"/>
          <w:caps w:val="0"/>
          <w:spacing w:val="0"/>
          <w:sz w:val="14"/>
          <w:szCs w:val="14"/>
          <w:bdr w:val="none" w:color="auto" w:sz="0" w:space="0"/>
          <w:shd w:val="clear" w:fill="FFFFFF"/>
        </w:rPr>
        <w:t>. Technical Blog.</w:t>
      </w:r>
    </w:p>
    <w:p w14:paraId="6997245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A33D9E"/>
    <w:multiLevelType w:val="multilevel"/>
    <w:tmpl w:val="BDA33D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484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2025-09-24T17:23:42Z</dcterms:created>
  <dc:creator>lenovo</dc:creator>
  <cp:lastModifiedBy>赫</cp:lastModifiedBy>
  <dcterms:modified xsi:type="dcterms:W3CDTF">2025-09-24T17:23:53Z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eyJoZGlkIjoiNjUzYzcxNjZjNTYxMDQ2ZmY2MGE2MjNjZGI4Yzk0NDkiLCJ1c2VySWQiOiI5MjY4Nzg3NjgifQ==</vt:lpwstr>
  </property>
  <property fmtid="{D5CDD505-2E9C-101B-9397-08002B2CF9AE}" pid="4" name="ICV">
    <vt:lpwstr>6058C32E32FF4F508A38A6FC06098667_12</vt:lpwstr>
  </property>
</Properties>
</file>