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80"/>
      </w:pPr>
      <w:r>
        <w:rPr>
          <w:rFonts w:ascii="Arial Unicode MS" w:hAnsi="Arial Unicode MS" w:eastAsia="Arial Unicode MS"/>
          <w:b/>
          <w:color w:val="F27052"/>
          <w:sz w:val="17"/>
        </w:rPr>
        <w:t>MVP DELIVERY BRIEF</w:t>
      </w:r>
    </w:p>
    <w:p>
      <w:pPr>
        <w:spacing w:before="0" w:after="80"/>
      </w:pPr>
      <w:r>
        <w:rPr>
          <w:rFonts w:ascii="Arial Unicode MS" w:hAnsi="Arial Unicode MS" w:eastAsia="Arial Unicode MS"/>
          <w:b/>
          <w:color w:val="17342F"/>
          <w:sz w:val="46"/>
        </w:rPr>
        <w:t>Talk Town MVP 流程图与任务分工</w:t>
      </w:r>
    </w:p>
    <w:p>
      <w:pPr>
        <w:spacing w:before="0" w:after="120"/>
      </w:pPr>
      <w:r>
        <w:rPr>
          <w:rFonts w:ascii="Arial Unicode MS" w:hAnsi="Arial Unicode MS" w:eastAsia="Arial Unicode MS"/>
          <w:color w:val="667670"/>
          <w:sz w:val="20"/>
        </w:rPr>
        <w:t>完整 AI MVP 基线 · 用于小组评审、分工与阶段验收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4"/>
          <w:left w:val="single" w:sz="4" w:space="0" w:color="FFF4D4"/>
          <w:bottom w:val="single" w:sz="4" w:space="0" w:color="FFF4D4"/>
          <w:right w:val="single" w:sz="4" w:space="0" w:color="FFF4D4"/>
          <w:insideH w:val="single" w:sz="4" w:space="0" w:color="FFF4D4"/>
          <w:insideV w:val="single" w:sz="4" w:space="0" w:color="FFF4D4"/>
        </w:tblBorders>
      </w:tblPr>
      <w:tblGrid>
        <w:gridCol w:w="14400"/>
      </w:tblGrid>
      <w:tr>
        <w:tc>
          <w:tcPr>
            <w:tcW w:type="dxa" w:w="14400"/>
            <w:tcMar>
              <w:top w:w="90" w:type="dxa"/>
              <w:start w:w="120" w:type="dxa"/>
              <w:bottom w:w="90" w:type="dxa"/>
              <w:end w:w="120" w:type="dxa"/>
            </w:tcMar>
            <w:shd w:fill="FFF4D4"/>
          </w:tcPr>
          <w:p>
            <w:pPr>
              <w:spacing w:before="40" w:after="40" w:line="259" w:lineRule="auto"/>
            </w:pPr>
            <w:r/>
            <w:r>
              <w:rPr>
                <w:rFonts w:ascii="Arial Unicode MS" w:hAnsi="Arial Unicode MS" w:eastAsia="Arial Unicode MS"/>
                <w:b/>
                <w:color w:val="17342F"/>
                <w:sz w:val="18"/>
              </w:rPr>
              <w:t xml:space="preserve">会议目标  </w:t>
            </w:r>
            <w:r>
              <w:rPr>
                <w:rFonts w:ascii="Arial Unicode MS" w:hAnsi="Arial Unicode MS" w:eastAsia="Arial Unicode MS"/>
                <w:color w:val="17342F"/>
                <w:sz w:val="18"/>
              </w:rPr>
              <w:t>确认 P0 范围、12 周基线、每项任务 Owner、跨角色依赖和阶段闸门；会后所有任务必须有负责人和截止周。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42F"/>
          <w:sz w:val="27"/>
        </w:rPr>
        <w:t>1. MVP 用户学习闭环</w:t>
      </w:r>
    </w:p>
    <w:p>
      <w:pPr>
        <w:spacing w:before="0" w:after="100" w:line="269" w:lineRule="auto"/>
      </w:pPr>
      <w:r>
        <w:rPr>
          <w:rFonts w:ascii="Arial Unicode MS" w:hAnsi="Arial Unicode MS" w:eastAsia="Arial Unicode MS"/>
          <w:color w:val="17342F"/>
          <w:sz w:val="19"/>
        </w:rPr>
        <w:t>核心验证：一次 AI 引导的咖啡店点餐训练，能否让目标用户在等价新任务中，比训练前完成更多必要交流步骤。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8732520" cy="2765298"/>
            <wp:docPr id="1" name="Picture 1" descr="Talk Town MVP 用户学习闭环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-town-mvp-us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7652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CD7"/>
          <w:left w:val="single" w:sz="5" w:space="0" w:color="D8DCD7"/>
          <w:bottom w:val="single" w:sz="5" w:space="0" w:color="D8DCD7"/>
          <w:right w:val="single" w:sz="5" w:space="0" w:color="D8DCD7"/>
          <w:insideH w:val="single" w:sz="5" w:space="0" w:color="D8DCD7"/>
          <w:insideV w:val="single" w:sz="5" w:space="0" w:color="D8DCD7"/>
        </w:tblBorders>
      </w:tblPr>
      <w:tblGrid>
        <w:gridCol w:w="4723"/>
        <w:gridCol w:w="4723"/>
        <w:gridCol w:w="4954"/>
      </w:tblGrid>
      <w:tr>
        <w:trPr>
          <w:cantSplit/>
        </w:trPr>
        <w:tc>
          <w:tcPr>
            <w:tcW w:type="dxa" w:w="4723"/>
            <w:tcMar>
              <w:top w:w="70" w:type="dxa"/>
              <w:start w:w="110" w:type="dxa"/>
              <w:bottom w:w="70" w:type="dxa"/>
              <w:end w:w="110" w:type="dxa"/>
            </w:tcMar>
            <w:shd w:fill="EAF4EF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/>
                <w:b/>
                <w:color w:val="17342F"/>
                <w:sz w:val="18"/>
              </w:rPr>
              <w:t>P0 · 学习端</w:t>
            </w:r>
          </w:p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7342F"/>
                <w:sz w:val="15"/>
              </w:rPr>
              <w:t>目标输入与确认 · 学习路线</w:t>
              <w:br/>
              <w:t>基线 A / 引导 B / 迁移 C · 结果记录</w:t>
            </w:r>
          </w:p>
        </w:tc>
        <w:tc>
          <w:tcPr>
            <w:tcW w:type="dxa" w:w="4723"/>
            <w:tcMar>
              <w:top w:w="70" w:type="dxa"/>
              <w:start w:w="110" w:type="dxa"/>
              <w:bottom w:w="70" w:type="dxa"/>
              <w:end w:w="110" w:type="dxa"/>
            </w:tcMar>
            <w:shd w:fill="E9F0F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/>
                <w:b/>
                <w:color w:val="17342F"/>
                <w:sz w:val="18"/>
              </w:rPr>
              <w:t>P0 · 知识与 AI</w:t>
            </w:r>
          </w:p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7342F"/>
                <w:sz w:val="15"/>
              </w:rPr>
              <w:t>解析 / OCR / 表格 · 审核发布</w:t>
              <w:br/>
              <w:t>混合检索 / Rerank · 生成评测 / Trace</w:t>
            </w:r>
          </w:p>
        </w:tc>
        <w:tc>
          <w:tcPr>
            <w:tcW w:type="dxa" w:w="4954"/>
            <w:tcMar>
              <w:top w:w="70" w:type="dxa"/>
              <w:start w:w="110" w:type="dxa"/>
              <w:bottom w:w="70" w:type="dxa"/>
              <w:end w:w="110" w:type="dxa"/>
            </w:tcMar>
            <w:shd w:fill="FDEAE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/>
                <w:b/>
                <w:color w:val="17342F"/>
                <w:sz w:val="18"/>
              </w:rPr>
              <w:t>本期不做</w:t>
            </w:r>
          </w:p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17342F"/>
                <w:sz w:val="15"/>
              </w:rPr>
              <w:t>语音 / 发音 · 多场景完整训练</w:t>
              <w:br/>
              <w:t>跨设备账户 / 付费 · 长期 Memory / Agent</w:t>
            </w:r>
          </w:p>
        </w:tc>
      </w:tr>
    </w:tbl>
    <w:p>
      <w:pPr>
        <w:pageBreakBefore/>
        <w:spacing w:before="0" w:after="80"/>
      </w:pPr>
      <w:r>
        <w:rPr>
          <w:rFonts w:ascii="Arial Unicode MS" w:hAnsi="Arial Unicode MS" w:eastAsia="Arial Unicode MS"/>
          <w:b/>
          <w:color w:val="F27052"/>
          <w:sz w:val="17"/>
        </w:rPr>
        <w:t>DELIVERY FLOW</w:t>
      </w:r>
    </w:p>
    <w:p>
      <w:pPr>
        <w:spacing w:before="0" w:after="80"/>
      </w:pPr>
      <w:r>
        <w:rPr>
          <w:rFonts w:ascii="Arial Unicode MS" w:hAnsi="Arial Unicode MS" w:eastAsia="Arial Unicode MS"/>
          <w:b/>
          <w:color w:val="17342F"/>
          <w:sz w:val="46"/>
        </w:rPr>
        <w:t>12 周交付流程</w:t>
      </w:r>
    </w:p>
    <w:p>
      <w:pPr>
        <w:spacing w:before="0" w:after="120"/>
      </w:pPr>
      <w:r>
        <w:rPr>
          <w:rFonts w:ascii="Arial Unicode MS" w:hAnsi="Arial Unicode MS" w:eastAsia="Arial Unicode MS"/>
          <w:color w:val="667670"/>
          <w:sz w:val="20"/>
        </w:rPr>
        <w:t>阶段可以准备性并行；下一阶段启动前必须通过当前闸门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34272" cy="2898496"/>
            <wp:docPr id="2" name="Picture 2" descr="Talk Town 完整 AI MVP 十二周交付甘特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-town-mvp-12-week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34272" cy="28984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CD7"/>
          <w:left w:val="single" w:sz="6" w:space="0" w:color="D8DCD7"/>
          <w:bottom w:val="single" w:sz="6" w:space="0" w:color="D8DCD7"/>
          <w:right w:val="single" w:sz="6" w:space="0" w:color="D8DCD7"/>
          <w:insideH w:val="single" w:sz="6" w:space="0" w:color="D8DCD7"/>
          <w:insideV w:val="single" w:sz="6" w:space="0" w:color="D8DCD7"/>
        </w:tblBorders>
      </w:tblPr>
      <w:tblGrid>
        <w:gridCol w:w="576"/>
        <w:gridCol w:w="2088"/>
        <w:gridCol w:w="1037"/>
        <w:gridCol w:w="1944"/>
        <w:gridCol w:w="5976"/>
        <w:gridCol w:w="2779"/>
      </w:tblGrid>
      <w:tr>
        <w:trPr>
          <w:tblHeader w:val="true"/>
        </w:trPr>
        <w:tc>
          <w:tcPr>
            <w:tcW w:type="dxa" w:w="576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主责角色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关键交付</w:t>
            </w:r>
          </w:p>
        </w:tc>
        <w:tc>
          <w:tcPr>
            <w:tcW w:type="dxa" w:w="2779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退出闸门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方案冻结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W1–W2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AI 产品经理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技术 Spike、模型 Bake-off、页面原型、知识 Schema</w:t>
            </w:r>
          </w:p>
        </w:tc>
        <w:tc>
          <w:tcPr>
            <w:tcW w:type="dxa" w:w="27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G1 方案签字</w:t>
            </w:r>
          </w:p>
        </w:tc>
      </w:tr>
      <w:tr>
        <w:tc>
          <w:tcPr>
            <w:tcW w:type="dxa" w:w="576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2</w:t>
            </w:r>
          </w:p>
        </w:tc>
        <w:tc>
          <w:tcPr>
            <w:tcW w:type="dxa" w:w="2088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知识摄取与后台</w:t>
            </w:r>
          </w:p>
        </w:tc>
        <w:tc>
          <w:tcPr>
            <w:tcW w:type="dxa" w:w="1037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W3–W5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后端 / 知识工程</w:t>
            </w:r>
          </w:p>
        </w:tc>
        <w:tc>
          <w:tcPr>
            <w:tcW w:type="dxa" w:w="5976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上传、解析、审核、切块、版本与发布</w:t>
            </w:r>
          </w:p>
        </w:tc>
        <w:tc>
          <w:tcPr>
            <w:tcW w:type="dxa" w:w="2779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G2 知识链路可用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学习端与 AI/RAG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W6–W8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前端 + 后端/AI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学习流程、状态机、检索、生成与结果页</w:t>
            </w:r>
          </w:p>
        </w:tc>
        <w:tc>
          <w:tcPr>
            <w:tcW w:type="dxa" w:w="27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G3 P0 主链路完成</w:t>
            </w:r>
          </w:p>
        </w:tc>
      </w:tr>
      <w:tr>
        <w:tc>
          <w:tcPr>
            <w:tcW w:type="dxa" w:w="576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4</w:t>
            </w:r>
          </w:p>
        </w:tc>
        <w:tc>
          <w:tcPr>
            <w:tcW w:type="dxa" w:w="2088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联调与离线评测</w:t>
            </w:r>
          </w:p>
        </w:tc>
        <w:tc>
          <w:tcPr>
            <w:tcW w:type="dxa" w:w="1037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W9–W10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测试 + AI/数据</w:t>
            </w:r>
          </w:p>
        </w:tc>
        <w:tc>
          <w:tcPr>
            <w:tcW w:type="dxa" w:w="5976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金标集、性能、成本、安全、故障降级与修复</w:t>
            </w:r>
          </w:p>
        </w:tc>
        <w:tc>
          <w:tcPr>
            <w:tcW w:type="dxa" w:w="2779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G4 AI 与系统门槛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用户验证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W11–W12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产品 + 用户研究</w:t>
            </w:r>
          </w:p>
        </w:tc>
        <w:tc>
          <w:tcPr>
            <w:tcW w:type="dxa" w:w="59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5 人可用性测试、30 人方向性验证、决策报告</w:t>
            </w:r>
          </w:p>
        </w:tc>
        <w:tc>
          <w:tcPr>
            <w:tcW w:type="dxa" w:w="27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G5 产品化决策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p>
      <w:pPr>
        <w:pageBreakBefore/>
        <w:spacing w:before="0" w:after="80"/>
      </w:pPr>
      <w:r>
        <w:rPr>
          <w:rFonts w:ascii="Arial Unicode MS" w:hAnsi="Arial Unicode MS" w:eastAsia="Arial Unicode MS"/>
          <w:b/>
          <w:color w:val="F27052"/>
          <w:sz w:val="17"/>
        </w:rPr>
        <w:t>WORK BREAKDOWN</w:t>
      </w:r>
    </w:p>
    <w:p>
      <w:pPr>
        <w:spacing w:before="0" w:after="80"/>
      </w:pPr>
      <w:r>
        <w:rPr>
          <w:rFonts w:ascii="Arial Unicode MS" w:hAnsi="Arial Unicode MS" w:eastAsia="Arial Unicode MS"/>
          <w:b/>
          <w:color w:val="17342F"/>
          <w:sz w:val="46"/>
        </w:rPr>
        <w:t>任务分解与责任分配</w:t>
      </w:r>
    </w:p>
    <w:p>
      <w:pPr>
        <w:spacing w:before="0" w:after="120"/>
      </w:pPr>
      <w:r>
        <w:rPr>
          <w:rFonts w:ascii="Arial Unicode MS" w:hAnsi="Arial Unicode MS" w:eastAsia="Arial Unicode MS"/>
          <w:color w:val="667670"/>
          <w:sz w:val="20"/>
        </w:rPr>
        <w:t>会中将“建议 Owner”替换为具体姓名，并确认截止周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4EF"/>
          <w:left w:val="single" w:sz="4" w:space="0" w:color="EAF4EF"/>
          <w:bottom w:val="single" w:sz="4" w:space="0" w:color="EAF4EF"/>
          <w:right w:val="single" w:sz="4" w:space="0" w:color="EAF4EF"/>
          <w:insideH w:val="single" w:sz="4" w:space="0" w:color="EAF4EF"/>
          <w:insideV w:val="single" w:sz="4" w:space="0" w:color="EAF4EF"/>
        </w:tblBorders>
      </w:tblPr>
      <w:tblGrid>
        <w:gridCol w:w="14400"/>
      </w:tblGrid>
      <w:tr>
        <w:tc>
          <w:tcPr>
            <w:tcW w:type="dxa" w:w="14400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before="40" w:after="40" w:line="259" w:lineRule="auto"/>
            </w:pPr>
            <w:r/>
            <w:r>
              <w:rPr>
                <w:rFonts w:ascii="Arial Unicode MS" w:hAnsi="Arial Unicode MS" w:eastAsia="Arial Unicode MS"/>
                <w:b/>
                <w:color w:val="17342F"/>
                <w:sz w:val="18"/>
              </w:rPr>
              <w:t xml:space="preserve">分工规则  </w:t>
            </w:r>
            <w:r>
              <w:rPr>
                <w:rFonts w:ascii="Arial Unicode MS" w:hAnsi="Arial Unicode MS" w:eastAsia="Arial Unicode MS"/>
                <w:color w:val="17342F"/>
                <w:sz w:val="18"/>
              </w:rPr>
              <w:t>一个任务只能有一个最终 Owner；协作人可以有多个。涉及范围变化、超过 3 个工作日或预算增加超过 10% 的事项必须重新评审。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CD7"/>
          <w:left w:val="single" w:sz="6" w:space="0" w:color="D8DCD7"/>
          <w:bottom w:val="single" w:sz="6" w:space="0" w:color="D8DCD7"/>
          <w:right w:val="single" w:sz="6" w:space="0" w:color="D8DCD7"/>
          <w:insideH w:val="single" w:sz="6" w:space="0" w:color="D8DCD7"/>
          <w:insideV w:val="single" w:sz="6" w:space="0" w:color="D8DCD7"/>
        </w:tblBorders>
      </w:tblPr>
      <w:tblGrid>
        <w:gridCol w:w="691"/>
        <w:gridCol w:w="2131"/>
        <w:gridCol w:w="1944"/>
        <w:gridCol w:w="1930"/>
        <w:gridCol w:w="6552"/>
        <w:gridCol w:w="1152"/>
      </w:tblGrid>
      <w:tr>
        <w:trPr>
          <w:tblHeader w:val="true"/>
        </w:trP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建议 Owner</w:t>
            </w:r>
          </w:p>
        </w:tc>
        <w:tc>
          <w:tcPr>
            <w:tcW w:type="dxa" w:w="1930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关键协作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Definition of Done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截止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范围与验收基线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AI 产品经理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全体核心成员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P0/P1、成功指标、非目标、变更规则完成签字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W1</w:t>
            </w:r>
          </w:p>
        </w:tc>
      </w:tr>
      <w:tr>
        <w:tc>
          <w:tcPr>
            <w:tcW w:type="dxa" w:w="691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T02</w:t>
            </w:r>
          </w:p>
        </w:tc>
        <w:tc>
          <w:tcPr>
            <w:tcW w:type="dxa" w:w="2131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目标输入与学习流程原型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产品设计师</w:t>
              <w:br/>
              <w:t>姓名：____</w:t>
            </w:r>
          </w:p>
        </w:tc>
        <w:tc>
          <w:tcPr>
            <w:tcW w:type="dxa" w:w="193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产品、前端</w:t>
            </w:r>
          </w:p>
        </w:tc>
        <w:tc>
          <w:tcPr>
            <w:tcW w:type="dxa" w:w="6552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U-01 至 U-09 的主流程、空/错/加载状态和 375px 原型</w:t>
            </w:r>
          </w:p>
        </w:tc>
        <w:tc>
          <w:tcPr>
            <w:tcW w:type="dxa" w:w="1152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W2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T03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A/B/C 场景与评分内容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英语内容负责人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产品、AI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三套等价任务；四项意图、允许表达、错误与提示规则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W2</w:t>
            </w:r>
          </w:p>
        </w:tc>
      </w:tr>
      <w:tr>
        <w:tc>
          <w:tcPr>
            <w:tcW w:type="dxa" w:w="691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T04</w:t>
            </w:r>
          </w:p>
        </w:tc>
        <w:tc>
          <w:tcPr>
            <w:tcW w:type="dxa" w:w="2131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模型网关与结构化输出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AI 工程师</w:t>
              <w:br/>
              <w:t>姓名：____</w:t>
            </w:r>
          </w:p>
        </w:tc>
        <w:tc>
          <w:tcPr>
            <w:tcW w:type="dxa" w:w="193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后端、产品</w:t>
            </w:r>
          </w:p>
        </w:tc>
        <w:tc>
          <w:tcPr>
            <w:tcW w:type="dxa" w:w="6552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目标解析、回答判定 Schema；路由、重试、Fallback 与成本记录</w:t>
            </w:r>
          </w:p>
        </w:tc>
        <w:tc>
          <w:tcPr>
            <w:tcW w:type="dxa" w:w="1152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W4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T05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知识摄取与管理后台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知识/后端工程师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内容、测试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文件解析、OCR、表格、审核、Chunk、版本、发布与回滚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W5</w:t>
            </w:r>
          </w:p>
        </w:tc>
      </w:tr>
      <w:tr>
        <w:tc>
          <w:tcPr>
            <w:tcW w:type="dxa" w:w="691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T06</w:t>
            </w:r>
          </w:p>
        </w:tc>
        <w:tc>
          <w:tcPr>
            <w:tcW w:type="dxa" w:w="2131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RAG 检索与评测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AI/RAG 工程师</w:t>
              <w:br/>
              <w:t>姓名：____</w:t>
            </w:r>
          </w:p>
        </w:tc>
        <w:tc>
          <w:tcPr>
            <w:tcW w:type="dxa" w:w="193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知识、数据</w:t>
            </w:r>
          </w:p>
        </w:tc>
        <w:tc>
          <w:tcPr>
            <w:tcW w:type="dxa" w:w="6552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Dense + Sparse + RRF + 条件 Rerank；检索调试与金标集</w:t>
            </w:r>
          </w:p>
        </w:tc>
        <w:tc>
          <w:tcPr>
            <w:tcW w:type="dxa" w:w="1152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W7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T07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学习网页端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前端工程师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设计、后端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目标对话框、路线、A/B/C 训练、结果、异常与进度恢复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W8</w:t>
            </w:r>
          </w:p>
        </w:tc>
      </w:tr>
      <w:tr>
        <w:tc>
          <w:tcPr>
            <w:tcW w:type="dxa" w:w="691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T08</w:t>
            </w:r>
          </w:p>
        </w:tc>
        <w:tc>
          <w:tcPr>
            <w:tcW w:type="dxa" w:w="2131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会话、状态机与 API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后端工程师</w:t>
              <w:br/>
              <w:t>姓名：____</w:t>
            </w:r>
          </w:p>
        </w:tc>
        <w:tc>
          <w:tcPr>
            <w:tcW w:type="dxa" w:w="193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前端、AI</w:t>
            </w:r>
          </w:p>
        </w:tc>
        <w:tc>
          <w:tcPr>
            <w:tcW w:type="dxa" w:w="6552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匿名会话、幂等 Turn、状态推进、版本固定、记录清除</w:t>
            </w:r>
          </w:p>
        </w:tc>
        <w:tc>
          <w:tcPr>
            <w:tcW w:type="dxa" w:w="1152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W8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T09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埋点、Trace 与成本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数据/后端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产品、AI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学习/AI/RAG/成本事件可追踪，报表可复算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W9</w:t>
            </w:r>
          </w:p>
        </w:tc>
      </w:tr>
      <w:tr>
        <w:tc>
          <w:tcPr>
            <w:tcW w:type="dxa" w:w="691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T10</w:t>
            </w:r>
          </w:p>
        </w:tc>
        <w:tc>
          <w:tcPr>
            <w:tcW w:type="dxa" w:w="2131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质量与发布验收</w:t>
            </w:r>
          </w:p>
        </w:tc>
        <w:tc>
          <w:tcPr>
            <w:tcW w:type="dxa" w:w="1944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测试负责人</w:t>
              <w:br/>
              <w:t>姓名：____</w:t>
            </w:r>
          </w:p>
        </w:tc>
        <w:tc>
          <w:tcPr>
            <w:tcW w:type="dxa" w:w="193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全体核心成员</w:t>
            </w:r>
          </w:p>
        </w:tc>
        <w:tc>
          <w:tcPr>
            <w:tcW w:type="dxa" w:w="6552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功能、AI、性能、安全、权限、故障注入、回滚用例通过</w:t>
            </w:r>
          </w:p>
        </w:tc>
        <w:tc>
          <w:tcPr>
            <w:tcW w:type="dxa" w:w="1152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W10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T11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可用性与方向性验证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产品/用户研究</w:t>
              <w:br/>
              <w:t>姓名：____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数据、内容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5 人观察测试 + 30 个有效样本 + 继续/迭代/停止建议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4"/>
              </w:rPr>
              <w:t>W12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p>
      <w:pPr>
        <w:pageBreakBefore/>
        <w:spacing w:before="0" w:after="80"/>
      </w:pPr>
      <w:r>
        <w:rPr>
          <w:rFonts w:ascii="Arial Unicode MS" w:hAnsi="Arial Unicode MS" w:eastAsia="Arial Unicode MS"/>
          <w:b/>
          <w:color w:val="F27052"/>
          <w:sz w:val="17"/>
        </w:rPr>
        <w:t>QUALITY GATES</w:t>
      </w:r>
    </w:p>
    <w:p>
      <w:pPr>
        <w:spacing w:before="0" w:after="80"/>
      </w:pPr>
      <w:r>
        <w:rPr>
          <w:rFonts w:ascii="Arial Unicode MS" w:hAnsi="Arial Unicode MS" w:eastAsia="Arial Unicode MS"/>
          <w:b/>
          <w:color w:val="17342F"/>
          <w:sz w:val="46"/>
        </w:rPr>
        <w:t>验收闸门与会议决策</w:t>
      </w:r>
    </w:p>
    <w:p>
      <w:pPr>
        <w:spacing w:before="0" w:after="120"/>
      </w:pPr>
      <w:r>
        <w:rPr>
          <w:rFonts w:ascii="Arial Unicode MS" w:hAnsi="Arial Unicode MS" w:eastAsia="Arial Unicode MS"/>
          <w:color w:val="667670"/>
          <w:sz w:val="20"/>
        </w:rPr>
        <w:t>任何硬失败项出现时，不得以综合分抵消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CD7"/>
          <w:left w:val="single" w:sz="6" w:space="0" w:color="D8DCD7"/>
          <w:bottom w:val="single" w:sz="6" w:space="0" w:color="D8DCD7"/>
          <w:right w:val="single" w:sz="6" w:space="0" w:color="D8DCD7"/>
          <w:insideH w:val="single" w:sz="6" w:space="0" w:color="D8DCD7"/>
          <w:insideV w:val="single" w:sz="6" w:space="0" w:color="D8DCD7"/>
        </w:tblBorders>
      </w:tblPr>
      <w:tblGrid>
        <w:gridCol w:w="1800"/>
        <w:gridCol w:w="4320"/>
        <w:gridCol w:w="5256"/>
        <w:gridCol w:w="3024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闸门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未通过处理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G0 立项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范围、资源、预算负责人确认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项目负责人到位；12 周基线获批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不启动排期</w:t>
            </w:r>
          </w:p>
        </w:tc>
      </w:tr>
      <w:tr>
        <w:tc>
          <w:tcPr>
            <w:tcW w:type="dxa" w:w="1800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G1 方案冻结</w:t>
            </w:r>
          </w:p>
        </w:tc>
        <w:tc>
          <w:tcPr>
            <w:tcW w:type="dxa" w:w="432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原型、知识 Schema、A/B/C 内容、技术 Spike</w:t>
            </w:r>
          </w:p>
        </w:tc>
        <w:tc>
          <w:tcPr>
            <w:tcW w:type="dxa" w:w="5256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产品、内容、技术共同签字</w:t>
            </w:r>
          </w:p>
        </w:tc>
        <w:tc>
          <w:tcPr>
            <w:tcW w:type="dxa" w:w="3024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退回方案阶段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G2 知识链路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导入、解析、审核、发布、回滚可用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未审核内容不可上线；来源与版本可追踪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修复后重验</w:t>
            </w:r>
          </w:p>
        </w:tc>
      </w:tr>
      <w:tr>
        <w:tc>
          <w:tcPr>
            <w:tcW w:type="dxa" w:w="1800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G3 主链路</w:t>
            </w:r>
          </w:p>
        </w:tc>
        <w:tc>
          <w:tcPr>
            <w:tcW w:type="dxa" w:w="432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目标、路线、A/B/C、结果与状态机贯通</w:t>
            </w:r>
          </w:p>
        </w:tc>
        <w:tc>
          <w:tcPr>
            <w:tcW w:type="dxa" w:w="5256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重复提交不重复推进；异常可恢复</w:t>
            </w:r>
          </w:p>
        </w:tc>
        <w:tc>
          <w:tcPr>
            <w:tcW w:type="dxa" w:w="3024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停止联调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G4 用户测试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金标、性能、成本、安全和发布验收完成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AI 总分及全部硬门槛通过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仅内部迭代</w:t>
            </w:r>
          </w:p>
        </w:tc>
      </w:tr>
      <w:tr>
        <w:tc>
          <w:tcPr>
            <w:tcW w:type="dxa" w:w="1800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G5 产品化</w:t>
            </w:r>
          </w:p>
        </w:tc>
        <w:tc>
          <w:tcPr>
            <w:tcW w:type="dxa" w:w="4320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5 人测试完成；30 个有效样本</w:t>
            </w:r>
          </w:p>
        </w:tc>
        <w:tc>
          <w:tcPr>
            <w:tcW w:type="dxa" w:w="5256"/>
            <w:shd w:fill="F7F8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学习效果达标且系统质量稳定</w:t>
            </w:r>
          </w:p>
        </w:tc>
        <w:tc>
          <w:tcPr>
            <w:tcW w:type="dxa" w:w="3024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原范围迭代或停止扩展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42F"/>
          <w:sz w:val="27"/>
        </w:rPr>
        <w:t>核心指标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CD7"/>
          <w:left w:val="single" w:sz="6" w:space="0" w:color="D8DCD7"/>
          <w:bottom w:val="single" w:sz="6" w:space="0" w:color="D8DCD7"/>
          <w:right w:val="single" w:sz="6" w:space="0" w:color="D8DCD7"/>
          <w:insideH w:val="single" w:sz="6" w:space="0" w:color="D8DCD7"/>
          <w:insideV w:val="single" w:sz="6" w:space="0" w:color="D8DCD7"/>
        </w:tblBorders>
      </w:tblPr>
      <w:tblGrid>
        <w:gridCol w:w="3384"/>
        <w:gridCol w:w="11016"/>
      </w:tblGrid>
      <w:tr>
        <w:trPr>
          <w:tblHeader w:val="true"/>
        </w:trP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016"/>
            <w:tcMar>
              <w:top w:w="90" w:type="dxa"/>
              <w:start w:w="120" w:type="dxa"/>
              <w:bottom w:w="90" w:type="dxa"/>
              <w:end w:w="120" w:type="dxa"/>
            </w:tcMar>
            <w:shd w:fill="17342F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会议确认标准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AI 上线硬门槛</w:t>
            </w:r>
          </w:p>
        </w:tc>
        <w:tc>
          <w:tcPr>
            <w:tcW w:type="dxa" w:w="1101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总分 ≥ 85；关键槽位准确率 ≥ 95%；结构化输出有效率 ≥ 99%；离线错误推进 = 0；严重安全事件 = 0</w:t>
            </w:r>
          </w:p>
        </w:tc>
      </w:tr>
      <w:tr>
        <w:tc>
          <w:tcPr>
            <w:tcW w:type="dxa" w:w="3384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性能与成本</w:t>
            </w:r>
          </w:p>
        </w:tc>
        <w:tc>
          <w:tcPr>
            <w:tcW w:type="dxa" w:w="11016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单轮端到端 P95 ≤ 8 秒；检索 + 精排 P95 ≤ 800ms；完整任务正常目标 ≤ $0.02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建议学习验证线（会中确认）</w:t>
            </w:r>
          </w:p>
        </w:tc>
        <w:tc>
          <w:tcPr>
            <w:tcW w:type="dxa" w:w="1101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平均能力增量 ≥ 1 个步骤；个人改善率 ≥ 60%；引导训练完成率 ≥ 80%</w:t>
            </w:r>
          </w:p>
        </w:tc>
      </w:tr>
      <w:tr>
        <w:tc>
          <w:tcPr>
            <w:tcW w:type="dxa" w:w="3384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发布与可追溯</w:t>
            </w:r>
          </w:p>
        </w:tc>
        <w:tc>
          <w:tcPr>
            <w:tcW w:type="dxa" w:w="11016"/>
            <w:shd w:fill="F7F8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342F"/>
                <w:sz w:val="16"/>
              </w:rPr>
              <w:t>任意线上回答可定位到模型、Prompt、Chunk、来源和知识版本；回滚 5 分钟内生效</w:t>
            </w:r>
          </w:p>
        </w:tc>
      </w:tr>
    </w:tbl>
    <w:p>
      <w:pPr>
        <w:spacing w:before="0" w:after="0" w:line="48" w:lineRule="auto"/>
      </w:pPr>
      <w:r>
        <w:rPr>
          <w:rFonts w:ascii="Arial Unicode MS" w:hAnsi="Arial Unicode MS" w:eastAsia="Arial Unicode MS"/>
          <w:color w:val="FFFFFF"/>
          <w:sz w:val="2"/>
        </w:rPr>
        <w:t>​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42F"/>
          <w:sz w:val="27"/>
        </w:rPr>
        <w:t>会议结束前必须完成</w:t>
      </w:r>
    </w:p>
    <w:p>
      <w:pPr>
        <w:pStyle w:val="ListBullet"/>
        <w:spacing w:after="30"/>
      </w:pPr>
      <w:r>
        <w:rPr>
          <w:rFonts w:ascii="Arial Unicode MS" w:hAnsi="Arial Unicode MS" w:eastAsia="Arial Unicode MS"/>
          <w:color w:val="17342F"/>
          <w:sz w:val="17"/>
        </w:rPr>
        <w:t>为 T01–T11 填入唯一 Owner 姓名和截止周；</w:t>
      </w:r>
    </w:p>
    <w:p>
      <w:pPr>
        <w:pStyle w:val="ListBullet"/>
        <w:spacing w:after="30"/>
      </w:pPr>
      <w:r>
        <w:rPr>
          <w:rFonts w:ascii="Arial Unicode MS" w:hAnsi="Arial Unicode MS" w:eastAsia="Arial Unicode MS"/>
          <w:color w:val="17342F"/>
          <w:sz w:val="17"/>
        </w:rPr>
        <w:t>确认知识来源与版权审批负责人、知识发布审批人；</w:t>
      </w:r>
    </w:p>
    <w:p>
      <w:pPr>
        <w:pStyle w:val="ListBullet"/>
        <w:spacing w:after="30"/>
      </w:pPr>
      <w:r>
        <w:rPr>
          <w:rFonts w:ascii="Arial Unicode MS" w:hAnsi="Arial Unicode MS" w:eastAsia="Arial Unicode MS"/>
          <w:color w:val="17342F"/>
          <w:sz w:val="17"/>
        </w:rPr>
        <w:t>确认四套金标集的建设负责人：Parsing、Retrieval、Turn、Safety；</w:t>
      </w:r>
    </w:p>
    <w:p>
      <w:pPr>
        <w:pStyle w:val="ListBullet"/>
        <w:spacing w:after="30"/>
      </w:pPr>
      <w:r>
        <w:rPr>
          <w:rFonts w:ascii="Arial Unicode MS" w:hAnsi="Arial Unicode MS" w:eastAsia="Arial Unicode MS"/>
          <w:color w:val="17342F"/>
          <w:sz w:val="17"/>
        </w:rPr>
        <w:t>确认 130–160 人日资源基线及现金预算重估责任人；</w:t>
      </w:r>
    </w:p>
    <w:p>
      <w:pPr>
        <w:pStyle w:val="ListBullet"/>
        <w:spacing w:after="30"/>
      </w:pPr>
      <w:r>
        <w:rPr>
          <w:rFonts w:ascii="Arial Unicode MS" w:hAnsi="Arial Unicode MS" w:eastAsia="Arial Unicode MS"/>
          <w:color w:val="17342F"/>
          <w:sz w:val="17"/>
        </w:rPr>
        <w:t>确定下一次 G1 方案评审时间和必须提交的材料。</w:t>
      </w:r>
    </w:p>
    <w:p>
      <w:pPr>
        <w:spacing w:before="0" w:after="0" w:line="269" w:lineRule="auto"/>
      </w:pPr>
      <w:r>
        <w:rPr>
          <w:rFonts w:ascii="Arial Unicode MS" w:hAnsi="Arial Unicode MS" w:eastAsia="Arial Unicode MS"/>
          <w:color w:val="17342F"/>
          <w:sz w:val="19"/>
        </w:rPr>
        <w:t>基线来源：《Talk Town 完整 AI 产品 PRD v1.0》（2026-08-22）。本文件用于会议执行，不替代详细功能、技术与评测规范。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670"/>
        <w:sz w:val="16"/>
      </w:rPr>
      <w:t xml:space="preserve">内部会议材料  ·  </w:t>
    </w:r>
    <w:r>
      <w:rPr>
        <w:rFonts w:ascii="Arial Unicode MS" w:hAnsi="Arial Unicode MS" w:eastAsia="Arial Unicode MS"/>
        <w:color w:val="6676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400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9648"/>
      <w:gridCol w:w="4752"/>
    </w:tblGrid>
    <w:tr>
      <w:tc>
        <w:tcPr>
          <w:tcW w:type="dxa" w:w="9648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spacing w:before="0" w:after="0" w:line="259" w:lineRule="auto"/>
            <w:jc w:val="left"/>
          </w:pPr>
          <w:r/>
          <w:r>
            <w:rPr>
              <w:rFonts w:ascii="Arial Unicode MS" w:hAnsi="Arial Unicode MS" w:eastAsia="Arial Unicode MS"/>
              <w:b/>
              <w:color w:val="667670"/>
              <w:sz w:val="15"/>
            </w:rPr>
            <w:t>TALK TOWN  |  MVP 流程与任务分工</w:t>
          </w:r>
        </w:p>
      </w:tc>
      <w:tc>
        <w:tcPr>
          <w:tcW w:type="dxa" w:w="4752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spacing w:before="0" w:after="0" w:line="259" w:lineRule="auto"/>
            <w:jc w:val="right"/>
          </w:pPr>
          <w:r/>
          <w:r>
            <w:rPr>
              <w:rFonts w:ascii="Arial Unicode MS" w:hAnsi="Arial Unicode MS" w:eastAsia="Arial Unicode MS"/>
              <w:b w:val="0"/>
              <w:color w:val="667670"/>
              <w:sz w:val="15"/>
            </w:rPr>
            <w:t>会议讨论版 · v1.0 · 2026-08-22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1734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67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676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90" w:hanging="245"/>
      <w:contextualSpacing/>
    </w:pPr>
    <w:rPr>
      <w:rFonts w:ascii="Arial Unicode MS" w:hAnsi="Arial Unicode MS" w:eastAsia="Arial Unicode M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90" w:hanging="245"/>
      <w:contextualSpacing/>
    </w:pPr>
    <w:rPr>
      <w:rFonts w:ascii="Arial Unicode MS" w:hAnsi="Arial Unicode MS" w:eastAsia="Arial Unicode M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 Town MVP 流程图与任务分工</dc:title>
  <dc:subject>完整 AI MVP 会议流程、里程碑、任务分工与验收闸门</dc:subject>
  <dc:creator>Talk Town 项目组</dc:creator>
  <cp:keywords>Talk Town, MVP, PRD, 流程图, 任务分工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