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78" w:lineRule="auto" w:before="2304" w:after="0"/>
        <w:ind w:left="3600" w:right="3600" w:firstLine="0"/>
        <w:jc w:val="center"/>
      </w:pPr>
      <w:r>
        <w:rPr>
          <w:rFonts w:ascii="Arial" w:hAnsi="Arial" w:eastAsia="Arial"/>
          <w:b w:val="0"/>
          <w:i w:val="0"/>
          <w:color w:val="64748B"/>
          <w:sz w:val="22"/>
        </w:rPr>
        <w:t xml:space="preserve">Kingdom of Saudi Arabia </w:t>
      </w:r>
      <w:r>
        <w:br/>
      </w:r>
      <w:r>
        <w:rPr>
          <w:rFonts w:ascii="Arial" w:hAnsi="Arial" w:eastAsia="Arial"/>
          <w:b w:val="0"/>
          <w:i w:val="0"/>
          <w:color w:val="64748B"/>
          <w:sz w:val="22"/>
        </w:rPr>
        <w:t>Digital Government Authority — Platforms Code</w:t>
      </w:r>
    </w:p>
    <w:p>
      <w:pPr>
        <w:autoSpaceDN w:val="0"/>
        <w:autoSpaceDE w:val="0"/>
        <w:widowControl/>
        <w:spacing w:line="233" w:lineRule="auto" w:before="56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1A3E5C"/>
          <w:sz w:val="20"/>
        </w:rPr>
        <w:t>Ministry of Municipal and Housing Affairs</w:t>
      </w:r>
    </w:p>
    <w:p>
      <w:pPr>
        <w:autoSpaceDN w:val="0"/>
        <w:autoSpaceDE w:val="0"/>
        <w:widowControl/>
        <w:spacing w:line="233" w:lineRule="auto" w:before="116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1A3E5C"/>
          <w:sz w:val="20"/>
        </w:rPr>
        <w:t>Housing Support Agency — Supply-Demand Alignment Department</w:t>
      </w:r>
    </w:p>
    <w:p>
      <w:pPr>
        <w:autoSpaceDN w:val="0"/>
        <w:autoSpaceDE w:val="0"/>
        <w:widowControl/>
        <w:spacing w:line="245" w:lineRule="auto" w:before="746" w:after="0"/>
        <w:ind w:left="2880" w:right="2880" w:firstLine="0"/>
        <w:jc w:val="center"/>
      </w:pPr>
      <w:r>
        <w:rPr>
          <w:rFonts w:ascii="Arial" w:hAnsi="Arial" w:eastAsia="Arial"/>
          <w:b/>
          <w:i w:val="0"/>
          <w:color w:val="006C4E"/>
          <w:sz w:val="52"/>
        </w:rPr>
        <w:t xml:space="preserve">Macro-Economic Impact </w:t>
      </w:r>
      <w:r>
        <w:rPr>
          <w:rFonts w:ascii="Arial" w:hAnsi="Arial" w:eastAsia="Arial"/>
          <w:b/>
          <w:i w:val="0"/>
          <w:color w:val="006C4E"/>
          <w:sz w:val="52"/>
        </w:rPr>
        <w:t>Assessment</w:t>
      </w:r>
    </w:p>
    <w:p>
      <w:pPr>
        <w:autoSpaceDN w:val="0"/>
        <w:autoSpaceDE w:val="0"/>
        <w:widowControl/>
        <w:spacing w:line="233" w:lineRule="auto" w:before="22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DC2626"/>
          <w:sz w:val="32"/>
        </w:rPr>
        <w:t>Interest Rate Hike (+50bps)</w:t>
      </w:r>
    </w:p>
    <w:p>
      <w:pPr>
        <w:autoSpaceDN w:val="0"/>
        <w:autoSpaceDE w:val="0"/>
        <w:widowControl/>
        <w:spacing w:line="233" w:lineRule="auto" w:before="262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1A3E5C"/>
          <w:sz w:val="28"/>
        </w:rPr>
        <w:t>Riyadh &amp; Eastern Region Housing Market</w:t>
      </w:r>
    </w:p>
    <w:p>
      <w:pPr>
        <w:autoSpaceDN w:val="0"/>
        <w:autoSpaceDE w:val="0"/>
        <w:widowControl/>
        <w:spacing w:line="233" w:lineRule="auto" w:before="602" w:after="868"/>
        <w:ind w:left="0" w:right="0" w:firstLine="0"/>
        <w:jc w:val="center"/>
      </w:pPr>
      <w:r>
        <w:rPr>
          <w:rFonts w:ascii="Arial" w:hAnsi="Arial" w:eastAsia="Arial"/>
          <w:b/>
          <w:i w:val="0"/>
          <w:color w:val="DC2626"/>
          <w:sz w:val="22"/>
        </w:rPr>
        <w:t>URGENT — MINISTERIAL BRIEFING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11906"/>
      </w:tblGrid>
      <w:tr>
        <w:trPr>
          <w:trHeight w:hRule="exact" w:val="3288"/>
        </w:trPr>
        <w:tc>
          <w:tcPr>
            <w:tcW w:type="dxa" w:w="9070"/>
            <w:tcBorders>
              <w:start w:sz="9.119999885559082" w:val="single" w:color="#CBD5E1"/>
              <w:top w:sz="9.119999885559082" w:val="single" w:color="#CBD5E1"/>
              <w:end w:sz="9.119999885559082" w:val="single" w:color="#CBD5E1"/>
              <w:bottom w:sz="9.119999885559082" w:val="single" w:color="#CBD5E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auto" w:before="338" w:after="0"/>
              <w:ind w:left="2016" w:right="2016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A3E5C"/>
                <w:sz w:val="17"/>
              </w:rPr>
              <w:t xml:space="preserve">Report ID: DSO-2026-0619-URG-001    |    Date: 19 June 2026 </w:t>
            </w:r>
            <w:r>
              <w:rPr>
                <w:rFonts w:ascii="Arial" w:hAnsi="Arial" w:eastAsia="Arial"/>
                <w:b w:val="0"/>
                <w:i w:val="0"/>
                <w:color w:val="1A3E5C"/>
                <w:sz w:val="17"/>
              </w:rPr>
              <w:t xml:space="preserve">Classification: CONFIDENTIAL — Senior Leadership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1A3E5C"/>
                <w:sz w:val="17"/>
              </w:rPr>
              <w:t>Coverage: Total Market    |    Confidence: 88-95%</w:t>
            </w:r>
          </w:p>
          <w:p>
            <w:pPr>
              <w:autoSpaceDN w:val="0"/>
              <w:autoSpaceDE w:val="0"/>
              <w:widowControl/>
              <w:spacing w:line="326" w:lineRule="auto" w:before="490" w:after="0"/>
              <w:ind w:left="2016" w:right="2016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A3E5C"/>
                <w:sz w:val="17"/>
              </w:rPr>
              <w:t xml:space="preserve">Data: SAMA 4.25% Repo Rate    |    Brent Crude $74.84/bbl </w:t>
            </w:r>
            <w:r>
              <w:rPr>
                <w:rFonts w:ascii="Arial" w:hAnsi="Arial" w:eastAsia="Arial"/>
                <w:b w:val="0"/>
                <w:i w:val="0"/>
                <w:color w:val="1A3E5C"/>
                <w:sz w:val="17"/>
              </w:rPr>
              <w:t>GDP Growth: 2.1%    |    Inflation: 3.2%    |    Unemployment: 4.8%</w:t>
            </w:r>
          </w:p>
          <w:p>
            <w:pPr>
              <w:autoSpaceDN w:val="0"/>
              <w:autoSpaceDE w:val="0"/>
              <w:widowControl/>
              <w:spacing w:line="233" w:lineRule="auto" w:before="49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A3E5C"/>
                <w:sz w:val="17"/>
              </w:rPr>
              <w:t>Analyst: Ahmed Al-Qahtani    |    Engines: Demand Intel. — Supply-Demand Bal. — Supply Planning — Conversion</w:t>
            </w:r>
          </w:p>
        </w:tc>
      </w:tr>
    </w:tbl>
    <w:p>
      <w:pPr>
        <w:autoSpaceDN w:val="0"/>
        <w:autoSpaceDE w:val="0"/>
        <w:widowControl/>
        <w:spacing w:line="233" w:lineRule="auto" w:before="3986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64748B"/>
          <w:sz w:val="14"/>
        </w:rPr>
        <w:t>Saudi DGA Platforms Code | Page 1</w:t>
      </w:r>
    </w:p>
    <w:p>
      <w:pPr>
        <w:sectPr>
          <w:pgSz w:w="11906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88" w:firstLine="0"/>
        <w:jc w:val="right"/>
      </w:pPr>
      <w:r>
        <w:rPr>
          <w:rFonts w:ascii="Arial" w:hAnsi="Arial" w:eastAsia="Arial"/>
          <w:b w:val="0"/>
          <w:i w:val="0"/>
          <w:color w:val="64748B"/>
          <w:sz w:val="14"/>
        </w:rPr>
        <w:t>DSO-2026-0619-URG-001  |  CONFIDENTIAL  |  MOMAH — Housing Support Agency</w:t>
      </w:r>
    </w:p>
    <w:p>
      <w:pPr>
        <w:autoSpaceDN w:val="0"/>
        <w:autoSpaceDE w:val="0"/>
        <w:widowControl/>
        <w:spacing w:line="235" w:lineRule="auto" w:before="422" w:after="0"/>
        <w:ind w:left="408" w:right="0" w:firstLine="0"/>
        <w:jc w:val="left"/>
      </w:pPr>
      <w:r>
        <w:rPr>
          <w:rFonts w:ascii="Arial" w:hAnsi="Arial" w:eastAsia="Arial"/>
          <w:b/>
          <w:i w:val="0"/>
          <w:color w:val="1A3E5C"/>
          <w:sz w:val="26"/>
        </w:rPr>
        <w:t>1.  Executive Summary</w:t>
      </w:r>
    </w:p>
    <w:p>
      <w:pPr>
        <w:autoSpaceDN w:val="0"/>
        <w:autoSpaceDE w:val="0"/>
        <w:widowControl/>
        <w:spacing w:line="288" w:lineRule="auto" w:before="560" w:after="0"/>
        <w:ind w:left="68" w:right="0" w:firstLine="0"/>
        <w:jc w:val="left"/>
      </w:pPr>
      <w:r>
        <w:rPr>
          <w:rFonts w:ascii="Arial" w:hAnsi="Arial" w:eastAsia="Arial"/>
          <w:b w:val="0"/>
          <w:i w:val="0"/>
          <w:color w:val="1A3E5C"/>
          <w:sz w:val="19"/>
        </w:rPr>
        <w:t xml:space="preserve">On 19 June 2026, SAMA announced a +50bps rate hike (4.25% → 4.75%), breaking a six-month pause. The DSO platform </w:t>
      </w:r>
      <w:r>
        <w:rPr>
          <w:rFonts w:ascii="Arial" w:hAnsi="Arial" w:eastAsia="Arial"/>
          <w:b w:val="0"/>
          <w:i w:val="0"/>
          <w:color w:val="1A3E5C"/>
          <w:sz w:val="19"/>
        </w:rPr>
        <w:t>completed autonomous analysis across 4 engines in 1hr 50min — historically 3-4 days.</w:t>
      </w:r>
    </w:p>
    <w:p>
      <w:pPr>
        <w:autoSpaceDN w:val="0"/>
        <w:autoSpaceDE w:val="0"/>
        <w:widowControl/>
        <w:spacing w:line="233" w:lineRule="auto" w:before="326" w:after="172"/>
        <w:ind w:left="68" w:right="0" w:firstLine="0"/>
        <w:jc w:val="left"/>
      </w:pPr>
      <w:r>
        <w:rPr>
          <w:rFonts w:ascii="Arial" w:hAnsi="Arial" w:eastAsia="Arial"/>
          <w:b/>
          <w:i w:val="0"/>
          <w:color w:val="1A3E5C"/>
          <w:sz w:val="19"/>
        </w:rPr>
        <w:t>KEY FINDINGS: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957" w:type="dxa"/>
      </w:tblPr>
      <w:tblGrid>
        <w:gridCol w:w="5407"/>
        <w:gridCol w:w="5407"/>
      </w:tblGrid>
      <w:tr>
        <w:trPr>
          <w:trHeight w:hRule="exact" w:val="312"/>
        </w:trPr>
        <w:tc>
          <w:tcPr>
            <w:tcW w:type="dxa" w:w="1246"/>
            <w:tcBorders/>
            <w:shd w:fill="db252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8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 xml:space="preserve"> CRITICAL </w:t>
            </w:r>
          </w:p>
        </w:tc>
        <w:tc>
          <w:tcPr>
            <w:tcW w:type="dxa" w:w="93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A3E5C"/>
                <w:sz w:val="19"/>
              </w:rPr>
              <w:t>18% of Low Income households downgrade to Most in Need housing — subsidy burden +22% (SAR 1.8B)</w:t>
            </w:r>
          </w:p>
        </w:tc>
      </w:tr>
      <w:tr>
        <w:trPr>
          <w:trHeight w:hRule="exact" w:val="396"/>
        </w:trPr>
        <w:tc>
          <w:tcPr>
            <w:tcW w:type="dxa" w:w="12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246"/>
            </w:tblGrid>
            <w:tr>
              <w:trPr>
                <w:trHeight w:hRule="exact" w:val="292"/>
              </w:trPr>
              <w:tc>
                <w:tcPr>
                  <w:tcW w:type="dxa" w:w="1246"/>
                  <w:tcBorders/>
                  <w:shd w:fill="db252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0" w:after="0"/>
                    <w:ind w:left="56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16"/>
                    </w:rPr>
                    <w:t xml:space="preserve"> CRITICAL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3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6" w:after="0"/>
              <w:ind w:left="17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A3E5C"/>
                <w:sz w:val="19"/>
              </w:rPr>
              <w:t>Riyadh Most in Need gap: 12,400 units (Y3). Pipeline covers only 35%.</w:t>
            </w:r>
          </w:p>
        </w:tc>
      </w:tr>
      <w:tr>
        <w:trPr>
          <w:trHeight w:hRule="exact" w:val="398"/>
        </w:trPr>
        <w:tc>
          <w:tcPr>
            <w:tcW w:type="dxa" w:w="12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246"/>
            </w:tblGrid>
            <w:tr>
              <w:trPr>
                <w:trHeight w:hRule="exact" w:val="292"/>
              </w:trPr>
              <w:tc>
                <w:tcPr>
                  <w:tcW w:type="dxa" w:w="1246"/>
                  <w:tcBorders/>
                  <w:shd w:fill="d97705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8" w:after="0"/>
                    <w:ind w:left="56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16"/>
                    </w:rPr>
                    <w:t xml:space="preserve"> HIGH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3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6" w:after="0"/>
              <w:ind w:left="17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A3E5C"/>
                <w:sz w:val="19"/>
              </w:rPr>
              <w:t>Most in Need conversion rate 52% vs High Income 78% — margin disincentives.</w:t>
            </w:r>
          </w:p>
        </w:tc>
      </w:tr>
      <w:tr>
        <w:trPr>
          <w:trHeight w:hRule="exact" w:val="396"/>
        </w:trPr>
        <w:tc>
          <w:tcPr>
            <w:tcW w:type="dxa" w:w="12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246"/>
            </w:tblGrid>
            <w:tr>
              <w:trPr>
                <w:trHeight w:hRule="exact" w:val="292"/>
              </w:trPr>
              <w:tc>
                <w:tcPr>
                  <w:tcW w:type="dxa" w:w="1246"/>
                  <w:tcBorders/>
                  <w:shd w:fill="049569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0" w:after="0"/>
                    <w:ind w:left="56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16"/>
                    </w:rPr>
                    <w:t xml:space="preserve"> POSITIVE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3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6" w:after="0"/>
              <w:ind w:left="17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A3E5C"/>
                <w:sz w:val="19"/>
              </w:rPr>
              <w:t>3 A-grade developers identified; 4,200 units/yr immediate capacity.</w:t>
            </w:r>
          </w:p>
        </w:tc>
      </w:tr>
    </w:tbl>
    <w:p>
      <w:pPr>
        <w:autoSpaceDN w:val="0"/>
        <w:autoSpaceDE w:val="0"/>
        <w:widowControl/>
        <w:spacing w:line="288" w:lineRule="auto" w:before="296" w:after="0"/>
        <w:ind w:left="68" w:right="0" w:firstLine="0"/>
        <w:jc w:val="left"/>
      </w:pPr>
      <w:r>
        <w:rPr>
          <w:rFonts w:ascii="Arial" w:hAnsi="Arial" w:eastAsia="Arial"/>
          <w:b/>
          <w:i w:val="0"/>
          <w:color w:val="1A3E5C"/>
          <w:sz w:val="19"/>
        </w:rPr>
        <w:t xml:space="preserve">PRIMARY RECOMMENDATION: Deploy Combo #1 Quick-Win Supply Stack (M1+M2+M3). Closure: 35%→97% at SAR </w:t>
      </w:r>
      <w:r>
        <w:rPr>
          <w:rFonts w:ascii="Arial" w:hAnsi="Arial" w:eastAsia="Arial"/>
          <w:b/>
          <w:i w:val="0"/>
          <w:color w:val="1A3E5C"/>
          <w:sz w:val="19"/>
        </w:rPr>
        <w:t>485/unit. Do NOT reduce down payment — widens gap.</w:t>
      </w:r>
    </w:p>
    <w:p>
      <w:pPr>
        <w:autoSpaceDN w:val="0"/>
        <w:autoSpaceDE w:val="0"/>
        <w:widowControl/>
        <w:spacing w:line="235" w:lineRule="auto" w:before="496" w:after="0"/>
        <w:ind w:left="408" w:right="0" w:firstLine="0"/>
        <w:jc w:val="left"/>
      </w:pPr>
      <w:r>
        <w:rPr>
          <w:rFonts w:ascii="Arial" w:hAnsi="Arial" w:eastAsia="Arial"/>
          <w:b/>
          <w:i w:val="0"/>
          <w:color w:val="1A3E5C"/>
          <w:sz w:val="26"/>
        </w:rPr>
        <w:t>2.  Data Quality Assurance</w:t>
      </w:r>
    </w:p>
    <w:p>
      <w:pPr>
        <w:autoSpaceDN w:val="0"/>
        <w:autoSpaceDE w:val="0"/>
        <w:widowControl/>
        <w:spacing w:line="288" w:lineRule="auto" w:before="560" w:after="0"/>
        <w:ind w:left="68" w:right="0" w:firstLine="0"/>
        <w:jc w:val="left"/>
      </w:pPr>
      <w:r>
        <w:rPr>
          <w:rFonts w:ascii="Arial" w:hAnsi="Arial" w:eastAsia="Arial"/>
          <w:b w:val="0"/>
          <w:i w:val="0"/>
          <w:color w:val="1A3E5C"/>
          <w:sz w:val="19"/>
        </w:rPr>
        <w:t xml:space="preserve">11  sources  verified  in  12  seconds.  Overall  score:  94.2/100.  1  source  degraded:  DS-07  MOJ  Prices  (3-day  delay,  88% </w:t>
      </w:r>
      <w:r>
        <w:rPr>
          <w:rFonts w:ascii="Arial" w:hAnsi="Arial" w:eastAsia="Arial"/>
          <w:b w:val="0"/>
          <w:i w:val="0"/>
          <w:color w:val="1A3E5C"/>
          <w:sz w:val="19"/>
        </w:rPr>
        <w:t>confidence). Ticket #DQ-2407.</w:t>
      </w:r>
    </w:p>
    <w:p>
      <w:pPr>
        <w:autoSpaceDN w:val="0"/>
        <w:autoSpaceDE w:val="0"/>
        <w:widowControl/>
        <w:spacing w:line="233" w:lineRule="auto" w:before="496" w:after="0"/>
        <w:ind w:left="408" w:right="0" w:firstLine="0"/>
        <w:jc w:val="left"/>
      </w:pPr>
      <w:r>
        <w:rPr>
          <w:rFonts w:ascii="Arial" w:hAnsi="Arial" w:eastAsia="Arial"/>
          <w:b/>
          <w:i w:val="0"/>
          <w:color w:val="1A3E5C"/>
          <w:sz w:val="26"/>
        </w:rPr>
        <w:t>3.  Macro-Economic Impact Analysis</w:t>
      </w:r>
    </w:p>
    <w:p>
      <w:pPr>
        <w:autoSpaceDN w:val="0"/>
        <w:autoSpaceDE w:val="0"/>
        <w:widowControl/>
        <w:spacing w:line="307" w:lineRule="auto" w:before="560" w:after="0"/>
        <w:ind w:left="68" w:right="88" w:firstLine="0"/>
        <w:jc w:val="both"/>
      </w:pPr>
      <w:r>
        <w:rPr>
          <w:rFonts w:ascii="Arial" w:hAnsi="Arial" w:eastAsia="Arial"/>
          <w:b w:val="0"/>
          <w:i w:val="0"/>
          <w:color w:val="1A3E5C"/>
          <w:sz w:val="19"/>
        </w:rPr>
        <w:t xml:space="preserve">Pearson r analysis: Interest rate is dominant driver (r = -0.90 vs prices, -0.85 vs demand). Population growth drives structurally </w:t>
      </w:r>
      <w:r>
        <w:rPr>
          <w:rFonts w:ascii="Arial" w:hAnsi="Arial" w:eastAsia="Arial"/>
          <w:b w:val="0"/>
          <w:i w:val="0"/>
          <w:color w:val="1A3E5C"/>
          <w:sz w:val="19"/>
        </w:rPr>
        <w:t xml:space="preserve">(r = +0.92). |r|&gt;0.6 threshold identifies 4 robust indicators. A 100bps hike historically correlates with 3.8% average price decline </w:t>
      </w:r>
      <w:r>
        <w:rPr>
          <w:rFonts w:ascii="Arial" w:hAnsi="Arial" w:eastAsia="Arial"/>
          <w:b w:val="0"/>
          <w:i w:val="0"/>
          <w:color w:val="1A3E5C"/>
          <w:sz w:val="19"/>
        </w:rPr>
        <w:t>in Riyadh over 12 months.</w:t>
      </w:r>
    </w:p>
    <w:p>
      <w:pPr>
        <w:autoSpaceDN w:val="0"/>
        <w:autoSpaceDE w:val="0"/>
        <w:widowControl/>
        <w:spacing w:line="240" w:lineRule="auto" w:before="172" w:after="0"/>
        <w:ind w:left="29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120130" cy="32956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5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3" w:lineRule="auto" w:before="1132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64748B"/>
          <w:sz w:val="14"/>
        </w:rPr>
        <w:t>Saudi DGA Platforms Code | Page 2</w:t>
      </w:r>
    </w:p>
    <w:p>
      <w:pPr>
        <w:sectPr>
          <w:pgSz w:w="11906" w:h="16838"/>
          <w:pgMar w:top="298" w:right="536" w:bottom="27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88" w:firstLine="0"/>
        <w:jc w:val="right"/>
      </w:pPr>
      <w:r>
        <w:rPr>
          <w:rFonts w:ascii="Arial" w:hAnsi="Arial" w:eastAsia="Arial"/>
          <w:b w:val="0"/>
          <w:i w:val="0"/>
          <w:color w:val="64748B"/>
          <w:sz w:val="14"/>
        </w:rPr>
        <w:t>DSO-2026-0619-URG-001  |  CONFIDENTIAL  |  MOMAH — Housing Support Agency</w:t>
      </w:r>
    </w:p>
    <w:p>
      <w:pPr>
        <w:autoSpaceDN w:val="0"/>
        <w:autoSpaceDE w:val="0"/>
        <w:widowControl/>
        <w:spacing w:line="235" w:lineRule="auto" w:before="422" w:after="0"/>
        <w:ind w:left="408" w:right="0" w:firstLine="0"/>
        <w:jc w:val="left"/>
      </w:pPr>
      <w:r>
        <w:rPr>
          <w:rFonts w:ascii="Arial" w:hAnsi="Arial" w:eastAsia="Arial"/>
          <w:b/>
          <w:i w:val="0"/>
          <w:color w:val="1A3E5C"/>
          <w:sz w:val="26"/>
        </w:rPr>
        <w:t>4.  Demand Forecast &amp; Housing Type Downgrade</w:t>
      </w:r>
    </w:p>
    <w:p>
      <w:pPr>
        <w:autoSpaceDN w:val="0"/>
        <w:autoSpaceDE w:val="0"/>
        <w:widowControl/>
        <w:spacing w:line="288" w:lineRule="auto" w:before="560" w:after="0"/>
        <w:ind w:left="68" w:right="0" w:firstLine="0"/>
        <w:jc w:val="left"/>
      </w:pPr>
      <w:r>
        <w:rPr>
          <w:rFonts w:ascii="Arial" w:hAnsi="Arial" w:eastAsia="Arial"/>
          <w:b w:val="0"/>
          <w:i w:val="0"/>
          <w:color w:val="1A3E5C"/>
          <w:sz w:val="19"/>
        </w:rPr>
        <w:t xml:space="preserve">Most in Need grows at +11% CAGR (14,200→21,600 by 2030). Low Income contracts -6.8% (11,800→8,900). This is forced </w:t>
      </w:r>
      <w:r>
        <w:rPr>
          <w:rFonts w:ascii="Arial" w:hAnsi="Arial" w:eastAsia="Arial"/>
          <w:b w:val="0"/>
          <w:i w:val="0"/>
          <w:color w:val="1A3E5C"/>
          <w:sz w:val="19"/>
        </w:rPr>
        <w:t>migration — NOT organic growth — driven by reduced affordability under rate shock.</w:t>
      </w:r>
    </w:p>
    <w:p>
      <w:pPr>
        <w:autoSpaceDN w:val="0"/>
        <w:autoSpaceDE w:val="0"/>
        <w:widowControl/>
        <w:spacing w:line="240" w:lineRule="auto" w:before="172" w:after="0"/>
        <w:ind w:left="29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120130" cy="32143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14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26" w:after="0"/>
        <w:ind w:left="29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120130" cy="26733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7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88" w:lineRule="auto" w:before="266" w:after="0"/>
        <w:ind w:left="68" w:right="0" w:firstLine="0"/>
        <w:jc w:val="left"/>
      </w:pPr>
      <w:r>
        <w:rPr>
          <w:rFonts w:ascii="Arial" w:hAnsi="Arial" w:eastAsia="Arial"/>
          <w:b/>
          <w:i w:val="0"/>
          <w:color w:val="1A3E5C"/>
          <w:sz w:val="19"/>
        </w:rPr>
        <w:t xml:space="preserve">CRITICAL: The 18% downgrade from Low Income to Most in Need is a structural realignment. Households will NOT </w:t>
      </w:r>
      <w:r>
        <w:rPr>
          <w:rFonts w:ascii="Arial" w:hAnsi="Arial" w:eastAsia="Arial"/>
          <w:b/>
          <w:i w:val="0"/>
          <w:color w:val="1A3E5C"/>
          <w:sz w:val="19"/>
        </w:rPr>
        <w:t>"bounce back" when rates decline — income trajectory has permanently diverged from housing price trajectory.</w:t>
      </w:r>
    </w:p>
    <w:p>
      <w:pPr>
        <w:autoSpaceDN w:val="0"/>
        <w:autoSpaceDE w:val="0"/>
        <w:widowControl/>
        <w:spacing w:line="233" w:lineRule="auto" w:before="312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64748B"/>
          <w:sz w:val="14"/>
        </w:rPr>
        <w:t>Saudi DGA Platforms Code | Page 3</w:t>
      </w:r>
    </w:p>
    <w:p>
      <w:pPr>
        <w:sectPr>
          <w:pgSz w:w="11906" w:h="16838"/>
          <w:pgMar w:top="298" w:right="536" w:bottom="27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88" w:firstLine="0"/>
        <w:jc w:val="right"/>
      </w:pPr>
      <w:r>
        <w:rPr>
          <w:rFonts w:ascii="Arial" w:hAnsi="Arial" w:eastAsia="Arial"/>
          <w:b w:val="0"/>
          <w:i w:val="0"/>
          <w:color w:val="64748B"/>
          <w:sz w:val="14"/>
        </w:rPr>
        <w:t>DSO-2026-0619-URG-001  |  CONFIDENTIAL  |  MOMAH — Housing Support Agency</w:t>
      </w:r>
    </w:p>
    <w:p>
      <w:pPr>
        <w:autoSpaceDN w:val="0"/>
        <w:autoSpaceDE w:val="0"/>
        <w:widowControl/>
        <w:spacing w:line="235" w:lineRule="auto" w:before="422" w:after="0"/>
        <w:ind w:left="408" w:right="0" w:firstLine="0"/>
        <w:jc w:val="left"/>
      </w:pPr>
      <w:r>
        <w:rPr>
          <w:rFonts w:ascii="Arial" w:hAnsi="Arial" w:eastAsia="Arial"/>
          <w:b/>
          <w:i w:val="0"/>
          <w:color w:val="1A3E5C"/>
          <w:sz w:val="26"/>
        </w:rPr>
        <w:t>5.  Supply-Demand Gap Analysis</w:t>
      </w:r>
    </w:p>
    <w:p>
      <w:pPr>
        <w:autoSpaceDN w:val="0"/>
        <w:autoSpaceDE w:val="0"/>
        <w:widowControl/>
        <w:spacing w:line="233" w:lineRule="auto" w:before="56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1A3E5C"/>
          <w:sz w:val="19"/>
        </w:rPr>
        <w:t>Fundamental mismatch: 72% supply pipeline targets Mid-High Income, while demand shock concentrates in Most in Need-Low</w:t>
      </w:r>
    </w:p>
    <w:p>
      <w:pPr>
        <w:autoSpaceDN w:val="0"/>
        <w:autoSpaceDE w:val="0"/>
        <w:widowControl/>
        <w:spacing w:line="233" w:lineRule="auto" w:before="100" w:after="0"/>
        <w:ind w:left="68" w:right="0" w:firstLine="0"/>
        <w:jc w:val="left"/>
      </w:pPr>
      <w:r>
        <w:rPr>
          <w:rFonts w:ascii="Arial" w:hAnsi="Arial" w:eastAsia="Arial"/>
          <w:b w:val="0"/>
          <w:i w:val="0"/>
          <w:color w:val="1A3E5C"/>
          <w:sz w:val="19"/>
        </w:rPr>
        <w:t>Income. NOT a quantity crisis — a product-market mismatch.</w:t>
      </w:r>
    </w:p>
    <w:p>
      <w:pPr>
        <w:autoSpaceDN w:val="0"/>
        <w:autoSpaceDE w:val="0"/>
        <w:widowControl/>
        <w:spacing w:line="240" w:lineRule="auto" w:before="172" w:after="0"/>
        <w:ind w:left="29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120130" cy="3124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5" w:lineRule="auto" w:before="266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1A3E5C"/>
          <w:sz w:val="19"/>
        </w:rPr>
        <w:t>Riyadh  Most  in  Need  root  causes:  Demand  downgrade  48%  |  Pipeline  mismatch  32%  |  Low  conversion  14%  |  Developer</w:t>
      </w:r>
    </w:p>
    <w:p>
      <w:pPr>
        <w:autoSpaceDN w:val="0"/>
        <w:autoSpaceDE w:val="0"/>
        <w:widowControl/>
        <w:spacing w:line="233" w:lineRule="auto" w:before="98" w:after="0"/>
        <w:ind w:left="68" w:right="0" w:firstLine="0"/>
        <w:jc w:val="left"/>
      </w:pPr>
      <w:r>
        <w:rPr>
          <w:rFonts w:ascii="Arial" w:hAnsi="Arial" w:eastAsia="Arial"/>
          <w:b w:val="0"/>
          <w:i w:val="0"/>
          <w:color w:val="1A3E5C"/>
          <w:sz w:val="19"/>
        </w:rPr>
        <w:t>priority 6%. Pessimistic: gap → 17,200 (+39%).</w:t>
      </w:r>
    </w:p>
    <w:p>
      <w:pPr>
        <w:autoSpaceDN w:val="0"/>
        <w:autoSpaceDE w:val="0"/>
        <w:widowControl/>
        <w:spacing w:line="233" w:lineRule="auto" w:before="7698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64748B"/>
          <w:sz w:val="14"/>
        </w:rPr>
        <w:t>Saudi DGA Platforms Code | Page 4</w:t>
      </w:r>
    </w:p>
    <w:p>
      <w:pPr>
        <w:sectPr>
          <w:pgSz w:w="11906" w:h="16838"/>
          <w:pgMar w:top="298" w:right="536" w:bottom="27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88" w:firstLine="0"/>
        <w:jc w:val="right"/>
      </w:pPr>
      <w:r>
        <w:rPr>
          <w:rFonts w:ascii="Arial" w:hAnsi="Arial" w:eastAsia="Arial"/>
          <w:b w:val="0"/>
          <w:i w:val="0"/>
          <w:color w:val="64748B"/>
          <w:sz w:val="14"/>
        </w:rPr>
        <w:t>DSO-2026-0619-URG-001  |  CONFIDENTIAL  |  MOMAH — Housing Support Agency</w:t>
      </w:r>
    </w:p>
    <w:p>
      <w:pPr>
        <w:autoSpaceDN w:val="0"/>
        <w:autoSpaceDE w:val="0"/>
        <w:widowControl/>
        <w:spacing w:line="235" w:lineRule="auto" w:before="422" w:after="0"/>
        <w:ind w:left="408" w:right="0" w:firstLine="0"/>
        <w:jc w:val="left"/>
      </w:pPr>
      <w:r>
        <w:rPr>
          <w:rFonts w:ascii="Arial" w:hAnsi="Arial" w:eastAsia="Arial"/>
          <w:b/>
          <w:i w:val="0"/>
          <w:color w:val="1A3E5C"/>
          <w:sz w:val="26"/>
        </w:rPr>
        <w:t>6.  Supply Pipeline &amp; Developer Assessment</w:t>
      </w:r>
    </w:p>
    <w:p>
      <w:pPr>
        <w:autoSpaceDN w:val="0"/>
        <w:autoSpaceDE w:val="0"/>
        <w:widowControl/>
        <w:spacing w:line="233" w:lineRule="auto" w:before="56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1A3E5C"/>
          <w:sz w:val="19"/>
        </w:rPr>
        <w:t>143 active Riyadh projects (ML model AUC 0.83). Conversion: Most in Need 52% vs High 78%. Even 100% conversion leaves</w:t>
      </w:r>
    </w:p>
    <w:p>
      <w:pPr>
        <w:autoSpaceDN w:val="0"/>
        <w:autoSpaceDE w:val="0"/>
        <w:widowControl/>
        <w:spacing w:line="233" w:lineRule="auto" w:before="100" w:after="0"/>
        <w:ind w:left="68" w:right="0" w:firstLine="0"/>
        <w:jc w:val="left"/>
      </w:pPr>
      <w:r>
        <w:rPr>
          <w:rFonts w:ascii="Arial" w:hAnsi="Arial" w:eastAsia="Arial"/>
          <w:b w:val="0"/>
          <w:i w:val="0"/>
          <w:color w:val="1A3E5C"/>
          <w:sz w:val="19"/>
        </w:rPr>
        <w:t>6,200-unit gap — new supply creation is mandatory.</w:t>
      </w:r>
    </w:p>
    <w:p>
      <w:pPr>
        <w:autoSpaceDN w:val="0"/>
        <w:autoSpaceDE w:val="0"/>
        <w:widowControl/>
        <w:spacing w:line="240" w:lineRule="auto" w:before="172" w:after="0"/>
        <w:ind w:left="29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120130" cy="27012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01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26" w:after="0"/>
        <w:ind w:left="29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120130" cy="52057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05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3" w:lineRule="auto" w:before="730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64748B"/>
          <w:sz w:val="14"/>
        </w:rPr>
        <w:t>Saudi DGA Platforms Code | Page 5</w:t>
      </w:r>
    </w:p>
    <w:p>
      <w:pPr>
        <w:sectPr>
          <w:pgSz w:w="11906" w:h="16838"/>
          <w:pgMar w:top="298" w:right="536" w:bottom="27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88" w:firstLine="0"/>
        <w:jc w:val="right"/>
      </w:pPr>
      <w:r>
        <w:rPr>
          <w:rFonts w:ascii="Arial" w:hAnsi="Arial" w:eastAsia="Arial"/>
          <w:b w:val="0"/>
          <w:i w:val="0"/>
          <w:color w:val="64748B"/>
          <w:sz w:val="14"/>
        </w:rPr>
        <w:t>DSO-2026-0619-URG-001  |  CONFIDENTIAL  |  MOMAH — Housing Support Agency</w:t>
      </w:r>
    </w:p>
    <w:p>
      <w:pPr>
        <w:autoSpaceDN w:val="0"/>
        <w:autoSpaceDE w:val="0"/>
        <w:widowControl/>
        <w:spacing w:line="235" w:lineRule="auto" w:before="422" w:after="0"/>
        <w:ind w:left="408" w:right="0" w:firstLine="0"/>
        <w:jc w:val="left"/>
      </w:pPr>
      <w:r>
        <w:rPr>
          <w:rFonts w:ascii="Arial" w:hAnsi="Arial" w:eastAsia="Arial"/>
          <w:b/>
          <w:i w:val="0"/>
          <w:color w:val="1A3E5C"/>
          <w:sz w:val="26"/>
        </w:rPr>
        <w:t>7.  Policy Response Matrix</w:t>
      </w:r>
    </w:p>
    <w:p>
      <w:pPr>
        <w:autoSpaceDN w:val="0"/>
        <w:autoSpaceDE w:val="0"/>
        <w:widowControl/>
        <w:spacing w:line="288" w:lineRule="auto" w:before="560" w:after="0"/>
        <w:ind w:left="68" w:right="0" w:firstLine="0"/>
        <w:jc w:val="left"/>
      </w:pPr>
      <w:r>
        <w:rPr>
          <w:rFonts w:ascii="Arial" w:hAnsi="Arial" w:eastAsia="Arial"/>
          <w:b w:val="0"/>
          <w:i w:val="0"/>
          <w:color w:val="1A3E5C"/>
          <w:sz w:val="19"/>
        </w:rPr>
        <w:t xml:space="preserve">Six countermeasures simulated via the UC-06 Policy Impact Engine. Supply Impact = national output (13 regions). Riyadh </w:t>
      </w:r>
      <w:r>
        <w:rPr>
          <w:rFonts w:ascii="Arial" w:hAnsi="Arial" w:eastAsia="Arial"/>
          <w:b w:val="0"/>
          <w:i w:val="0"/>
          <w:color w:val="1A3E5C"/>
          <w:sz w:val="19"/>
        </w:rPr>
        <w:t>captures ~60% due to developer concentration (48%) and Most in Need demand share (55%).</w:t>
      </w:r>
    </w:p>
    <w:p>
      <w:pPr>
        <w:autoSpaceDN w:val="0"/>
        <w:autoSpaceDE w:val="0"/>
        <w:widowControl/>
        <w:spacing w:line="233" w:lineRule="auto" w:before="346" w:after="248"/>
        <w:ind w:left="68" w:right="0" w:firstLine="0"/>
        <w:jc w:val="left"/>
      </w:pPr>
      <w:r>
        <w:rPr>
          <w:rFonts w:ascii="Arial" w:hAnsi="Arial" w:eastAsia="Arial"/>
          <w:b/>
          <w:i w:val="0"/>
          <w:color w:val="1E293B"/>
          <w:sz w:val="18"/>
        </w:rPr>
        <w:t>Table 1: Full Toolkit — Six Measures at a Glance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957" w:type="dxa"/>
      </w:tblPr>
      <w:tblGrid>
        <w:gridCol w:w="1545"/>
        <w:gridCol w:w="1545"/>
        <w:gridCol w:w="1545"/>
        <w:gridCol w:w="1545"/>
        <w:gridCol w:w="1545"/>
        <w:gridCol w:w="1545"/>
        <w:gridCol w:w="1545"/>
      </w:tblGrid>
      <w:tr>
        <w:trPr>
          <w:trHeight w:hRule="exact" w:val="398"/>
        </w:trPr>
        <w:tc>
          <w:tcPr>
            <w:tcW w:type="dxa" w:w="712"/>
            <w:tcBorders/>
            <w:shd w:fill="1a3d5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4" w:after="0"/>
              <w:ind w:left="0" w:right="41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#</w:t>
            </w:r>
          </w:p>
        </w:tc>
        <w:tc>
          <w:tcPr>
            <w:tcW w:type="dxa" w:w="1840"/>
            <w:tcBorders/>
            <w:shd w:fill="1a3d5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4" w:after="0"/>
              <w:ind w:left="42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Measure</w:t>
            </w:r>
          </w:p>
        </w:tc>
        <w:tc>
          <w:tcPr>
            <w:tcW w:type="dxa" w:w="2220"/>
            <w:tcBorders/>
            <w:shd w:fill="1a3d5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4" w:after="0"/>
              <w:ind w:left="0" w:right="59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Mechanism</w:t>
            </w:r>
          </w:p>
        </w:tc>
        <w:tc>
          <w:tcPr>
            <w:tcW w:type="dxa" w:w="2140"/>
            <w:tcBorders/>
            <w:shd w:fill="1a3d5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4" w:after="0"/>
              <w:ind w:left="0" w:right="15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Supply Impact (Nat'l)</w:t>
            </w:r>
          </w:p>
        </w:tc>
        <w:tc>
          <w:tcPr>
            <w:tcW w:type="dxa" w:w="1460"/>
            <w:tcBorders/>
            <w:shd w:fill="1a3d5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4" w:after="0"/>
              <w:ind w:left="17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Riyadh Closure</w:t>
            </w:r>
          </w:p>
        </w:tc>
        <w:tc>
          <w:tcPr>
            <w:tcW w:type="dxa" w:w="1100"/>
            <w:tcBorders/>
            <w:shd w:fill="1a3d5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Cost/yr</w:t>
            </w:r>
          </w:p>
        </w:tc>
        <w:tc>
          <w:tcPr>
            <w:tcW w:type="dxa" w:w="1186"/>
            <w:tcBorders/>
            <w:shd w:fill="1a3d5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Verdict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545"/>
        <w:gridCol w:w="1545"/>
        <w:gridCol w:w="1545"/>
        <w:gridCol w:w="1545"/>
        <w:gridCol w:w="1545"/>
        <w:gridCol w:w="1545"/>
        <w:gridCol w:w="1545"/>
      </w:tblGrid>
      <w:tr>
        <w:trPr>
          <w:trHeight w:hRule="exact" w:val="432"/>
        </w:trPr>
        <w:tc>
          <w:tcPr>
            <w:tcW w:type="dxa" w:w="512"/>
            <w:tcBorders>
              <w:start w:sz="9.119999885559082" w:val="single" w:color="#006B4E"/>
              <w:top w:sz="9.119999885559082" w:val="single" w:color="#006B4E"/>
              <w:end w:sz="9.119999885559082" w:val="single" w:color="#006B4E"/>
              <w:bottom w:sz="9.119999885559082" w:val="single" w:color="#006B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A3E5C"/>
                <w:sz w:val="14"/>
              </w:rPr>
              <w:t>M1</w:t>
            </w:r>
          </w:p>
        </w:tc>
        <w:tc>
          <w:tcPr>
            <w:tcW w:type="dxa" w:w="1814"/>
            <w:tcBorders>
              <w:start w:sz="9.119999885559082" w:val="single" w:color="#006B4E"/>
              <w:top w:sz="9.119999885559082" w:val="single" w:color="#006B4E"/>
              <w:end w:sz="9.119999885559082" w:val="single" w:color="#006B4E"/>
              <w:bottom w:sz="9.119999885559082" w:val="single" w:color="#006B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A3E5C"/>
                <w:sz w:val="14"/>
              </w:rPr>
              <w:t>Developer Subsidy +15%</w:t>
            </w:r>
          </w:p>
        </w:tc>
        <w:tc>
          <w:tcPr>
            <w:tcW w:type="dxa" w:w="2946"/>
            <w:tcBorders>
              <w:start w:sz="9.119999885559082" w:val="single" w:color="#006B4E"/>
              <w:top w:sz="9.119999885559082" w:val="single" w:color="#006B4E"/>
              <w:end w:sz="9.119999885559082" w:val="single" w:color="#006B4E"/>
              <w:bottom w:sz="9.119999885559082" w:val="single" w:color="#006B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A3E5C"/>
                <w:sz w:val="14"/>
              </w:rPr>
              <w:t xml:space="preserve">15% cost reimbursement on delivered Most </w:t>
            </w:r>
            <w:r>
              <w:rPr>
                <w:rFonts w:ascii="Arial" w:hAnsi="Arial" w:eastAsia="Arial"/>
                <w:b w:val="0"/>
                <w:i w:val="0"/>
                <w:color w:val="1A3E5C"/>
                <w:sz w:val="14"/>
              </w:rPr>
              <w:t>in Need/B units</w:t>
            </w:r>
          </w:p>
        </w:tc>
        <w:tc>
          <w:tcPr>
            <w:tcW w:type="dxa" w:w="1588"/>
            <w:tcBorders>
              <w:start w:sz="9.119999885559082" w:val="single" w:color="#006B4E"/>
              <w:top w:sz="9.119999885559082" w:val="single" w:color="#006B4E"/>
              <w:end w:sz="9.119999885559082" w:val="single" w:color="#006B4E"/>
              <w:bottom w:sz="9.119999885559082" w:val="single" w:color="#006B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A3E5C"/>
                <w:sz w:val="14"/>
              </w:rPr>
              <w:t>+3,100/yr (R:~1,860)</w:t>
            </w:r>
          </w:p>
        </w:tc>
        <w:tc>
          <w:tcPr>
            <w:tcW w:type="dxa" w:w="1476"/>
            <w:tcBorders>
              <w:start w:sz="9.119999885559082" w:val="single" w:color="#006B4E"/>
              <w:top w:sz="9.119999885559082" w:val="single" w:color="#006B4E"/>
              <w:end w:sz="9.119999885559082" w:val="single" w:color="#006B4E"/>
              <w:bottom w:sz="9.119999885559082" w:val="single" w:color="#006B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A3E5C"/>
                <w:sz w:val="14"/>
              </w:rPr>
              <w:t>35% -&gt; 85%</w:t>
            </w:r>
          </w:p>
        </w:tc>
        <w:tc>
          <w:tcPr>
            <w:tcW w:type="dxa" w:w="1134"/>
            <w:tcBorders>
              <w:start w:sz="9.119999885559082" w:val="single" w:color="#006B4E"/>
              <w:top w:sz="9.119999885559082" w:val="single" w:color="#006B4E"/>
              <w:end w:sz="9.119999885559082" w:val="single" w:color="#006B4E"/>
              <w:bottom w:sz="9.119999885559082" w:val="single" w:color="#006B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A3E5C"/>
                <w:sz w:val="14"/>
              </w:rPr>
              <w:t>SAR 2.4B</w:t>
            </w:r>
          </w:p>
        </w:tc>
        <w:tc>
          <w:tcPr>
            <w:tcW w:type="dxa" w:w="1188"/>
            <w:tcBorders>
              <w:start w:sz="9.119999885559082" w:val="single" w:color="#006B4E"/>
              <w:top w:sz="9.119999885559082" w:val="single" w:color="#006B4E"/>
              <w:end w:sz="9.119999885559082" w:val="single" w:color="#006B4E"/>
              <w:bottom w:sz="9.119999885559082" w:val="single" w:color="#006B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A3E5C"/>
                <w:sz w:val="14"/>
              </w:rPr>
              <w:t>PROCEED</w:t>
            </w:r>
          </w:p>
        </w:tc>
      </w:tr>
      <w:tr>
        <w:trPr>
          <w:trHeight w:hRule="exact" w:val="430"/>
        </w:trPr>
        <w:tc>
          <w:tcPr>
            <w:tcW w:type="dxa" w:w="512"/>
            <w:tcBorders>
              <w:start w:sz="9.119999885559082" w:val="single" w:color="#006B4E"/>
              <w:top w:sz="9.119999885559082" w:val="single" w:color="#006B4E"/>
              <w:end w:sz="9.119999885559082" w:val="single" w:color="#006B4E"/>
              <w:bottom w:sz="9.119999885559082" w:val="single" w:color="#006B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A3E5C"/>
                <w:sz w:val="14"/>
              </w:rPr>
              <w:t>M2</w:t>
            </w:r>
          </w:p>
        </w:tc>
        <w:tc>
          <w:tcPr>
            <w:tcW w:type="dxa" w:w="1814"/>
            <w:tcBorders>
              <w:start w:sz="9.119999885559082" w:val="single" w:color="#006B4E"/>
              <w:top w:sz="9.119999885559082" w:val="single" w:color="#006B4E"/>
              <w:end w:sz="9.119999885559082" w:val="single" w:color="#006B4E"/>
              <w:bottom w:sz="9.119999885559082" w:val="single" w:color="#006B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A3E5C"/>
                <w:sz w:val="14"/>
              </w:rPr>
              <w:t>Land Release 40%</w:t>
            </w:r>
          </w:p>
        </w:tc>
        <w:tc>
          <w:tcPr>
            <w:tcW w:type="dxa" w:w="2946"/>
            <w:tcBorders>
              <w:start w:sz="9.119999885559082" w:val="single" w:color="#006B4E"/>
              <w:top w:sz="9.119999885559082" w:val="single" w:color="#006B4E"/>
              <w:end w:sz="9.119999885559082" w:val="single" w:color="#006B4E"/>
              <w:bottom w:sz="9.119999885559082" w:val="single" w:color="#006B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" w:after="0"/>
              <w:ind w:left="144" w:right="144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A3E5C"/>
                <w:sz w:val="14"/>
              </w:rPr>
              <w:t xml:space="preserve">Release pre-zoned land below market for </w:t>
            </w:r>
            <w:r>
              <w:rPr>
                <w:rFonts w:ascii="Arial" w:hAnsi="Arial" w:eastAsia="Arial"/>
                <w:b w:val="0"/>
                <w:i w:val="0"/>
                <w:color w:val="1A3E5C"/>
                <w:sz w:val="14"/>
              </w:rPr>
              <w:t>Most in Need</w:t>
            </w:r>
          </w:p>
        </w:tc>
        <w:tc>
          <w:tcPr>
            <w:tcW w:type="dxa" w:w="1588"/>
            <w:tcBorders>
              <w:start w:sz="9.119999885559082" w:val="single" w:color="#006B4E"/>
              <w:top w:sz="9.119999885559082" w:val="single" w:color="#006B4E"/>
              <w:end w:sz="9.119999885559082" w:val="single" w:color="#006B4E"/>
              <w:bottom w:sz="9.119999885559082" w:val="single" w:color="#006B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A3E5C"/>
                <w:sz w:val="14"/>
              </w:rPr>
              <w:t>+2,000/yr (R:~1,200)</w:t>
            </w:r>
          </w:p>
        </w:tc>
        <w:tc>
          <w:tcPr>
            <w:tcW w:type="dxa" w:w="1476"/>
            <w:tcBorders>
              <w:start w:sz="9.119999885559082" w:val="single" w:color="#006B4E"/>
              <w:top w:sz="9.119999885559082" w:val="single" w:color="#006B4E"/>
              <w:end w:sz="9.119999885559082" w:val="single" w:color="#006B4E"/>
              <w:bottom w:sz="9.119999885559082" w:val="single" w:color="#006B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A3E5C"/>
                <w:sz w:val="14"/>
              </w:rPr>
              <w:t>+12 pp</w:t>
            </w:r>
          </w:p>
        </w:tc>
        <w:tc>
          <w:tcPr>
            <w:tcW w:type="dxa" w:w="1134"/>
            <w:tcBorders>
              <w:start w:sz="9.119999885559082" w:val="single" w:color="#006B4E"/>
              <w:top w:sz="9.119999885559082" w:val="single" w:color="#006B4E"/>
              <w:end w:sz="9.119999885559082" w:val="single" w:color="#006B4E"/>
              <w:bottom w:sz="9.119999885559082" w:val="single" w:color="#006B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A3E5C"/>
                <w:sz w:val="14"/>
              </w:rPr>
              <w:t>SAR 0.8B</w:t>
            </w:r>
          </w:p>
        </w:tc>
        <w:tc>
          <w:tcPr>
            <w:tcW w:type="dxa" w:w="1188"/>
            <w:tcBorders>
              <w:start w:sz="9.119999885559082" w:val="single" w:color="#006B4E"/>
              <w:top w:sz="9.119999885559082" w:val="single" w:color="#006B4E"/>
              <w:end w:sz="9.119999885559082" w:val="single" w:color="#006B4E"/>
              <w:bottom w:sz="9.119999885559082" w:val="single" w:color="#006B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A3E5C"/>
                <w:sz w:val="14"/>
              </w:rPr>
              <w:t>PROCEED</w:t>
            </w:r>
          </w:p>
        </w:tc>
      </w:tr>
      <w:tr>
        <w:trPr>
          <w:trHeight w:hRule="exact" w:val="432"/>
        </w:trPr>
        <w:tc>
          <w:tcPr>
            <w:tcW w:type="dxa" w:w="512"/>
            <w:tcBorders>
              <w:start w:sz="9.119999885559082" w:val="single" w:color="#006B4E"/>
              <w:top w:sz="9.119999885559082" w:val="single" w:color="#006B4E"/>
              <w:end w:sz="9.119999885559082" w:val="single" w:color="#006B4E"/>
              <w:bottom w:sz="9.119999885559082" w:val="single" w:color="#006B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4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A3E5C"/>
                <w:sz w:val="14"/>
              </w:rPr>
              <w:t>M3</w:t>
            </w:r>
          </w:p>
        </w:tc>
        <w:tc>
          <w:tcPr>
            <w:tcW w:type="dxa" w:w="1814"/>
            <w:tcBorders>
              <w:start w:sz="9.119999885559082" w:val="single" w:color="#006B4E"/>
              <w:top w:sz="9.119999885559082" w:val="single" w:color="#006B4E"/>
              <w:end w:sz="9.119999885559082" w:val="single" w:color="#006B4E"/>
              <w:bottom w:sz="9.119999885559082" w:val="single" w:color="#006B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A3E5C"/>
                <w:sz w:val="14"/>
              </w:rPr>
              <w:t>Expedited Permitting</w:t>
            </w:r>
          </w:p>
        </w:tc>
        <w:tc>
          <w:tcPr>
            <w:tcW w:type="dxa" w:w="2946"/>
            <w:tcBorders>
              <w:start w:sz="9.119999885559082" w:val="single" w:color="#006B4E"/>
              <w:top w:sz="9.119999885559082" w:val="single" w:color="#006B4E"/>
              <w:end w:sz="9.119999885559082" w:val="single" w:color="#006B4E"/>
              <w:bottom w:sz="9.119999885559082" w:val="single" w:color="#006B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" w:after="0"/>
              <w:ind w:left="144" w:right="144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A3E5C"/>
                <w:sz w:val="14"/>
              </w:rPr>
              <w:t xml:space="preserve">Consolidate 7-stage approval -&gt; 6-month </w:t>
            </w:r>
            <w:r>
              <w:rPr>
                <w:rFonts w:ascii="Arial" w:hAnsi="Arial" w:eastAsia="Arial"/>
                <w:b w:val="0"/>
                <w:i w:val="0"/>
                <w:color w:val="1A3E5C"/>
                <w:sz w:val="14"/>
              </w:rPr>
              <w:t>single window</w:t>
            </w:r>
          </w:p>
        </w:tc>
        <w:tc>
          <w:tcPr>
            <w:tcW w:type="dxa" w:w="1588"/>
            <w:tcBorders>
              <w:start w:sz="9.119999885559082" w:val="single" w:color="#006B4E"/>
              <w:top w:sz="9.119999885559082" w:val="single" w:color="#006B4E"/>
              <w:end w:sz="9.119999885559082" w:val="single" w:color="#006B4E"/>
              <w:bottom w:sz="9.119999885559082" w:val="single" w:color="#006B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A3E5C"/>
                <w:sz w:val="14"/>
              </w:rPr>
              <w:t>+1,500/yr (R:~900)</w:t>
            </w:r>
          </w:p>
        </w:tc>
        <w:tc>
          <w:tcPr>
            <w:tcW w:type="dxa" w:w="1476"/>
            <w:tcBorders>
              <w:start w:sz="9.119999885559082" w:val="single" w:color="#006B4E"/>
              <w:top w:sz="9.119999885559082" w:val="single" w:color="#006B4E"/>
              <w:end w:sz="9.119999885559082" w:val="single" w:color="#006B4E"/>
              <w:bottom w:sz="9.119999885559082" w:val="single" w:color="#006B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A3E5C"/>
                <w:sz w:val="14"/>
              </w:rPr>
              <w:t>+9 pp</w:t>
            </w:r>
          </w:p>
        </w:tc>
        <w:tc>
          <w:tcPr>
            <w:tcW w:type="dxa" w:w="1134"/>
            <w:tcBorders>
              <w:start w:sz="9.119999885559082" w:val="single" w:color="#006B4E"/>
              <w:top w:sz="9.119999885559082" w:val="single" w:color="#006B4E"/>
              <w:end w:sz="9.119999885559082" w:val="single" w:color="#006B4E"/>
              <w:bottom w:sz="9.119999885559082" w:val="single" w:color="#006B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A3E5C"/>
                <w:sz w:val="14"/>
              </w:rPr>
              <w:t>~Zero</w:t>
            </w:r>
          </w:p>
        </w:tc>
        <w:tc>
          <w:tcPr>
            <w:tcW w:type="dxa" w:w="1188"/>
            <w:tcBorders>
              <w:start w:sz="9.119999885559082" w:val="single" w:color="#006B4E"/>
              <w:top w:sz="9.119999885559082" w:val="single" w:color="#006B4E"/>
              <w:end w:sz="9.119999885559082" w:val="single" w:color="#006B4E"/>
              <w:bottom w:sz="9.119999885559082" w:val="single" w:color="#006B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" w:after="0"/>
              <w:ind w:left="144" w:right="144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A3E5C"/>
                <w:sz w:val="14"/>
              </w:rPr>
              <w:t xml:space="preserve">PROCEED </w:t>
            </w:r>
            <w:r>
              <w:rPr>
                <w:rFonts w:ascii="Arial" w:hAnsi="Arial" w:eastAsia="Arial"/>
                <w:b w:val="0"/>
                <w:i w:val="0"/>
                <w:color w:val="1A3E5C"/>
                <w:sz w:val="14"/>
              </w:rPr>
              <w:t>now</w:t>
            </w:r>
          </w:p>
        </w:tc>
      </w:tr>
      <w:tr>
        <w:trPr>
          <w:trHeight w:hRule="exact" w:val="428"/>
        </w:trPr>
        <w:tc>
          <w:tcPr>
            <w:tcW w:type="dxa" w:w="512"/>
            <w:tcBorders>
              <w:start w:sz="9.119999885559082" w:val="single" w:color="#006B4E"/>
              <w:top w:sz="9.119999885559082" w:val="single" w:color="#006B4E"/>
              <w:end w:sz="9.119999885559082" w:val="single" w:color="#006B4E"/>
              <w:bottom w:sz="9.119999885559082" w:val="single" w:color="#006B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A3E5C"/>
                <w:sz w:val="14"/>
              </w:rPr>
              <w:t>M4</w:t>
            </w:r>
          </w:p>
        </w:tc>
        <w:tc>
          <w:tcPr>
            <w:tcW w:type="dxa" w:w="1814"/>
            <w:tcBorders>
              <w:start w:sz="9.119999885559082" w:val="single" w:color="#006B4E"/>
              <w:top w:sz="9.119999885559082" w:val="single" w:color="#006B4E"/>
              <w:end w:sz="9.119999885559082" w:val="single" w:color="#006B4E"/>
              <w:bottom w:sz="9.119999885559082" w:val="single" w:color="#006B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A3E5C"/>
                <w:sz w:val="14"/>
              </w:rPr>
              <w:t>PPP 5,000-Unit Contract</w:t>
            </w:r>
          </w:p>
        </w:tc>
        <w:tc>
          <w:tcPr>
            <w:tcW w:type="dxa" w:w="2946"/>
            <w:tcBorders>
              <w:start w:sz="9.119999885559082" w:val="single" w:color="#006B4E"/>
              <w:top w:sz="9.119999885559082" w:val="single" w:color="#006B4E"/>
              <w:end w:sz="9.119999885559082" w:val="single" w:color="#006B4E"/>
              <w:bottom w:sz="9.119999885559082" w:val="single" w:color="#006B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A3E5C"/>
                <w:sz w:val="14"/>
              </w:rPr>
              <w:t>Bundled tender: land + off-take guarantee</w:t>
            </w:r>
          </w:p>
        </w:tc>
        <w:tc>
          <w:tcPr>
            <w:tcW w:type="dxa" w:w="1588"/>
            <w:tcBorders>
              <w:start w:sz="9.119999885559082" w:val="single" w:color="#006B4E"/>
              <w:top w:sz="9.119999885559082" w:val="single" w:color="#006B4E"/>
              <w:end w:sz="9.119999885559082" w:val="single" w:color="#006B4E"/>
              <w:bottom w:sz="9.119999885559082" w:val="single" w:color="#006B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A3E5C"/>
                <w:sz w:val="14"/>
              </w:rPr>
              <w:t>+5,000 (R:~3,000)</w:t>
            </w:r>
          </w:p>
        </w:tc>
        <w:tc>
          <w:tcPr>
            <w:tcW w:type="dxa" w:w="1476"/>
            <w:tcBorders>
              <w:start w:sz="9.119999885559082" w:val="single" w:color="#006B4E"/>
              <w:top w:sz="9.119999885559082" w:val="single" w:color="#006B4E"/>
              <w:end w:sz="9.119999885559082" w:val="single" w:color="#006B4E"/>
              <w:bottom w:sz="9.119999885559082" w:val="single" w:color="#006B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A3E5C"/>
                <w:sz w:val="14"/>
              </w:rPr>
              <w:t>+30 pp (Y2+)</w:t>
            </w:r>
          </w:p>
        </w:tc>
        <w:tc>
          <w:tcPr>
            <w:tcW w:type="dxa" w:w="1134"/>
            <w:tcBorders>
              <w:start w:sz="9.119999885559082" w:val="single" w:color="#006B4E"/>
              <w:top w:sz="9.119999885559082" w:val="single" w:color="#006B4E"/>
              <w:end w:sz="9.119999885559082" w:val="single" w:color="#006B4E"/>
              <w:bottom w:sz="9.119999885559082" w:val="single" w:color="#006B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" w:after="0"/>
              <w:ind w:left="144" w:right="144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A3E5C"/>
                <w:sz w:val="14"/>
              </w:rPr>
              <w:t xml:space="preserve">SAR 5.2B </w:t>
            </w:r>
            <w:r>
              <w:rPr>
                <w:rFonts w:ascii="Arial" w:hAnsi="Arial" w:eastAsia="Arial"/>
                <w:b w:val="0"/>
                <w:i w:val="0"/>
                <w:color w:val="1A3E5C"/>
                <w:sz w:val="14"/>
              </w:rPr>
              <w:t>one-time</w:t>
            </w:r>
          </w:p>
        </w:tc>
        <w:tc>
          <w:tcPr>
            <w:tcW w:type="dxa" w:w="1188"/>
            <w:tcBorders>
              <w:start w:sz="9.119999885559082" w:val="single" w:color="#006B4E"/>
              <w:top w:sz="9.119999885559082" w:val="single" w:color="#006B4E"/>
              <w:end w:sz="9.119999885559082" w:val="single" w:color="#006B4E"/>
              <w:bottom w:sz="9.119999885559082" w:val="single" w:color="#006B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A3E5C"/>
                <w:sz w:val="14"/>
              </w:rPr>
              <w:t>Phase Q4</w:t>
            </w:r>
          </w:p>
        </w:tc>
      </w:tr>
      <w:tr>
        <w:trPr>
          <w:trHeight w:hRule="exact" w:val="432"/>
        </w:trPr>
        <w:tc>
          <w:tcPr>
            <w:tcW w:type="dxa" w:w="512"/>
            <w:tcBorders>
              <w:start w:sz="9.119999885559082" w:val="single" w:color="#006B4E"/>
              <w:top w:sz="9.119999885559082" w:val="single" w:color="#006B4E"/>
              <w:end w:sz="9.119999885559082" w:val="single" w:color="#006B4E"/>
              <w:bottom w:sz="9.119999885559082" w:val="single" w:color="#006B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A3E5C"/>
                <w:sz w:val="14"/>
              </w:rPr>
              <w:t>M5</w:t>
            </w:r>
          </w:p>
        </w:tc>
        <w:tc>
          <w:tcPr>
            <w:tcW w:type="dxa" w:w="1814"/>
            <w:tcBorders>
              <w:start w:sz="9.119999885559082" w:val="single" w:color="#006B4E"/>
              <w:top w:sz="9.119999885559082" w:val="single" w:color="#006B4E"/>
              <w:end w:sz="9.119999885559082" w:val="single" w:color="#006B4E"/>
              <w:bottom w:sz="9.119999885559082" w:val="single" w:color="#006B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A3E5C"/>
                <w:sz w:val="14"/>
              </w:rPr>
              <w:t>Mortgage Subsidy +2pp</w:t>
            </w:r>
          </w:p>
        </w:tc>
        <w:tc>
          <w:tcPr>
            <w:tcW w:type="dxa" w:w="2946"/>
            <w:tcBorders>
              <w:start w:sz="9.119999885559082" w:val="single" w:color="#006B4E"/>
              <w:top w:sz="9.119999885559082" w:val="single" w:color="#006B4E"/>
              <w:end w:sz="9.119999885559082" w:val="single" w:color="#006B4E"/>
              <w:bottom w:sz="9.119999885559082" w:val="single" w:color="#006B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288" w:right="288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A3E5C"/>
                <w:sz w:val="14"/>
              </w:rPr>
              <w:t xml:space="preserve">Absorb 2pp rate for Most in Need/B </w:t>
            </w:r>
            <w:r>
              <w:rPr>
                <w:rFonts w:ascii="Arial" w:hAnsi="Arial" w:eastAsia="Arial"/>
                <w:b w:val="0"/>
                <w:i w:val="0"/>
                <w:color w:val="1A3E5C"/>
                <w:sz w:val="14"/>
              </w:rPr>
              <w:t>households (capped 8.4K)</w:t>
            </w:r>
          </w:p>
        </w:tc>
        <w:tc>
          <w:tcPr>
            <w:tcW w:type="dxa" w:w="1588"/>
            <w:tcBorders>
              <w:start w:sz="9.119999885559082" w:val="single" w:color="#006B4E"/>
              <w:top w:sz="9.119999885559082" w:val="single" w:color="#006B4E"/>
              <w:end w:sz="9.119999885559082" w:val="single" w:color="#006B4E"/>
              <w:bottom w:sz="9.119999885559082" w:val="single" w:color="#006B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A3E5C"/>
                <w:sz w:val="14"/>
              </w:rPr>
              <w:t>None</w:t>
            </w:r>
          </w:p>
        </w:tc>
        <w:tc>
          <w:tcPr>
            <w:tcW w:type="dxa" w:w="1476"/>
            <w:tcBorders>
              <w:start w:sz="9.119999885559082" w:val="single" w:color="#006B4E"/>
              <w:top w:sz="9.119999885559082" w:val="single" w:color="#006B4E"/>
              <w:end w:sz="9.119999885559082" w:val="single" w:color="#006B4E"/>
              <w:bottom w:sz="9.119999885559082" w:val="single" w:color="#006B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A3E5C"/>
                <w:sz w:val="14"/>
              </w:rPr>
              <w:t>Neutral</w:t>
            </w:r>
          </w:p>
        </w:tc>
        <w:tc>
          <w:tcPr>
            <w:tcW w:type="dxa" w:w="1134"/>
            <w:tcBorders>
              <w:start w:sz="9.119999885559082" w:val="single" w:color="#006B4E"/>
              <w:top w:sz="9.119999885559082" w:val="single" w:color="#006B4E"/>
              <w:end w:sz="9.119999885559082" w:val="single" w:color="#006B4E"/>
              <w:bottom w:sz="9.119999885559082" w:val="single" w:color="#006B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A3E5C"/>
                <w:sz w:val="14"/>
              </w:rPr>
              <w:t>SAR 3.1B</w:t>
            </w:r>
          </w:p>
        </w:tc>
        <w:tc>
          <w:tcPr>
            <w:tcW w:type="dxa" w:w="1188"/>
            <w:tcBorders>
              <w:start w:sz="9.119999885559082" w:val="single" w:color="#006B4E"/>
              <w:top w:sz="9.119999885559082" w:val="single" w:color="#006B4E"/>
              <w:end w:sz="9.119999885559082" w:val="single" w:color="#006B4E"/>
              <w:bottom w:sz="9.119999885559082" w:val="single" w:color="#006B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A3E5C"/>
                <w:sz w:val="14"/>
              </w:rPr>
              <w:t>CONDITIONAL</w:t>
            </w:r>
          </w:p>
        </w:tc>
      </w:tr>
      <w:tr>
        <w:trPr>
          <w:trHeight w:hRule="exact" w:val="430"/>
        </w:trPr>
        <w:tc>
          <w:tcPr>
            <w:tcW w:type="dxa" w:w="512"/>
            <w:tcBorders>
              <w:start w:sz="9.119999885559082" w:val="single" w:color="#006B4E"/>
              <w:top w:sz="9.119999885559082" w:val="single" w:color="#006B4E"/>
              <w:end w:sz="9.119999885559082" w:val="single" w:color="#006B4E"/>
              <w:bottom w:sz="9.119999885559082" w:val="single" w:color="#006B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A3E5C"/>
                <w:sz w:val="14"/>
              </w:rPr>
              <w:t>M6</w:t>
            </w:r>
          </w:p>
        </w:tc>
        <w:tc>
          <w:tcPr>
            <w:tcW w:type="dxa" w:w="1814"/>
            <w:tcBorders>
              <w:start w:sz="9.119999885559082" w:val="single" w:color="#006B4E"/>
              <w:top w:sz="9.119999885559082" w:val="single" w:color="#006B4E"/>
              <w:end w:sz="9.119999885559082" w:val="single" w:color="#006B4E"/>
              <w:bottom w:sz="9.119999885559082" w:val="single" w:color="#006B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144" w:right="144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A3E5C"/>
                <w:sz w:val="14"/>
              </w:rPr>
              <w:t xml:space="preserve">Lower Down Payment </w:t>
            </w:r>
            <w:r>
              <w:rPr>
                <w:rFonts w:ascii="Arial" w:hAnsi="Arial" w:eastAsia="Arial"/>
                <w:b w:val="0"/>
                <w:i w:val="0"/>
                <w:color w:val="1A3E5C"/>
                <w:sz w:val="14"/>
              </w:rPr>
              <w:t>10%-&gt;5%</w:t>
            </w:r>
          </w:p>
        </w:tc>
        <w:tc>
          <w:tcPr>
            <w:tcW w:type="dxa" w:w="2946"/>
            <w:tcBorders>
              <w:start w:sz="9.119999885559082" w:val="single" w:color="#006B4E"/>
              <w:top w:sz="9.119999885559082" w:val="single" w:color="#006B4E"/>
              <w:end w:sz="9.119999885559082" w:val="single" w:color="#006B4E"/>
              <w:bottom w:sz="9.119999885559082" w:val="single" w:color="#006B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288" w:right="288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A3E5C"/>
                <w:sz w:val="14"/>
              </w:rPr>
              <w:t xml:space="preserve">Expand buyer pool by reducing entry </w:t>
            </w:r>
            <w:r>
              <w:rPr>
                <w:rFonts w:ascii="Arial" w:hAnsi="Arial" w:eastAsia="Arial"/>
                <w:b w:val="0"/>
                <w:i w:val="0"/>
                <w:color w:val="1A3E5C"/>
                <w:sz w:val="14"/>
              </w:rPr>
              <w:t>barrier</w:t>
            </w:r>
          </w:p>
        </w:tc>
        <w:tc>
          <w:tcPr>
            <w:tcW w:type="dxa" w:w="1588"/>
            <w:tcBorders>
              <w:start w:sz="9.119999885559082" w:val="single" w:color="#006B4E"/>
              <w:top w:sz="9.119999885559082" w:val="single" w:color="#006B4E"/>
              <w:end w:sz="9.119999885559082" w:val="single" w:color="#006B4E"/>
              <w:bottom w:sz="9.119999885559082" w:val="single" w:color="#006B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A3E5C"/>
                <w:sz w:val="14"/>
              </w:rPr>
              <w:t>None (+2,600 buyers)</w:t>
            </w:r>
          </w:p>
        </w:tc>
        <w:tc>
          <w:tcPr>
            <w:tcW w:type="dxa" w:w="1476"/>
            <w:tcBorders>
              <w:start w:sz="9.119999885559082" w:val="single" w:color="#006B4E"/>
              <w:top w:sz="9.119999885559082" w:val="single" w:color="#006B4E"/>
              <w:end w:sz="9.119999885559082" w:val="single" w:color="#006B4E"/>
              <w:bottom w:sz="9.119999885559082" w:val="single" w:color="#006B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288" w:right="288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A3E5C"/>
                <w:sz w:val="14"/>
              </w:rPr>
              <w:t xml:space="preserve">35% -&gt; 38% </w:t>
            </w:r>
            <w:r>
              <w:rPr>
                <w:rFonts w:ascii="Arial" w:hAnsi="Arial" w:eastAsia="Arial"/>
                <w:b w:val="0"/>
                <w:i w:val="0"/>
                <w:color w:val="1A3E5C"/>
                <w:sz w:val="14"/>
              </w:rPr>
              <w:t>WORSENS</w:t>
            </w:r>
          </w:p>
        </w:tc>
        <w:tc>
          <w:tcPr>
            <w:tcW w:type="dxa" w:w="1134"/>
            <w:tcBorders>
              <w:start w:sz="9.119999885559082" w:val="single" w:color="#006B4E"/>
              <w:top w:sz="9.119999885559082" w:val="single" w:color="#006B4E"/>
              <w:end w:sz="9.119999885559082" w:val="single" w:color="#006B4E"/>
              <w:bottom w:sz="9.119999885559082" w:val="single" w:color="#006B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144" w:right="144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A3E5C"/>
                <w:sz w:val="14"/>
              </w:rPr>
              <w:t xml:space="preserve">~SAR 4B </w:t>
            </w:r>
            <w:r>
              <w:rPr>
                <w:rFonts w:ascii="Arial" w:hAnsi="Arial" w:eastAsia="Arial"/>
                <w:b w:val="0"/>
                <w:i w:val="0"/>
                <w:color w:val="1A3E5C"/>
                <w:sz w:val="14"/>
              </w:rPr>
              <w:t>hidden</w:t>
            </w:r>
          </w:p>
        </w:tc>
        <w:tc>
          <w:tcPr>
            <w:tcW w:type="dxa" w:w="1188"/>
            <w:tcBorders>
              <w:start w:sz="9.119999885559082" w:val="single" w:color="#006B4E"/>
              <w:top w:sz="9.119999885559082" w:val="single" w:color="#006B4E"/>
              <w:end w:sz="9.119999885559082" w:val="single" w:color="#006B4E"/>
              <w:bottom w:sz="9.119999885559082" w:val="single" w:color="#006B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A3E5C"/>
                <w:sz w:val="14"/>
              </w:rPr>
              <w:t>AVOID</w:t>
            </w:r>
          </w:p>
        </w:tc>
      </w:tr>
    </w:tbl>
    <w:p>
      <w:pPr>
        <w:autoSpaceDN w:val="0"/>
        <w:autoSpaceDE w:val="0"/>
        <w:widowControl/>
        <w:spacing w:line="274" w:lineRule="auto" w:before="238" w:after="0"/>
        <w:ind w:left="68" w:right="0" w:firstLine="0"/>
        <w:jc w:val="left"/>
      </w:pPr>
      <w:r>
        <w:rPr>
          <w:rFonts w:ascii="Arial" w:hAnsi="Arial" w:eastAsia="Arial"/>
          <w:b w:val="0"/>
          <w:i w:val="0"/>
          <w:color w:val="646464"/>
          <w:sz w:val="15"/>
        </w:rPr>
        <w:t xml:space="preserve">Note: Supply Impact = national output across all 13 regions. Riyadh captures ~60%. Gap Closure computed for Riyadh Most in Need, Y3 vs baseline 35% </w:t>
      </w:r>
      <w:r>
        <w:rPr>
          <w:rFonts w:ascii="Arial" w:hAnsi="Arial" w:eastAsia="Arial"/>
          <w:b w:val="0"/>
          <w:i w:val="0"/>
          <w:color w:val="646464"/>
          <w:sz w:val="15"/>
        </w:rPr>
        <w:t>corridor.</w:t>
      </w:r>
    </w:p>
    <w:p>
      <w:pPr>
        <w:autoSpaceDN w:val="0"/>
        <w:autoSpaceDE w:val="0"/>
        <w:widowControl/>
        <w:spacing w:line="314" w:lineRule="auto" w:before="306" w:after="0"/>
        <w:ind w:left="68" w:right="88" w:firstLine="0"/>
        <w:jc w:val="both"/>
      </w:pPr>
      <w:r>
        <w:rPr>
          <w:rFonts w:ascii="Arial" w:hAnsi="Arial" w:eastAsia="Arial"/>
          <w:b w:val="0"/>
          <w:i w:val="0"/>
          <w:color w:val="1A3E5C"/>
          <w:sz w:val="19"/>
        </w:rPr>
        <w:t xml:space="preserve">M1  is  the  keystone:  every  SAR  775  generates  1  Most  in  Need  unit  by  making  low-margin  projects  viable  for  B-grade </w:t>
      </w:r>
      <w:r>
        <w:rPr>
          <w:rFonts w:ascii="Arial" w:hAnsi="Arial" w:eastAsia="Arial"/>
          <w:b w:val="0"/>
          <w:i w:val="0"/>
          <w:color w:val="1A3E5C"/>
          <w:sz w:val="19"/>
        </w:rPr>
        <w:t>developers. Payment on delivery aligns incentives. M5 addresses symptom (household payment shock), not root cause —</w:t>
      </w:r>
      <w:r>
        <w:rPr>
          <w:rFonts w:ascii="Arial" w:hAnsi="Arial" w:eastAsia="Arial"/>
          <w:b w:val="0"/>
          <w:i w:val="0"/>
          <w:color w:val="1A3E5C"/>
          <w:sz w:val="19"/>
        </w:rPr>
        <w:t xml:space="preserve">ONLY deploy as capped complement after M1 is operational. M6 is politically attractive but economically counter-productive: </w:t>
      </w:r>
      <w:r>
        <w:rPr>
          <w:rFonts w:ascii="Arial" w:hAnsi="Arial" w:eastAsia="Arial"/>
          <w:b w:val="0"/>
          <w:i w:val="0"/>
          <w:color w:val="1A3E5C"/>
          <w:sz w:val="19"/>
        </w:rPr>
        <w:t>adds 2,600 buyers to zero new supply = textbook price inflation. DO NOT DEPLOY.</w:t>
      </w:r>
    </w:p>
    <w:p>
      <w:pPr>
        <w:autoSpaceDN w:val="0"/>
        <w:autoSpaceDE w:val="0"/>
        <w:widowControl/>
        <w:spacing w:line="240" w:lineRule="auto" w:before="172" w:after="0"/>
        <w:ind w:left="29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120130" cy="27165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16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3" w:lineRule="auto" w:before="552" w:after="0"/>
        <w:ind w:left="408" w:right="0" w:firstLine="0"/>
        <w:jc w:val="left"/>
      </w:pPr>
      <w:r>
        <w:rPr>
          <w:rFonts w:ascii="Arial" w:hAnsi="Arial" w:eastAsia="Arial"/>
          <w:b/>
          <w:i w:val="0"/>
          <w:color w:val="1A3E5C"/>
          <w:sz w:val="26"/>
        </w:rPr>
        <w:t>8.  Recommended Combination Strategy</w:t>
      </w:r>
    </w:p>
    <w:p>
      <w:pPr>
        <w:autoSpaceDN w:val="0"/>
        <w:autoSpaceDE w:val="0"/>
        <w:widowControl/>
        <w:spacing w:line="288" w:lineRule="auto" w:before="560" w:after="0"/>
        <w:ind w:left="68" w:right="0" w:firstLine="0"/>
        <w:jc w:val="left"/>
      </w:pPr>
      <w:r>
        <w:rPr>
          <w:rFonts w:ascii="Arial" w:hAnsi="Arial" w:eastAsia="Arial"/>
          <w:b w:val="0"/>
          <w:i w:val="0"/>
          <w:color w:val="1A3E5C"/>
          <w:sz w:val="19"/>
        </w:rPr>
        <w:t xml:space="preserve">Combinations ranked by cost-effectiveness (supply-first principle: every SAR 1 on supply yields ~0.7 units; every SAR 1 on </w:t>
      </w:r>
      <w:r>
        <w:rPr>
          <w:rFonts w:ascii="Arial" w:hAnsi="Arial" w:eastAsia="Arial"/>
          <w:b w:val="0"/>
          <w:i w:val="0"/>
          <w:color w:val="1A3E5C"/>
          <w:sz w:val="19"/>
        </w:rPr>
        <w:t>demand without supply chases same scarce stock).</w:t>
      </w:r>
    </w:p>
    <w:p>
      <w:pPr>
        <w:autoSpaceDN w:val="0"/>
        <w:autoSpaceDE w:val="0"/>
        <w:widowControl/>
        <w:spacing w:line="235" w:lineRule="auto" w:before="346" w:after="0"/>
        <w:ind w:left="68" w:right="0" w:firstLine="0"/>
        <w:jc w:val="left"/>
      </w:pPr>
      <w:r>
        <w:rPr>
          <w:rFonts w:ascii="Arial" w:hAnsi="Arial" w:eastAsia="Arial"/>
          <w:b/>
          <w:i w:val="0"/>
          <w:color w:val="1E293B"/>
          <w:sz w:val="18"/>
        </w:rPr>
        <w:t>Table 2: Four Combination Strategies — Cost-Effectiveness Ranking</w:t>
      </w:r>
    </w:p>
    <w:p>
      <w:pPr>
        <w:autoSpaceDN w:val="0"/>
        <w:autoSpaceDE w:val="0"/>
        <w:widowControl/>
        <w:spacing w:line="233" w:lineRule="auto" w:before="784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64748B"/>
          <w:sz w:val="14"/>
        </w:rPr>
        <w:t>Saudi DGA Platforms Code | Page 6</w:t>
      </w:r>
    </w:p>
    <w:p>
      <w:pPr>
        <w:sectPr>
          <w:pgSz w:w="11906" w:h="16838"/>
          <w:pgMar w:top="298" w:right="536" w:bottom="27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33" w:lineRule="auto" w:before="0" w:after="98"/>
        <w:ind w:left="0" w:right="202" w:firstLine="0"/>
        <w:jc w:val="right"/>
      </w:pPr>
      <w:r>
        <w:rPr>
          <w:rFonts w:ascii="Arial" w:hAnsi="Arial" w:eastAsia="Arial"/>
          <w:b w:val="0"/>
          <w:i w:val="0"/>
          <w:color w:val="64748B"/>
          <w:sz w:val="14"/>
        </w:rPr>
        <w:t>DSO-2026-0619-URG-001  |  CONFIDENTIAL  |  MOMAH — Housing Support Agency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.999999999999957" w:type="dxa"/>
      </w:tblPr>
      <w:tblGrid>
        <w:gridCol w:w="1366"/>
        <w:gridCol w:w="1366"/>
        <w:gridCol w:w="1366"/>
        <w:gridCol w:w="1366"/>
        <w:gridCol w:w="1366"/>
        <w:gridCol w:w="1366"/>
        <w:gridCol w:w="1366"/>
        <w:gridCol w:w="1366"/>
      </w:tblGrid>
      <w:tr>
        <w:trPr>
          <w:trHeight w:hRule="exact" w:val="398"/>
        </w:trPr>
        <w:tc>
          <w:tcPr>
            <w:tcW w:type="dxa" w:w="652"/>
            <w:tcBorders/>
            <w:shd w:fill="1a3d5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4" w:after="0"/>
              <w:ind w:left="0" w:right="38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#</w:t>
            </w:r>
          </w:p>
        </w:tc>
        <w:tc>
          <w:tcPr>
            <w:tcW w:type="dxa" w:w="1800"/>
            <w:tcBorders/>
            <w:shd w:fill="1a3d5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4" w:after="0"/>
              <w:ind w:left="39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Combination</w:t>
            </w:r>
          </w:p>
        </w:tc>
        <w:tc>
          <w:tcPr>
            <w:tcW w:type="dxa" w:w="1620"/>
            <w:tcBorders/>
            <w:shd w:fill="1a3d5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4" w:after="0"/>
              <w:ind w:left="0" w:right="40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Measures</w:t>
            </w:r>
          </w:p>
        </w:tc>
        <w:tc>
          <w:tcPr>
            <w:tcW w:type="dxa" w:w="1660"/>
            <w:tcBorders/>
            <w:shd w:fill="1a3d5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Gap Closure</w:t>
            </w:r>
          </w:p>
        </w:tc>
        <w:tc>
          <w:tcPr>
            <w:tcW w:type="dxa" w:w="1320"/>
            <w:tcBorders/>
            <w:shd w:fill="1a3d5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Units/yr</w:t>
            </w:r>
          </w:p>
        </w:tc>
        <w:tc>
          <w:tcPr>
            <w:tcW w:type="dxa" w:w="1180"/>
            <w:tcBorders/>
            <w:shd w:fill="1a3d5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4" w:after="0"/>
              <w:ind w:left="0" w:right="28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Cost/yr</w:t>
            </w:r>
          </w:p>
        </w:tc>
        <w:tc>
          <w:tcPr>
            <w:tcW w:type="dxa" w:w="1260"/>
            <w:tcBorders/>
            <w:shd w:fill="1a3d5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Cost/Unit</w:t>
            </w:r>
          </w:p>
        </w:tc>
        <w:tc>
          <w:tcPr>
            <w:tcW w:type="dxa" w:w="1392"/>
            <w:tcBorders/>
            <w:shd w:fill="1a3d5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4" w:after="0"/>
              <w:ind w:left="0" w:right="44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Decision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366"/>
        <w:gridCol w:w="1366"/>
        <w:gridCol w:w="1366"/>
        <w:gridCol w:w="1366"/>
        <w:gridCol w:w="1366"/>
        <w:gridCol w:w="1366"/>
        <w:gridCol w:w="1366"/>
        <w:gridCol w:w="1366"/>
      </w:tblGrid>
      <w:tr>
        <w:trPr>
          <w:trHeight w:hRule="exact" w:val="340"/>
        </w:trPr>
        <w:tc>
          <w:tcPr>
            <w:tcW w:type="dxa" w:w="454"/>
            <w:tcBorders>
              <w:start w:sz="9.119999885559082" w:val="single" w:color="#006B4E"/>
              <w:top w:sz="9.119999885559082" w:val="single" w:color="#006B4E"/>
              <w:end w:sz="9.119999885559082" w:val="single" w:color="#006B4E"/>
              <w:bottom w:sz="9.119999885559082" w:val="single" w:color="#006B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4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A3E5C"/>
                <w:sz w:val="14"/>
              </w:rPr>
              <w:t>1</w:t>
            </w:r>
          </w:p>
        </w:tc>
        <w:tc>
          <w:tcPr>
            <w:tcW w:type="dxa" w:w="2042"/>
            <w:tcBorders>
              <w:start w:sz="9.119999885559082" w:val="single" w:color="#006B4E"/>
              <w:top w:sz="9.119999885559082" w:val="single" w:color="#006B4E"/>
              <w:end w:sz="9.119999885559082" w:val="single" w:color="#006B4E"/>
              <w:bottom w:sz="9.119999885559082" w:val="single" w:color="#006B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A3E5C"/>
                <w:sz w:val="14"/>
              </w:rPr>
              <w:t>Quick-Win Supply Stack</w:t>
            </w:r>
          </w:p>
        </w:tc>
        <w:tc>
          <w:tcPr>
            <w:tcW w:type="dxa" w:w="1700"/>
            <w:tcBorders>
              <w:start w:sz="9.119999885559082" w:val="single" w:color="#006B4E"/>
              <w:top w:sz="9.119999885559082" w:val="single" w:color="#006B4E"/>
              <w:end w:sz="9.119999885559082" w:val="single" w:color="#006B4E"/>
              <w:bottom w:sz="9.119999885559082" w:val="single" w:color="#006B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A3E5C"/>
                <w:sz w:val="14"/>
              </w:rPr>
              <w:t>M1+M2+M3</w:t>
            </w:r>
          </w:p>
        </w:tc>
        <w:tc>
          <w:tcPr>
            <w:tcW w:type="dxa" w:w="1474"/>
            <w:tcBorders>
              <w:start w:sz="9.119999885559082" w:val="single" w:color="#006B4E"/>
              <w:top w:sz="9.119999885559082" w:val="single" w:color="#006B4E"/>
              <w:end w:sz="9.119999885559082" w:val="single" w:color="#006B4E"/>
              <w:bottom w:sz="9.119999885559082" w:val="single" w:color="#006B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A3E5C"/>
                <w:sz w:val="14"/>
              </w:rPr>
              <w:t>35% -&gt; 97%</w:t>
            </w:r>
          </w:p>
        </w:tc>
        <w:tc>
          <w:tcPr>
            <w:tcW w:type="dxa" w:w="1474"/>
            <w:tcBorders>
              <w:start w:sz="9.119999885559082" w:val="single" w:color="#006B4E"/>
              <w:top w:sz="9.119999885559082" w:val="single" w:color="#006B4E"/>
              <w:end w:sz="9.119999885559082" w:val="single" w:color="#006B4E"/>
              <w:bottom w:sz="9.119999885559082" w:val="single" w:color="#006B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A3E5C"/>
                <w:sz w:val="14"/>
              </w:rPr>
              <w:t>6,600</w:t>
            </w:r>
          </w:p>
        </w:tc>
        <w:tc>
          <w:tcPr>
            <w:tcW w:type="dxa" w:w="1134"/>
            <w:tcBorders>
              <w:start w:sz="9.119999885559082" w:val="single" w:color="#006B4E"/>
              <w:top w:sz="9.119999885559082" w:val="single" w:color="#006B4E"/>
              <w:end w:sz="9.119999885559082" w:val="single" w:color="#006B4E"/>
              <w:bottom w:sz="9.119999885559082" w:val="single" w:color="#006B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A3E5C"/>
                <w:sz w:val="14"/>
              </w:rPr>
              <w:t>SAR 3.2B</w:t>
            </w:r>
          </w:p>
        </w:tc>
        <w:tc>
          <w:tcPr>
            <w:tcW w:type="dxa" w:w="1134"/>
            <w:tcBorders>
              <w:start w:sz="9.119999885559082" w:val="single" w:color="#006B4E"/>
              <w:top w:sz="9.119999885559082" w:val="single" w:color="#006B4E"/>
              <w:end w:sz="9.119999885559082" w:val="single" w:color="#006B4E"/>
              <w:bottom w:sz="9.119999885559082" w:val="single" w:color="#006B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A3E5C"/>
                <w:sz w:val="14"/>
              </w:rPr>
              <w:t>SAR 485</w:t>
            </w:r>
          </w:p>
        </w:tc>
        <w:tc>
          <w:tcPr>
            <w:tcW w:type="dxa" w:w="1474"/>
            <w:tcBorders>
              <w:start w:sz="9.119999885559082" w:val="single" w:color="#006B4E"/>
              <w:top w:sz="9.119999885559082" w:val="single" w:color="#006B4E"/>
              <w:end w:sz="9.119999885559082" w:val="single" w:color="#006B4E"/>
              <w:bottom w:sz="9.119999885559082" w:val="single" w:color="#006B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A3E5C"/>
                <w:sz w:val="14"/>
              </w:rPr>
              <w:t>DEPLOY NOW</w:t>
            </w:r>
          </w:p>
        </w:tc>
      </w:tr>
      <w:tr>
        <w:trPr>
          <w:trHeight w:hRule="exact" w:val="340"/>
        </w:trPr>
        <w:tc>
          <w:tcPr>
            <w:tcW w:type="dxa" w:w="454"/>
            <w:tcBorders>
              <w:start w:sz="9.119999885559082" w:val="single" w:color="#006B4E"/>
              <w:top w:sz="9.119999885559082" w:val="single" w:color="#006B4E"/>
              <w:end w:sz="9.119999885559082" w:val="single" w:color="#006B4E"/>
              <w:bottom w:sz="9.119999885559082" w:val="single" w:color="#006B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4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A3E5C"/>
                <w:sz w:val="14"/>
              </w:rPr>
              <w:t>2</w:t>
            </w:r>
          </w:p>
        </w:tc>
        <w:tc>
          <w:tcPr>
            <w:tcW w:type="dxa" w:w="2042"/>
            <w:tcBorders>
              <w:start w:sz="9.119999885559082" w:val="single" w:color="#006B4E"/>
              <w:top w:sz="9.119999885559082" w:val="single" w:color="#006B4E"/>
              <w:end w:sz="9.119999885559082" w:val="single" w:color="#006B4E"/>
              <w:bottom w:sz="9.119999885559082" w:val="single" w:color="#006B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A3E5C"/>
                <w:sz w:val="14"/>
              </w:rPr>
              <w:t>Full Supply Acceleration</w:t>
            </w:r>
          </w:p>
        </w:tc>
        <w:tc>
          <w:tcPr>
            <w:tcW w:type="dxa" w:w="1700"/>
            <w:tcBorders>
              <w:start w:sz="9.119999885559082" w:val="single" w:color="#006B4E"/>
              <w:top w:sz="9.119999885559082" w:val="single" w:color="#006B4E"/>
              <w:end w:sz="9.119999885559082" w:val="single" w:color="#006B4E"/>
              <w:bottom w:sz="9.119999885559082" w:val="single" w:color="#006B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A3E5C"/>
                <w:sz w:val="14"/>
              </w:rPr>
              <w:t>M1-M4</w:t>
            </w:r>
          </w:p>
        </w:tc>
        <w:tc>
          <w:tcPr>
            <w:tcW w:type="dxa" w:w="1474"/>
            <w:tcBorders>
              <w:start w:sz="9.119999885559082" w:val="single" w:color="#006B4E"/>
              <w:top w:sz="9.119999885559082" w:val="single" w:color="#006B4E"/>
              <w:end w:sz="9.119999885559082" w:val="single" w:color="#006B4E"/>
              <w:bottom w:sz="9.119999885559082" w:val="single" w:color="#006B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A3E5C"/>
                <w:sz w:val="14"/>
              </w:rPr>
              <w:t>35% -&gt; 100%+</w:t>
            </w:r>
          </w:p>
        </w:tc>
        <w:tc>
          <w:tcPr>
            <w:tcW w:type="dxa" w:w="1474"/>
            <w:tcBorders>
              <w:start w:sz="9.119999885559082" w:val="single" w:color="#006B4E"/>
              <w:top w:sz="9.119999885559082" w:val="single" w:color="#006B4E"/>
              <w:end w:sz="9.119999885559082" w:val="single" w:color="#006B4E"/>
              <w:bottom w:sz="9.119999885559082" w:val="single" w:color="#006B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A3E5C"/>
                <w:sz w:val="14"/>
              </w:rPr>
              <w:t>11,600 cum.</w:t>
            </w:r>
          </w:p>
        </w:tc>
        <w:tc>
          <w:tcPr>
            <w:tcW w:type="dxa" w:w="1134"/>
            <w:tcBorders>
              <w:start w:sz="9.119999885559082" w:val="single" w:color="#006B4E"/>
              <w:top w:sz="9.119999885559082" w:val="single" w:color="#006B4E"/>
              <w:end w:sz="9.119999885559082" w:val="single" w:color="#006B4E"/>
              <w:bottom w:sz="9.119999885559082" w:val="single" w:color="#006B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A3E5C"/>
                <w:sz w:val="14"/>
              </w:rPr>
              <w:t>SAR 8.4B</w:t>
            </w:r>
          </w:p>
        </w:tc>
        <w:tc>
          <w:tcPr>
            <w:tcW w:type="dxa" w:w="1134"/>
            <w:tcBorders>
              <w:start w:sz="9.119999885559082" w:val="single" w:color="#006B4E"/>
              <w:top w:sz="9.119999885559082" w:val="single" w:color="#006B4E"/>
              <w:end w:sz="9.119999885559082" w:val="single" w:color="#006B4E"/>
              <w:bottom w:sz="9.119999885559082" w:val="single" w:color="#006B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A3E5C"/>
                <w:sz w:val="14"/>
              </w:rPr>
              <w:t>SAR 724</w:t>
            </w:r>
          </w:p>
        </w:tc>
        <w:tc>
          <w:tcPr>
            <w:tcW w:type="dxa" w:w="1474"/>
            <w:tcBorders>
              <w:start w:sz="9.119999885559082" w:val="single" w:color="#006B4E"/>
              <w:top w:sz="9.119999885559082" w:val="single" w:color="#006B4E"/>
              <w:end w:sz="9.119999885559082" w:val="single" w:color="#006B4E"/>
              <w:bottom w:sz="9.119999885559082" w:val="single" w:color="#006B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A3E5C"/>
                <w:sz w:val="14"/>
              </w:rPr>
              <w:t>Phase M4 Q4</w:t>
            </w:r>
          </w:p>
        </w:tc>
      </w:tr>
      <w:tr>
        <w:trPr>
          <w:trHeight w:hRule="exact" w:val="340"/>
        </w:trPr>
        <w:tc>
          <w:tcPr>
            <w:tcW w:type="dxa" w:w="454"/>
            <w:tcBorders>
              <w:start w:sz="9.119999885559082" w:val="single" w:color="#006B4E"/>
              <w:top w:sz="9.119999885559082" w:val="single" w:color="#006B4E"/>
              <w:end w:sz="9.119999885559082" w:val="single" w:color="#006B4E"/>
              <w:bottom w:sz="9.119999885559082" w:val="single" w:color="#006B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4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A3E5C"/>
                <w:sz w:val="14"/>
              </w:rPr>
              <w:t>3</w:t>
            </w:r>
          </w:p>
        </w:tc>
        <w:tc>
          <w:tcPr>
            <w:tcW w:type="dxa" w:w="2042"/>
            <w:tcBorders>
              <w:start w:sz="9.119999885559082" w:val="single" w:color="#006B4E"/>
              <w:top w:sz="9.119999885559082" w:val="single" w:color="#006B4E"/>
              <w:end w:sz="9.119999885559082" w:val="single" w:color="#006B4E"/>
              <w:bottom w:sz="9.119999885559082" w:val="single" w:color="#006B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A3E5C"/>
                <w:sz w:val="14"/>
              </w:rPr>
              <w:t>Balanced (Supply+Demand)</w:t>
            </w:r>
          </w:p>
        </w:tc>
        <w:tc>
          <w:tcPr>
            <w:tcW w:type="dxa" w:w="1700"/>
            <w:tcBorders>
              <w:start w:sz="9.119999885559082" w:val="single" w:color="#006B4E"/>
              <w:top w:sz="9.119999885559082" w:val="single" w:color="#006B4E"/>
              <w:end w:sz="9.119999885559082" w:val="single" w:color="#006B4E"/>
              <w:bottom w:sz="9.119999885559082" w:val="single" w:color="#006B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A3E5C"/>
                <w:sz w:val="14"/>
              </w:rPr>
              <w:t>M1+M5 (capped)</w:t>
            </w:r>
          </w:p>
        </w:tc>
        <w:tc>
          <w:tcPr>
            <w:tcW w:type="dxa" w:w="1474"/>
            <w:tcBorders>
              <w:start w:sz="9.119999885559082" w:val="single" w:color="#006B4E"/>
              <w:top w:sz="9.119999885559082" w:val="single" w:color="#006B4E"/>
              <w:end w:sz="9.119999885559082" w:val="single" w:color="#006B4E"/>
              <w:bottom w:sz="9.119999885559082" w:val="single" w:color="#006B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A3E5C"/>
                <w:sz w:val="14"/>
              </w:rPr>
              <w:t>35% -&gt; 78%</w:t>
            </w:r>
          </w:p>
        </w:tc>
        <w:tc>
          <w:tcPr>
            <w:tcW w:type="dxa" w:w="1474"/>
            <w:tcBorders>
              <w:start w:sz="9.119999885559082" w:val="single" w:color="#006B4E"/>
              <w:top w:sz="9.119999885559082" w:val="single" w:color="#006B4E"/>
              <w:end w:sz="9.119999885559082" w:val="single" w:color="#006B4E"/>
              <w:bottom w:sz="9.119999885559082" w:val="single" w:color="#006B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A3E5C"/>
                <w:sz w:val="14"/>
              </w:rPr>
              <w:t>3,100+8.4K prot.</w:t>
            </w:r>
          </w:p>
        </w:tc>
        <w:tc>
          <w:tcPr>
            <w:tcW w:type="dxa" w:w="1134"/>
            <w:tcBorders>
              <w:start w:sz="9.119999885559082" w:val="single" w:color="#006B4E"/>
              <w:top w:sz="9.119999885559082" w:val="single" w:color="#006B4E"/>
              <w:end w:sz="9.119999885559082" w:val="single" w:color="#006B4E"/>
              <w:bottom w:sz="9.119999885559082" w:val="single" w:color="#006B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A3E5C"/>
                <w:sz w:val="14"/>
              </w:rPr>
              <w:t>SAR 5.5B</w:t>
            </w:r>
          </w:p>
        </w:tc>
        <w:tc>
          <w:tcPr>
            <w:tcW w:type="dxa" w:w="1134"/>
            <w:tcBorders>
              <w:start w:sz="9.119999885559082" w:val="single" w:color="#006B4E"/>
              <w:top w:sz="9.119999885559082" w:val="single" w:color="#006B4E"/>
              <w:end w:sz="9.119999885559082" w:val="single" w:color="#006B4E"/>
              <w:bottom w:sz="9.119999885559082" w:val="single" w:color="#006B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A3E5C"/>
                <w:sz w:val="14"/>
              </w:rPr>
              <w:t>SAR 978</w:t>
            </w:r>
          </w:p>
        </w:tc>
        <w:tc>
          <w:tcPr>
            <w:tcW w:type="dxa" w:w="1474"/>
            <w:tcBorders>
              <w:start w:sz="9.119999885559082" w:val="single" w:color="#006B4E"/>
              <w:top w:sz="9.119999885559082" w:val="single" w:color="#006B4E"/>
              <w:end w:sz="9.119999885559082" w:val="single" w:color="#006B4E"/>
              <w:bottom w:sz="9.119999885559082" w:val="single" w:color="#006B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A3E5C"/>
                <w:sz w:val="14"/>
              </w:rPr>
              <w:t>If politically required</w:t>
            </w:r>
          </w:p>
        </w:tc>
      </w:tr>
      <w:tr>
        <w:trPr>
          <w:trHeight w:hRule="exact" w:val="340"/>
        </w:trPr>
        <w:tc>
          <w:tcPr>
            <w:tcW w:type="dxa" w:w="454"/>
            <w:tcBorders>
              <w:start w:sz="9.119999885559082" w:val="single" w:color="#006B4E"/>
              <w:top w:sz="9.119999885559082" w:val="single" w:color="#006B4E"/>
              <w:end w:sz="9.119999885559082" w:val="single" w:color="#006B4E"/>
              <w:bottom w:sz="9.119999885559082" w:val="single" w:color="#006B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A3E5C"/>
                <w:sz w:val="14"/>
              </w:rPr>
              <w:t>4</w:t>
            </w:r>
          </w:p>
        </w:tc>
        <w:tc>
          <w:tcPr>
            <w:tcW w:type="dxa" w:w="2042"/>
            <w:tcBorders>
              <w:start w:sz="9.119999885559082" w:val="single" w:color="#006B4E"/>
              <w:top w:sz="9.119999885559082" w:val="single" w:color="#006B4E"/>
              <w:end w:sz="9.119999885559082" w:val="single" w:color="#006B4E"/>
              <w:bottom w:sz="9.119999885559082" w:val="single" w:color="#006B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A3E5C"/>
                <w:sz w:val="14"/>
              </w:rPr>
              <w:t>Demand-Only (AVOID)</w:t>
            </w:r>
          </w:p>
        </w:tc>
        <w:tc>
          <w:tcPr>
            <w:tcW w:type="dxa" w:w="1700"/>
            <w:tcBorders>
              <w:start w:sz="9.119999885559082" w:val="single" w:color="#006B4E"/>
              <w:top w:sz="9.119999885559082" w:val="single" w:color="#006B4E"/>
              <w:end w:sz="9.119999885559082" w:val="single" w:color="#006B4E"/>
              <w:bottom w:sz="9.119999885559082" w:val="single" w:color="#006B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A3E5C"/>
                <w:sz w:val="14"/>
              </w:rPr>
              <w:t>M5+M6</w:t>
            </w:r>
          </w:p>
        </w:tc>
        <w:tc>
          <w:tcPr>
            <w:tcW w:type="dxa" w:w="1474"/>
            <w:tcBorders>
              <w:start w:sz="9.119999885559082" w:val="single" w:color="#006B4E"/>
              <w:top w:sz="9.119999885559082" w:val="single" w:color="#006B4E"/>
              <w:end w:sz="9.119999885559082" w:val="single" w:color="#006B4E"/>
              <w:bottom w:sz="9.119999885559082" w:val="single" w:color="#006B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A3E5C"/>
                <w:sz w:val="14"/>
              </w:rPr>
              <w:t>35% -&gt; 30%</w:t>
            </w:r>
          </w:p>
        </w:tc>
        <w:tc>
          <w:tcPr>
            <w:tcW w:type="dxa" w:w="1474"/>
            <w:tcBorders>
              <w:start w:sz="9.119999885559082" w:val="single" w:color="#006B4E"/>
              <w:top w:sz="9.119999885559082" w:val="single" w:color="#006B4E"/>
              <w:end w:sz="9.119999885559082" w:val="single" w:color="#006B4E"/>
              <w:bottom w:sz="9.119999885559082" w:val="single" w:color="#006B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A3E5C"/>
                <w:sz w:val="14"/>
              </w:rPr>
              <w:t>0</w:t>
            </w:r>
          </w:p>
        </w:tc>
        <w:tc>
          <w:tcPr>
            <w:tcW w:type="dxa" w:w="1134"/>
            <w:tcBorders>
              <w:start w:sz="9.119999885559082" w:val="single" w:color="#006B4E"/>
              <w:top w:sz="9.119999885559082" w:val="single" w:color="#006B4E"/>
              <w:end w:sz="9.119999885559082" w:val="single" w:color="#006B4E"/>
              <w:bottom w:sz="9.119999885559082" w:val="single" w:color="#006B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A3E5C"/>
                <w:sz w:val="14"/>
              </w:rPr>
              <w:t>SAR 4.7B</w:t>
            </w:r>
          </w:p>
        </w:tc>
        <w:tc>
          <w:tcPr>
            <w:tcW w:type="dxa" w:w="1134"/>
            <w:tcBorders>
              <w:start w:sz="9.119999885559082" w:val="single" w:color="#006B4E"/>
              <w:top w:sz="9.119999885559082" w:val="single" w:color="#006B4E"/>
              <w:end w:sz="9.119999885559082" w:val="single" w:color="#006B4E"/>
              <w:bottom w:sz="9.119999885559082" w:val="single" w:color="#006B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A3E5C"/>
                <w:sz w:val="14"/>
              </w:rPr>
              <w:t>SAR 1,567</w:t>
            </w:r>
          </w:p>
        </w:tc>
        <w:tc>
          <w:tcPr>
            <w:tcW w:type="dxa" w:w="1474"/>
            <w:tcBorders>
              <w:start w:sz="9.119999885559082" w:val="single" w:color="#006B4E"/>
              <w:top w:sz="9.119999885559082" w:val="single" w:color="#006B4E"/>
              <w:end w:sz="9.119999885559082" w:val="single" w:color="#006B4E"/>
              <w:bottom w:sz="9.119999885559082" w:val="single" w:color="#006B4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1A3E5C"/>
                <w:sz w:val="14"/>
              </w:rPr>
              <w:t>DO NOT USE</w:t>
            </w:r>
          </w:p>
        </w:tc>
      </w:tr>
    </w:tbl>
    <w:p>
      <w:pPr>
        <w:autoSpaceDN w:val="0"/>
        <w:autoSpaceDE w:val="0"/>
        <w:widowControl/>
        <w:spacing w:line="230" w:lineRule="auto" w:before="238" w:after="0"/>
        <w:ind w:left="68" w:right="0" w:firstLine="0"/>
        <w:jc w:val="left"/>
      </w:pPr>
      <w:r>
        <w:rPr>
          <w:rFonts w:ascii="Arial" w:hAnsi="Arial" w:eastAsia="Arial"/>
          <w:b w:val="0"/>
          <w:i w:val="0"/>
          <w:color w:val="646464"/>
          <w:sz w:val="15"/>
        </w:rPr>
        <w:t>Combo #4 is 3.2x less efficient than #1. Listed for completeness only — should NOT be deployed.</w:t>
      </w:r>
    </w:p>
    <w:p>
      <w:pPr>
        <w:autoSpaceDN w:val="0"/>
        <w:autoSpaceDE w:val="0"/>
        <w:widowControl/>
        <w:spacing w:line="240" w:lineRule="auto" w:before="264" w:after="0"/>
        <w:ind w:left="29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120130" cy="27203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20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3" w:lineRule="auto" w:before="550" w:after="0"/>
        <w:ind w:left="408" w:right="0" w:firstLine="0"/>
        <w:jc w:val="left"/>
      </w:pPr>
      <w:r>
        <w:rPr>
          <w:rFonts w:ascii="Arial" w:hAnsi="Arial" w:eastAsia="Arial"/>
          <w:b/>
          <w:i w:val="0"/>
          <w:color w:val="1A3E5C"/>
          <w:sz w:val="26"/>
        </w:rPr>
        <w:t>9.  Risk Assessment &amp; Monitoring</w:t>
      </w:r>
    </w:p>
    <w:p>
      <w:pPr>
        <w:autoSpaceDN w:val="0"/>
        <w:autoSpaceDE w:val="0"/>
        <w:widowControl/>
        <w:spacing w:line="288" w:lineRule="auto" w:before="560" w:after="0"/>
        <w:ind w:left="68" w:right="144" w:firstLine="0"/>
        <w:jc w:val="left"/>
      </w:pPr>
      <w:r>
        <w:rPr>
          <w:rFonts w:ascii="Arial" w:hAnsi="Arial" w:eastAsia="Arial"/>
          <w:b w:val="0"/>
          <w:i w:val="0"/>
          <w:color w:val="1A3E5C"/>
          <w:sz w:val="19"/>
        </w:rPr>
        <w:t xml:space="preserve">Pessimistic  (SAMA  +25bps):  Most  in  Need  gap  → 17,200  (+39%).  Combo  #1  still  ~70%  closure.  Key  triggers:  absorption </w:t>
      </w:r>
      <w:r>
        <w:rPr>
          <w:rFonts w:ascii="Arial" w:hAnsi="Arial" w:eastAsia="Arial"/>
          <w:b w:val="0"/>
          <w:i w:val="0"/>
          <w:color w:val="1A3E5C"/>
          <w:sz w:val="19"/>
        </w:rPr>
        <w:t>&lt;40% → escalate | conversion drop &gt;10pp → review | Eastern Low Income gap (-8,700) underserved.</w:t>
      </w:r>
    </w:p>
    <w:p>
      <w:pPr>
        <w:autoSpaceDN w:val="0"/>
        <w:autoSpaceDE w:val="0"/>
        <w:widowControl/>
        <w:spacing w:line="233" w:lineRule="auto" w:before="6634" w:after="0"/>
        <w:ind w:left="0" w:right="4400" w:firstLine="0"/>
        <w:jc w:val="right"/>
      </w:pPr>
      <w:r>
        <w:rPr>
          <w:rFonts w:ascii="Arial" w:hAnsi="Arial" w:eastAsia="Arial"/>
          <w:b w:val="0"/>
          <w:i w:val="0"/>
          <w:color w:val="64748B"/>
          <w:sz w:val="14"/>
        </w:rPr>
        <w:t>Saudi DGA Platforms Code | Page 7</w:t>
      </w:r>
    </w:p>
    <w:sectPr w:rsidR="00FC693F" w:rsidRPr="0006063C" w:rsidSect="00034616">
      <w:pgSz w:w="11906" w:h="16838"/>
      <w:pgMar w:top="298" w:right="422" w:bottom="276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