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39F86">
      <w:pPr>
        <w:pStyle w:val="31"/>
        <w:jc w:val="center"/>
      </w:pPr>
      <w:r>
        <w:rPr>
          <w:rFonts w:ascii="黑体" w:hAnsi="黑体" w:eastAsia="黑体"/>
          <w:b/>
          <w:sz w:val="36"/>
        </w:rPr>
        <w:t>基于物理信息神经网络的薄壁件切削颤振在线抑制系统</w:t>
      </w:r>
    </w:p>
    <w:p w14:paraId="3CCD4439">
      <w:pPr>
        <w:spacing w:line="360" w:lineRule="auto" w:after="80"/>
        <w:jc w:val="both"/>
      </w:pPr>
      <w:r>
        <w:rPr>
          <w:rFonts w:ascii="黑体" w:hAnsi="黑体" w:eastAsia="黑体"/>
          <w:sz w:val="28"/>
        </w:rPr>
        <w:t>—— 可行性分析报告</w:t>
      </w:r>
    </w:p>
    <w:p w14:paraId="1275A186">
      <w:pPr>
        <w:spacing w:line="360" w:lineRule="auto" w:after="80"/>
        <w:jc w:val="both"/>
      </w:pPr>
    </w:p>
    <w:p w14:paraId="68C0B172">
      <w:pPr>
        <w:pStyle w:val="3"/>
      </w:pPr>
      <w:r>
        <w:rPr>
          <w:rFonts w:ascii="黑体" w:hAnsi="黑体" w:eastAsia="黑体"/>
          <w:sz w:val="28"/>
        </w:rPr>
        <w:t>一、项目概述</w:t>
      </w:r>
    </w:p>
    <w:p w14:paraId="1F158EC4">
      <w:pPr>
        <w:pStyle w:val="4"/>
      </w:pPr>
      <w:r>
        <w:rPr>
          <w:rFonts w:ascii="黑体" w:hAnsi="黑体" w:eastAsia="黑体"/>
          <w:sz w:val="24"/>
        </w:rPr>
        <w:t>1.1 项目背景</w:t>
      </w:r>
    </w:p>
    <w:p w14:paraId="6503D6BB">
      <w:pPr>
        <w:spacing w:line="360" w:lineRule="auto" w:after="80"/>
        <w:jc w:val="both"/>
      </w:pPr>
      <w:r>
        <w:rPr>
          <w:rFonts w:ascii="宋体" w:hAnsi="宋体" w:eastAsia="宋体"/>
        </w:rPr>
        <w:t>在航空航天、精密制造等领域，薄壁件（如航空发动机叶片、导弹舵面等）的数控加工过程中，切削颤振是制约加工精度与表面质量的关键难题。切削颤振是一种自激振动现象，受工件材料特性、刀具几何参数、切削参数等多因素耦合影响，具有强非线性和时变特征，传统PID控制或陷波滤波等工程方法难以有效抑制。</w:t>
      </w:r>
    </w:p>
    <w:p w14:paraId="534DE8CB">
      <w:pPr>
        <w:pStyle w:val="4"/>
      </w:pPr>
      <w:r>
        <w:rPr>
          <w:rFonts w:ascii="黑体" w:hAnsi="黑体" w:eastAsia="黑体"/>
          <w:sz w:val="24"/>
        </w:rPr>
        <w:t>1.2 项目目标</w:t>
      </w:r>
    </w:p>
    <w:p w14:paraId="4F821F14">
      <w:pPr>
        <w:spacing w:line="360" w:lineRule="auto" w:after="80"/>
        <w:jc w:val="both"/>
      </w:pPr>
      <w:r>
        <w:rPr>
          <w:rFonts w:ascii="宋体" w:hAnsi="宋体" w:eastAsia="宋体"/>
        </w:rPr>
        <w:t>本项目旨在利用物理信息神经网络（Physics-Informed Neural Networks, PINNs）构建一套薄壁件切削颤振在线辨识与抑制系统。PINNs通过将切削动力学偏微分方程作为网络训练的物理约束正则项，实现小样本条件下对振动状态的高精度预测，并结合主动阻尼控制策略实现颤振的实时抑制。</w:t>
      </w:r>
    </w:p>
    <w:p>
      <w:pPr>
        <w:spacing w:line="360" w:lineRule="auto" w:after="80"/>
        <w:jc w:val="both"/>
      </w:pPr>
      <w:r>
        <w:rPr>
          <w:b w:val="0"/>
        </w:rPr>
        <w:t>本报告面向中国国际大学生创新大赛（2026）高教主赛道本科生创意组的前期项目论证，重点突出技术创新、产品原型可实现性、应用场景和后续成果转化潜力。2026年大赛强调参赛项目结合经济社会现实需求、推动创新成果转化应用，并要求参赛项目真实、健康、合法且具有清晰知识产权基础。因此，本项目的可行性分析不仅需要回答“能不能做”，还需要回答“为什么选择该技术、能否形成可展示原型以及未来能否进入真实制造场景”。</w:t>
      </w:r>
    </w:p>
    <w:p w14:paraId="6264C3A8">
      <w:pPr>
        <w:pStyle w:val="3"/>
      </w:pPr>
      <w:r>
        <w:rPr>
          <w:rFonts w:ascii="黑体" w:hAnsi="黑体" w:eastAsia="黑体"/>
          <w:sz w:val="28"/>
        </w:rPr>
        <w:t>二、技术方案与实现方法</w:t>
      </w:r>
    </w:p>
    <w:p w14:paraId="5D1ED34E">
      <w:pPr>
        <w:pStyle w:val="4"/>
      </w:pPr>
      <w:r>
        <w:rPr>
          <w:rFonts w:ascii="黑体" w:hAnsi="黑体" w:eastAsia="黑体"/>
          <w:sz w:val="24"/>
        </w:rPr>
        <w:t>2.1 系统总体架构</w:t>
      </w:r>
    </w:p>
    <w:p w14:paraId="39D5AB60">
      <w:pPr>
        <w:spacing w:line="360" w:lineRule="auto" w:after="80"/>
        <w:jc w:val="both"/>
      </w:pPr>
      <w:r>
        <w:rPr>
          <w:rFonts w:ascii="宋体" w:hAnsi="宋体" w:eastAsia="宋体"/>
        </w:rPr>
        <w:t>系统采用"感知—决策—执行"三层闭环控制架构：</w:t>
      </w:r>
    </w:p>
    <w:p w14:paraId="781EF4BE">
      <w:pPr>
        <w:pStyle w:val="16"/>
      </w:pPr>
      <w:r>
        <w:rPr>
          <w:rFonts w:ascii="宋体" w:hAnsi="宋体" w:eastAsia="宋体"/>
        </w:rPr>
        <w:t>感知层：通过MEMS惯性传感器（MPU6050）实时采集薄壁件的振动加速度信号</w:t>
      </w:r>
    </w:p>
    <w:p w14:paraId="18575C38">
      <w:pPr>
        <w:pStyle w:val="16"/>
      </w:pPr>
      <w:r>
        <w:rPr>
          <w:rFonts w:ascii="宋体" w:hAnsi="宋体" w:eastAsia="宋体"/>
        </w:rPr>
        <w:t>决策层：在树莓派边缘计算平台上运行PINNs推理模型，实时预测振动状态并输出控制指令</w:t>
      </w:r>
    </w:p>
    <w:p w14:paraId="5F2D593A">
      <w:pPr>
        <w:pStyle w:val="16"/>
      </w:pPr>
      <w:r>
        <w:rPr>
          <w:rFonts w:ascii="宋体" w:hAnsi="宋体" w:eastAsia="宋体"/>
        </w:rPr>
        <w:t>执行层：通过步进电机驱动的可变阻尼装置，对结构施加主动阻尼力</w:t>
      </w:r>
    </w:p>
    <w:p w14:paraId="1530C71C">
      <w:pPr>
        <w:spacing w:line="360" w:lineRule="auto" w:after="80"/>
        <w:jc w:val="both"/>
      </w:pPr>
      <w:r>
        <w:rPr>
          <w:rFonts w:ascii="宋体" w:hAnsi="宋体" w:eastAsia="宋体"/>
        </w:rPr>
        <w:t>数据流路径：传感器（模拟信号）→ ADC采样 → 数据预处理（滤波/归一化）→ PINNs推理 → 控制策略解算 → PWM驱动信号 → 执行器作动。</w:t>
      </w:r>
    </w:p>
    <w:p>
      <w:pPr>
        <w:pStyle w:val="4"/>
        <w:jc w:val="both"/>
      </w:pPr>
      <w:r>
        <w:rPr>
          <w:b/>
        </w:rPr>
        <w:t>2.2 技术选型与方案论证</w:t>
      </w:r>
    </w:p>
    <w:p>
      <w:pPr>
        <w:spacing w:line="360" w:lineRule="auto" w:after="80"/>
        <w:jc w:val="both"/>
      </w:pPr>
      <w:r>
        <w:rPr>
          <w:b w:val="0"/>
        </w:rPr>
        <w:t>考虑到项目最终面向大学生创新创业大赛，需要兼顾技术先进性、低成本原型实现、现场演示稳定性和产业应用潜力，因此从振动感知、颤振识别、计算平台和抑振执行四个层面对候选技术进行比较。</w:t>
      </w:r>
    </w:p>
    <w:p>
      <w:pPr>
        <w:spacing w:line="360" w:lineRule="auto" w:after="80"/>
        <w:jc w:val="both"/>
      </w:pPr>
      <w:r>
        <w:rPr>
          <w:b w:val="0"/>
        </w:rPr>
        <w:t>综上，本项目选择“MEMS加速度感知—PINNs状态预测—树莓派边缘推理—可变机械阻尼执行”的路线，并保留FFT频谱分析作为辅助诊断手段。该组合不是单纯追求算法复杂度，而是针对学生创新项目的成本、可实现性、演示性和后续升级空间进行综合权衡。</w:t>
      </w:r>
    </w:p>
    <w:p w14:paraId="3635DFB0">
      <w:pPr>
        <w:pStyle w:val="4"/>
      </w:pPr>
      <w:r>
        <w:t>2.3 核心算法：物理信息神经网络（PINNs）</w:t>
      </w:r>
    </w:p>
    <w:p w14:paraId="5B19C2B0">
      <w:pPr>
        <w:spacing w:line="360" w:lineRule="auto" w:after="80"/>
        <w:jc w:val="both"/>
      </w:pPr>
      <w:r>
        <w:rPr>
          <w:rFonts w:ascii="宋体" w:hAnsi="宋体" w:eastAsia="宋体"/>
        </w:rPr>
        <w:t>PINNs的核心思想是将描述物理系统的微分方程嵌入神经网络的损失函数中。传统数据驱动的神经网络仅依赖实验数据拟合输入输出映射关系，在小样本条件下极易出现过拟合；PINNs在网络训练中同时最小化两部分损失：数据残差（预测值与实测值的偏差）与物理残差（网络输出对时间/空间的导数不满足控制方程的偏差），相当于以物理定律为正则化约束，迫使网络学到符合真实物理规律的解。</w:t>
      </w:r>
    </w:p>
    <w:p w14:paraId="7B8486C7">
      <w:pPr>
        <w:spacing w:line="360" w:lineRule="auto" w:after="80"/>
        <w:jc w:val="both"/>
      </w:pPr>
      <w:r>
        <w:rPr>
          <w:rFonts w:ascii="宋体" w:hAnsi="宋体" w:eastAsia="宋体"/>
        </w:rPr>
        <w:t>切削颤振动力学建模：切削过程可抽象为二阶时滞微分方程描述的再生颤振模型。PINNs网络的输入为历史振动位移/速度序列、当前切削参数（转速、切深、进给量）及传感器实时加速度数据；输出为对未来若干时间步的振动幅值与频率预测。</w:t>
      </w:r>
    </w:p>
    <w:p w14:paraId="747CF200">
      <w:pPr>
        <w:spacing w:line="360" w:lineRule="auto" w:after="80"/>
        <w:jc w:val="both"/>
      </w:pPr>
      <w:r>
        <w:rPr>
          <w:rFonts w:ascii="宋体" w:hAnsi="宋体" w:eastAsia="宋体"/>
        </w:rPr>
        <w:t>网络结构：全连接前馈神经网络，深度5~8层，每层64~128个神经元，激活函数选用Tanh（满足偏微分方程对连续性和光滑性的要求）。输入端引入傅里叶特征映射以增强对高频振动成分的表征能力。损失函数由数据拟合均方误差、PDE物理约束残差、初始条件与边界条件约束项加权组合。训练采用Adam优化器进行初始收敛，随后切换至L-BFGS进行高精度微调。</w:t>
      </w:r>
    </w:p>
    <w:p w14:paraId="24F83738">
      <w:pPr>
        <w:spacing w:line="360" w:lineRule="auto" w:after="80"/>
        <w:jc w:val="both"/>
      </w:pPr>
      <w:r>
        <w:rPr>
          <w:rFonts w:ascii="宋体" w:hAnsi="宋体" w:eastAsia="宋体"/>
        </w:rPr>
        <w:t>模型训练与部署流程：①在MATLAB/Simulink中搭建颤振动力学仿真环境，生成合成数据集；②对仿真数据添加高斯噪声模拟真实传感器不确定性；③在PC端使用PyTorch进行离线训练；④将模型导出为ONNX格式；⑤在树莓派端使用ONNX Runtime Lite进行轻量化推理部署。</w:t>
      </w:r>
    </w:p>
    <w:p w14:paraId="087E88CD">
      <w:pPr>
        <w:pStyle w:val="4"/>
      </w:pPr>
      <w:r>
        <w:rPr>
          <w:rFonts w:ascii="黑体" w:hAnsi="黑体" w:eastAsia="黑体"/>
          <w:sz w:val="24"/>
        </w:rPr>
        <w:t>2.3 控制策略</w:t>
      </w:r>
    </w:p>
    <w:p w14:paraId="78E6BDAE">
      <w:pPr>
        <w:spacing w:line="360" w:lineRule="auto" w:after="80"/>
        <w:jc w:val="both"/>
      </w:pPr>
      <w:r>
        <w:rPr>
          <w:rFonts w:ascii="宋体" w:hAnsi="宋体" w:eastAsia="宋体"/>
        </w:rPr>
        <w:t>系统采用半主动控制策略：PINNs根据当前振动状态预测未来振动趋势，当判定颤振即将发生或正在加剧时，控制步进电机调节安装在悬臂梁根部的可变阻尼器（调节预紧弹簧压缩量或摩擦阻尼片接触压力），增加结构等效阻尼以吸收振动能量。</w:t>
      </w:r>
    </w:p>
    <w:p w14:paraId="32994633">
      <w:pPr>
        <w:pStyle w:val="16"/>
      </w:pPr>
      <w:r>
        <w:rPr>
          <w:rFonts w:ascii="宋体" w:hAnsi="宋体" w:eastAsia="宋体"/>
        </w:rPr>
        <w:t>状态监测阶段：持续采集加速度信号，滑动窗口计算短时RMS振幅</w:t>
      </w:r>
    </w:p>
    <w:p w14:paraId="57BE2FBD">
      <w:pPr>
        <w:pStyle w:val="16"/>
      </w:pPr>
      <w:r>
        <w:rPr>
          <w:rFonts w:ascii="宋体" w:hAnsi="宋体" w:eastAsia="宋体"/>
        </w:rPr>
        <w:t>颤振预判阶段：PINNs模型根据当前状态推断振动能量增长趋势</w:t>
      </w:r>
    </w:p>
    <w:p w14:paraId="02A23AF9">
      <w:pPr>
        <w:pStyle w:val="16"/>
      </w:pPr>
      <w:r>
        <w:rPr>
          <w:rFonts w:ascii="宋体" w:hAnsi="宋体" w:eastAsia="宋体"/>
        </w:rPr>
        <w:t>阈值触发阶段：当预测振幅超过设定阈值时触发控制动作</w:t>
      </w:r>
    </w:p>
    <w:p w14:paraId="0A245C71">
      <w:pPr>
        <w:pStyle w:val="16"/>
      </w:pPr>
      <w:r>
        <w:rPr>
          <w:rFonts w:ascii="宋体" w:hAnsi="宋体" w:eastAsia="宋体"/>
        </w:rPr>
        <w:t>阻尼调节阶段：根据预测振幅超调量，按比例计算所需阻尼增量</w:t>
      </w:r>
    </w:p>
    <w:p w14:paraId="72696B81">
      <w:pPr>
        <w:pStyle w:val="16"/>
      </w:pPr>
      <w:r>
        <w:rPr>
          <w:rFonts w:ascii="宋体" w:hAnsi="宋体" w:eastAsia="宋体"/>
        </w:rPr>
        <w:t>效果评估阶段：持续监测控制后振幅变化，若抑制效果不足则渐进增加阻尼</w:t>
      </w:r>
    </w:p>
    <w:p w14:paraId="2A56B883">
      <w:pPr>
        <w:pStyle w:val="4"/>
      </w:pPr>
      <w:r>
        <w:rPr>
          <w:rFonts w:ascii="黑体" w:hAnsi="黑体" w:eastAsia="黑体"/>
          <w:sz w:val="24"/>
        </w:rPr>
        <w:t>2.4 硬件系统设计</w:t>
      </w:r>
    </w:p>
    <w:p w14:paraId="0F0B3A5B">
      <w:pPr>
        <w:pStyle w:val="16"/>
      </w:pPr>
      <w:r>
        <w:rPr>
          <w:rFonts w:ascii="宋体" w:hAnsi="宋体" w:eastAsia="宋体"/>
        </w:rPr>
        <w:t>主控模块：树莓派4B（二手，约200元），负责传感器数据读取、PINNs推理、PWM电机控制</w:t>
      </w:r>
    </w:p>
    <w:p w14:paraId="3F9F1F50">
      <w:pPr>
        <w:pStyle w:val="16"/>
      </w:pPr>
      <w:r>
        <w:rPr>
          <w:rFonts w:ascii="宋体" w:hAnsi="宋体" w:eastAsia="宋体"/>
        </w:rPr>
        <w:t>振动模拟平台：旧音箱喇叭+钢尺悬臂梁（约50元），复现薄壁件柔性振动模态</w:t>
      </w:r>
    </w:p>
    <w:p w14:paraId="0C11C767">
      <w:pPr>
        <w:pStyle w:val="16"/>
      </w:pPr>
      <w:r>
        <w:rPr>
          <w:rFonts w:ascii="宋体" w:hAnsi="宋体" w:eastAsia="宋体"/>
        </w:rPr>
        <w:t>传感器模块：MPU6050六轴惯性测量单元（约10元），I2C通信，采样率200Hz</w:t>
      </w:r>
    </w:p>
    <w:p w14:paraId="44F1B47D">
      <w:pPr>
        <w:pStyle w:val="16"/>
      </w:pPr>
      <w:r>
        <w:rPr>
          <w:rFonts w:ascii="宋体" w:hAnsi="宋体" w:eastAsia="宋体"/>
        </w:rPr>
        <w:t>执行器模块：28BYJ-48步进电机+ULN2003驱动板（约30元），驱动丝杆传动实现阻尼调节</w:t>
      </w:r>
    </w:p>
    <w:p w14:paraId="66E1B254">
      <w:pPr>
        <w:pStyle w:val="16"/>
      </w:pPr>
      <w:r>
        <w:rPr>
          <w:rFonts w:ascii="宋体" w:hAnsi="宋体" w:eastAsia="宋体"/>
        </w:rPr>
        <w:t>结构外壳：亚克力板激光切割定制（约50元），模块化装配，透明可视</w:t>
      </w:r>
    </w:p>
    <w:p w14:paraId="05B1FA4E">
      <w:pPr>
        <w:pStyle w:val="4"/>
      </w:pPr>
      <w:r>
        <w:rPr>
          <w:rFonts w:ascii="黑体" w:hAnsi="黑体" w:eastAsia="黑体"/>
          <w:sz w:val="24"/>
        </w:rPr>
        <w:t>2.5 软件与仿真环境</w:t>
      </w:r>
    </w:p>
    <w:p w14:paraId="6E517572">
      <w:pPr>
        <w:pStyle w:val="16"/>
      </w:pPr>
      <w:r>
        <w:rPr>
          <w:rFonts w:ascii="宋体" w:hAnsi="宋体" w:eastAsia="宋体"/>
        </w:rPr>
        <w:t>PC端：MATLAB/Simulink建立颤振动力学仿真模型并生成数据集；Python/PyTorch搭建PINNs模型训练与验证；MATLAB绘制颤振稳定性叶瓣图</w:t>
      </w:r>
    </w:p>
    <w:p w14:paraId="06457F00">
      <w:pPr>
        <w:pStyle w:val="16"/>
      </w:pPr>
      <w:r>
        <w:rPr>
          <w:rFonts w:ascii="宋体" w:hAnsi="宋体" w:eastAsia="宋体"/>
        </w:rPr>
        <w:t>树莓派端：Raspberry Pi OS + ONNX Runtime Lite轻量化推理引擎 + Python主控脚本，实现传感器读取→算法推理→电机控制的完整闭环</w:t>
      </w:r>
    </w:p>
    <w:p w14:paraId="73C636E3">
      <w:pPr>
        <w:pStyle w:val="3"/>
      </w:pPr>
      <w:r>
        <w:rPr>
          <w:rFonts w:ascii="黑体" w:hAnsi="黑体" w:eastAsia="黑体"/>
          <w:sz w:val="28"/>
        </w:rPr>
        <w:t>三、可行性分析</w:t>
      </w:r>
    </w:p>
    <w:p w14:paraId="76BA3E6D">
      <w:pPr>
        <w:pStyle w:val="4"/>
      </w:pPr>
      <w:r>
        <w:rPr>
          <w:rFonts w:ascii="黑体" w:hAnsi="黑体" w:eastAsia="黑体"/>
          <w:sz w:val="24"/>
        </w:rPr>
        <w:t>3.1 理论可行性</w:t>
      </w:r>
    </w:p>
    <w:p>
      <w:pPr>
        <w:spacing w:line="360" w:lineRule="auto" w:after="80"/>
        <w:jc w:val="both"/>
      </w:pPr>
      <w:r>
        <w:rPr>
          <w:b w:val="0"/>
        </w:rPr>
        <w:t>（1）神经网络用于切削颤振识别已有研究基础。切削颤振在线监测需要从振动信号中提取反映加工状态变化的特征，相关综述表明机器学习和深度学习方法已用于切削颤振在线识别[6]。</w:t>
      </w:r>
    </w:p>
    <w:p>
      <w:pPr>
        <w:spacing w:line="360" w:lineRule="auto" w:after="80"/>
        <w:jc w:val="both"/>
      </w:pPr>
      <w:r>
        <w:rPr>
          <w:b w:val="0"/>
        </w:rPr>
        <w:t>（2）针对薄壁件加工过程中结构柔性强、振动状态复杂和噪声干扰等问题，已有研究将卷积神经网络用于薄壁件铣削颤振在线检测，并验证了深度学习方法对复杂振动特征的识别能力[3]。</w:t>
      </w:r>
    </w:p>
    <w:p>
      <w:pPr>
        <w:spacing w:line="360" w:lineRule="auto" w:after="80"/>
        <w:jc w:val="both"/>
      </w:pPr>
      <w:r>
        <w:rPr>
          <w:b w:val="0"/>
        </w:rPr>
        <w:t>（3）PINNs为将动力学规律与神经网络结合提供了理论基础。Raissi等提出PINNs，将控制方程对应的物理残差加入神经网络损失函数，使模型训练同时受到观测数据和物理规律约束[7]。切削颤振属于机械动力学问题，将颤振动力学方程作为PINNs物理约束具有理论合理性。</w:t>
      </w:r>
    </w:p>
    <w:p>
      <w:pPr>
        <w:spacing w:line="360" w:lineRule="auto" w:after="80"/>
        <w:jc w:val="both"/>
      </w:pPr>
      <w:r>
        <w:rPr>
          <w:b w:val="0"/>
        </w:rPr>
        <w:t>（4）颤振闭环抑制具有工程研究基础。已有薄壁件铣削研究表明，颤振识别与抑制能够降低加工过程振动并改善加工质量[1][2][5]。因此，本项目提出的“状态感知—颤振预测—控制决策—阻尼调节—反馈评价”闭环思路具有研究依据。</w:t>
      </w:r>
    </w:p>
    <w:p>
      <w:pPr>
        <w:spacing w:line="360" w:lineRule="auto" w:after="80"/>
        <w:jc w:val="both"/>
      </w:pPr>
      <w:r>
        <w:rPr>
          <w:b w:val="0"/>
        </w:rPr>
        <w:t>上述文献证明的是相关技术路线和方法的研究基础，并不等同于本项目已经达到相同的识别精度或抑振效果。项目最终性能仍需通过仿真、台架实验和对照实验验证。</w:t>
      </w:r>
    </w:p>
    <w:p w14:paraId="7673D9B1">
      <w:pPr>
        <w:pStyle w:val="4"/>
      </w:pPr>
      <w:r>
        <w:rPr>
          <w:rFonts w:ascii="黑体" w:hAnsi="黑体" w:eastAsia="黑体"/>
          <w:sz w:val="24"/>
        </w:rPr>
        <w:t>3.2 技术可行性</w:t>
      </w:r>
    </w:p>
    <w:p>
      <w:pPr>
        <w:spacing w:line="360" w:lineRule="auto" w:after="80"/>
        <w:jc w:val="both"/>
      </w:pPr>
      <w:r>
        <w:rPr>
          <w:b w:val="0"/>
        </w:rPr>
        <w:t>（1）感知层技术可实现。项目采用MEMS加速度传感器采集悬臂梁振动信号，通过I²C接口传输至主控平台。相比工业压电式传感器，MEMS器件成本低、体积小、接口简单，更适合学生项目的桌面级原型开发。本项目以加速度振动特征和颤振状态识别为核心，不把加速度二次积分得到的位移作为唯一核心控制量。</w:t>
      </w:r>
    </w:p>
    <w:p>
      <w:pPr>
        <w:spacing w:line="360" w:lineRule="auto" w:after="80"/>
        <w:jc w:val="both"/>
      </w:pPr>
      <w:r>
        <w:rPr>
          <w:b w:val="0"/>
        </w:rPr>
        <w:t>（2）PINNs训练与部署技术可实现。项目先在PC端利用MATLAB/Simulink建立动力学仿真环境并生成训练数据，再使用PyTorch完成PINNs训练与验证，最后通过ONNX模型向树莓派端部署。训练与在线推理分离，可降低边缘端计算压力。</w:t>
      </w:r>
    </w:p>
    <w:p>
      <w:pPr>
        <w:spacing w:line="360" w:lineRule="auto" w:after="80"/>
        <w:jc w:val="both"/>
      </w:pPr>
      <w:r>
        <w:rPr>
          <w:b w:val="0"/>
        </w:rPr>
        <w:t>（3）边缘控制平台技术可实现。树莓派具备Linux系统、Python开发环境和丰富外设接口，能够完成传感器数据读取、模型推理和电机控制。若测试发现推理延迟过高，可采用模型剪枝、量化、降低网络规模或MLP替代等方式轻量化。</w:t>
      </w:r>
    </w:p>
    <w:p>
      <w:pPr>
        <w:spacing w:line="360" w:lineRule="auto" w:after="80"/>
        <w:jc w:val="both"/>
      </w:pPr>
      <w:r>
        <w:rPr>
          <w:b w:val="0"/>
        </w:rPr>
        <w:t>（4）执行机构技术可实现。项目采用步进电机驱动丝杆调节可变阻尼机构，通过改变弹簧预紧量或摩擦阻尼片接触压力改变系统等效阻尼。相比电磁或压电主动执行器，该方案成本低、结构直观、便于加工和现场展示，更适合大赛阶段形成可演示原型。</w:t>
      </w:r>
    </w:p>
    <w:p>
      <w:pPr>
        <w:spacing w:line="360" w:lineRule="auto" w:after="80"/>
        <w:jc w:val="both"/>
      </w:pPr>
      <w:r>
        <w:rPr>
          <w:b w:val="0"/>
        </w:rPr>
        <w:t>（5）实验平台具有可重复构建条件。项目采用钢尺悬臂梁和激励装置模拟柔性薄壁结构振动，通过固定几何尺寸、激励频率和幅值控制实验条件。该平台主要用于验证“感知—预测—抑制”闭环原理，后续可使用不同厚度、长度和材料试件扩展验证。</w:t>
      </w:r>
    </w:p>
    <w:p w14:paraId="3583FB05">
      <w:pPr>
        <w:pStyle w:val="4"/>
      </w:pPr>
      <w:r>
        <w:rPr>
          <w:rFonts w:ascii="黑体" w:hAnsi="黑体" w:eastAsia="黑体"/>
          <w:sz w:val="24"/>
        </w:rPr>
        <w:t>3.3 性能指标可实现性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0A3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ADA33D">
            <w:pPr>
              <w:spacing w:after="0" w:line="240" w:lineRule="auto"/>
            </w:pPr>
            <w:r>
              <w:rPr>
                <w:rFonts w:ascii="宋体" w:hAnsi="宋体" w:eastAsia="宋体"/>
                <w:b/>
              </w:rPr>
              <w:t>指标</w:t>
            </w:r>
          </w:p>
        </w:tc>
        <w:tc>
          <w:tcPr>
            <w:tcW w:w="2880" w:type="dxa"/>
          </w:tcPr>
          <w:p w14:paraId="3CE35168">
            <w:pPr>
              <w:spacing w:after="0" w:line="240" w:lineRule="auto"/>
            </w:pPr>
            <w:r>
              <w:rPr>
                <w:rFonts w:ascii="宋体" w:hAnsi="宋体" w:eastAsia="宋体"/>
                <w:b/>
              </w:rPr>
              <w:t>目标值</w:t>
            </w:r>
          </w:p>
        </w:tc>
        <w:tc>
          <w:tcPr>
            <w:tcW w:w="2880" w:type="dxa"/>
          </w:tcPr>
          <w:p w14:paraId="35F43878">
            <w:pPr>
              <w:spacing w:after="0" w:line="240" w:lineRule="auto"/>
            </w:pPr>
            <w:r>
              <w:rPr>
                <w:rFonts w:ascii="宋体" w:hAnsi="宋体" w:eastAsia="宋体"/>
                <w:b/>
              </w:rPr>
              <w:t>实现依据</w:t>
            </w:r>
          </w:p>
        </w:tc>
      </w:tr>
      <w:tr w14:paraId="50B6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93FD06">
            <w:pPr>
              <w:spacing w:after="0" w:line="240" w:lineRule="auto"/>
            </w:pPr>
            <w:r>
              <w:rPr>
                <w:rFonts w:ascii="宋体" w:hAnsi="宋体" w:eastAsia="宋体"/>
                <w:sz w:val="21"/>
              </w:rPr>
              <w:t>振动位移分辨率</w:t>
            </w:r>
          </w:p>
        </w:tc>
        <w:tc>
          <w:tcPr>
            <w:tcW w:w="2880" w:type="dxa"/>
          </w:tcPr>
          <w:p w14:paraId="4B8A45FC">
            <w:pPr>
              <w:spacing w:after="0" w:line="240" w:lineRule="auto"/>
            </w:pPr>
            <w:r>
              <w:rPr>
                <w:rFonts w:ascii="宋体" w:hAnsi="宋体" w:eastAsia="宋体"/>
                <w:sz w:val="21"/>
              </w:rPr>
              <w:t>毫米级</w:t>
            </w:r>
          </w:p>
        </w:tc>
        <w:tc>
          <w:tcPr>
            <w:tcW w:w="2880" w:type="dxa"/>
          </w:tcPr>
          <w:p w14:paraId="76AE9CC2">
            <w:pPr>
              <w:spacing w:after="0" w:line="240" w:lineRule="auto"/>
            </w:pPr>
            <w:r>
              <w:rPr>
                <w:rFonts w:ascii="宋体" w:hAnsi="宋体" w:eastAsia="宋体"/>
                <w:sz w:val="21"/>
              </w:rPr>
              <w:t>MPU6050加速度计通过二次积分可获得位移估计，消费级精度支持毫米级分辨</w:t>
            </w:r>
          </w:p>
        </w:tc>
      </w:tr>
      <w:tr w14:paraId="4FEB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ADC11D">
            <w:pPr>
              <w:spacing w:after="0" w:line="240" w:lineRule="auto"/>
            </w:pPr>
            <w:r>
              <w:rPr>
                <w:rFonts w:ascii="宋体" w:hAnsi="宋体" w:eastAsia="宋体"/>
                <w:sz w:val="21"/>
              </w:rPr>
              <w:t>系统响应延迟</w:t>
            </w:r>
          </w:p>
        </w:tc>
        <w:tc>
          <w:tcPr>
            <w:tcW w:w="2880" w:type="dxa"/>
          </w:tcPr>
          <w:p w14:paraId="386A22CD">
            <w:pPr>
              <w:spacing w:after="0" w:line="240" w:lineRule="auto"/>
            </w:pPr>
            <w:r>
              <w:rPr>
                <w:rFonts w:ascii="宋体" w:hAnsi="宋体" w:eastAsia="宋体"/>
                <w:sz w:val="21"/>
              </w:rPr>
              <w:t>10~50 ms</w:t>
            </w:r>
          </w:p>
        </w:tc>
        <w:tc>
          <w:tcPr>
            <w:tcW w:w="2880" w:type="dxa"/>
          </w:tcPr>
          <w:p w14:paraId="2E62945D">
            <w:pPr>
              <w:spacing w:after="0" w:line="240" w:lineRule="auto"/>
            </w:pPr>
            <w:r>
              <w:rPr>
                <w:rFonts w:ascii="宋体" w:hAnsi="宋体" w:eastAsia="宋体"/>
                <w:sz w:val="21"/>
              </w:rPr>
              <w:t>树莓派ONNX推理延迟约10~30ms，传感器读取1~2ms，执行器响应约5~10ms</w:t>
            </w:r>
          </w:p>
        </w:tc>
      </w:tr>
      <w:tr w14:paraId="42A2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7DA615">
            <w:pPr>
              <w:spacing w:after="0" w:line="240" w:lineRule="auto"/>
            </w:pPr>
            <w:r>
              <w:rPr>
                <w:rFonts w:ascii="宋体" w:hAnsi="宋体" w:eastAsia="宋体"/>
                <w:sz w:val="21"/>
              </w:rPr>
              <w:t>振幅衰减率</w:t>
            </w:r>
          </w:p>
        </w:tc>
        <w:tc>
          <w:tcPr>
            <w:tcW w:w="2880" w:type="dxa"/>
          </w:tcPr>
          <w:p w14:paraId="5BF6C4E5">
            <w:pPr>
              <w:spacing w:after="0" w:line="240" w:lineRule="auto"/>
            </w:pPr>
            <w:r>
              <w:rPr>
                <w:rFonts w:ascii="宋体" w:hAnsi="宋体" w:eastAsia="宋体"/>
                <w:sz w:val="21"/>
              </w:rPr>
              <w:t>30%~60%</w:t>
            </w:r>
          </w:p>
        </w:tc>
        <w:tc>
          <w:tcPr>
            <w:tcW w:w="2880" w:type="dxa"/>
          </w:tcPr>
          <w:p w14:paraId="283F9814">
            <w:pPr>
              <w:spacing w:after="0" w:line="240" w:lineRule="auto"/>
            </w:pPr>
            <w:r>
              <w:rPr>
                <w:rFonts w:ascii="宋体" w:hAnsi="宋体" w:eastAsia="宋体"/>
                <w:sz w:val="21"/>
              </w:rPr>
              <w:t>主动阻尼控制在理论上是有效的，桌面上可见振动幅度明显降低</w:t>
            </w:r>
          </w:p>
        </w:tc>
      </w:tr>
      <w:tr w14:paraId="5674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2A229B">
            <w:pPr>
              <w:spacing w:after="0" w:line="240" w:lineRule="auto"/>
            </w:pPr>
            <w:r>
              <w:rPr>
                <w:rFonts w:ascii="宋体" w:hAnsi="宋体" w:eastAsia="宋体"/>
                <w:sz w:val="21"/>
              </w:rPr>
              <w:t>PINNs预测精度（R²）</w:t>
            </w:r>
          </w:p>
        </w:tc>
        <w:tc>
          <w:tcPr>
            <w:tcW w:w="2880" w:type="dxa"/>
          </w:tcPr>
          <w:p w14:paraId="46DE4906">
            <w:pPr>
              <w:spacing w:after="0" w:line="240" w:lineRule="auto"/>
            </w:pPr>
            <w:r>
              <w:rPr>
                <w:rFonts w:ascii="宋体" w:hAnsi="宋体" w:eastAsia="宋体"/>
                <w:sz w:val="21"/>
              </w:rPr>
              <w:t>&gt; 0.95</w:t>
            </w:r>
          </w:p>
        </w:tc>
        <w:tc>
          <w:tcPr>
            <w:tcW w:w="2880" w:type="dxa"/>
          </w:tcPr>
          <w:p w14:paraId="7F214809">
            <w:pPr>
              <w:spacing w:after="0" w:line="240" w:lineRule="auto"/>
            </w:pPr>
            <w:r>
              <w:rPr>
                <w:rFonts w:ascii="宋体" w:hAnsi="宋体" w:eastAsia="宋体"/>
                <w:sz w:val="21"/>
              </w:rPr>
              <w:t>仿真数据训练环境下的典型可实现精度；含噪声数据下&gt;0.90</w:t>
            </w:r>
          </w:p>
        </w:tc>
      </w:tr>
      <w:tr w14:paraId="0FBC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C993A3">
            <w:pPr>
              <w:spacing w:after="0" w:line="240" w:lineRule="auto"/>
            </w:pPr>
            <w:r>
              <w:rPr>
                <w:rFonts w:ascii="宋体" w:hAnsi="宋体" w:eastAsia="宋体"/>
                <w:sz w:val="21"/>
              </w:rPr>
              <w:t>连续运行时间</w:t>
            </w:r>
          </w:p>
        </w:tc>
        <w:tc>
          <w:tcPr>
            <w:tcW w:w="2880" w:type="dxa"/>
          </w:tcPr>
          <w:p w14:paraId="09904286">
            <w:pPr>
              <w:spacing w:after="0" w:line="240" w:lineRule="auto"/>
            </w:pPr>
            <w:r>
              <w:rPr>
                <w:rFonts w:ascii="宋体" w:hAnsi="宋体" w:eastAsia="宋体"/>
                <w:sz w:val="21"/>
              </w:rPr>
              <w:t>&gt; 30分钟</w:t>
            </w:r>
          </w:p>
        </w:tc>
        <w:tc>
          <w:tcPr>
            <w:tcW w:w="2880" w:type="dxa"/>
          </w:tcPr>
          <w:p w14:paraId="13E455A7">
            <w:pPr>
              <w:spacing w:after="0" w:line="240" w:lineRule="auto"/>
            </w:pPr>
            <w:r>
              <w:rPr>
                <w:rFonts w:ascii="宋体" w:hAnsi="宋体" w:eastAsia="宋体"/>
                <w:sz w:val="21"/>
              </w:rPr>
              <w:t>树莓派使用5V/3A电源，步进电机功耗低，无需特殊散热</w:t>
            </w:r>
          </w:p>
        </w:tc>
      </w:tr>
    </w:tbl>
    <w:p>
      <w:pPr>
        <w:pStyle w:val="4"/>
        <w:jc w:val="both"/>
      </w:pPr>
      <w:r>
        <w:rPr>
          <w:b/>
        </w:rPr>
        <w:t>3.4 面向创新创业大赛的项目竞争力</w:t>
      </w:r>
    </w:p>
    <w:p>
      <w:pPr>
        <w:spacing w:line="360" w:lineRule="auto" w:after="80"/>
        <w:jc w:val="both"/>
      </w:pPr>
      <w:r>
        <w:rPr>
          <w:b w:val="0"/>
        </w:rPr>
        <w:t>技术创新：以PINNs将切削动力学模型与实时振动数据融合，相较纯数据驱动方法突出物理约束和可解释性。</w:t>
      </w:r>
    </w:p>
    <w:p>
      <w:pPr>
        <w:spacing w:line="360" w:lineRule="auto" w:after="80"/>
        <w:jc w:val="both"/>
      </w:pPr>
      <w:r>
        <w:rPr>
          <w:b w:val="0"/>
        </w:rPr>
        <w:t>产品原型：形成传感器、边缘计算平台、预测算法和可变阻尼机构组成的闭环演示系统，便于比赛现场实物展示和专家问辩。</w:t>
      </w:r>
    </w:p>
    <w:p>
      <w:pPr>
        <w:spacing w:line="360" w:lineRule="auto" w:after="80"/>
        <w:jc w:val="both"/>
      </w:pPr>
      <w:r>
        <w:rPr>
          <w:b w:val="0"/>
        </w:rPr>
        <w:t>应用价值：面向航空航天等高端制造领域薄壁件加工，可进一步围绕加工质量、加工稳定性和刀具寿命等指标拓展应用价值。</w:t>
      </w:r>
    </w:p>
    <w:p>
      <w:pPr>
        <w:spacing w:line="360" w:lineRule="auto" w:after="80"/>
        <w:jc w:val="both"/>
      </w:pPr>
      <w:r>
        <w:rPr>
          <w:b w:val="0"/>
        </w:rPr>
        <w:t>迭代路线：第一阶段完成钢尺悬臂梁桌面级验证；第二阶段引入不同材料和结构参数；第三阶段与真实数控加工平台开展合作验证；最终探索工业级传感器、执行器和边缘计算平台升级。</w:t>
      </w:r>
    </w:p>
    <w:p>
      <w:pPr>
        <w:spacing w:line="360" w:lineRule="auto" w:after="80"/>
        <w:jc w:val="both"/>
      </w:pPr>
      <w:r>
        <w:rPr>
          <w:b w:val="0"/>
        </w:rPr>
        <w:t>成果转化：后续可围绕算法软件、控制装置和系统集成形成专利、软件著作权、样机以及企业合作等成果。</w:t>
      </w:r>
    </w:p>
    <w:p w14:paraId="1EF4E4B5">
      <w:pPr>
        <w:pStyle w:val="4"/>
      </w:pPr>
      <w:r>
        <w:t>3.5 实验可重复性</w:t>
      </w:r>
    </w:p>
    <w:p w14:paraId="0E445F7B">
      <w:pPr>
        <w:spacing w:line="360" w:lineRule="auto" w:after="80"/>
        <w:jc w:val="both"/>
      </w:pPr>
      <w:r>
        <w:rPr>
          <w:rFonts w:ascii="宋体" w:hAnsi="宋体" w:eastAsia="宋体"/>
        </w:rPr>
        <w:t>系统采用标准化的悬臂梁结构与固定几何参数，振源激励信号由程序精确控制频率和幅度。每次实验的初始条件可控、可重复，因此实验结果具备可重复性，满足科研展示和答辩要求。</w:t>
      </w:r>
    </w:p>
    <w:p w14:paraId="05269A2C">
      <w:pPr>
        <w:pStyle w:val="3"/>
      </w:pPr>
      <w:r>
        <w:rPr>
          <w:rFonts w:ascii="黑体" w:hAnsi="黑体" w:eastAsia="黑体"/>
          <w:sz w:val="28"/>
        </w:rPr>
        <w:t>四、风险分析与应对措施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20B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B0601B">
            <w:pPr>
              <w:spacing w:after="0" w:line="240" w:lineRule="auto"/>
            </w:pPr>
            <w:r>
              <w:rPr>
                <w:rFonts w:ascii="宋体" w:hAnsi="宋体" w:eastAsia="宋体"/>
                <w:b/>
              </w:rPr>
              <w:t>风险项</w:t>
            </w:r>
          </w:p>
        </w:tc>
        <w:tc>
          <w:tcPr>
            <w:tcW w:w="2160" w:type="dxa"/>
          </w:tcPr>
          <w:p w14:paraId="4A03F071">
            <w:pPr>
              <w:spacing w:after="0" w:line="240" w:lineRule="auto"/>
            </w:pPr>
            <w:r>
              <w:rPr>
                <w:rFonts w:ascii="宋体" w:hAnsi="宋体" w:eastAsia="宋体"/>
                <w:b/>
              </w:rPr>
              <w:t>风险等级</w:t>
            </w:r>
          </w:p>
        </w:tc>
        <w:tc>
          <w:tcPr>
            <w:tcW w:w="2160" w:type="dxa"/>
          </w:tcPr>
          <w:p w14:paraId="0E27B89F">
            <w:pPr>
              <w:spacing w:after="0" w:line="240" w:lineRule="auto"/>
            </w:pPr>
            <w:r>
              <w:rPr>
                <w:rFonts w:ascii="宋体" w:hAnsi="宋体" w:eastAsia="宋体"/>
                <w:b/>
              </w:rPr>
              <w:t>影响描述</w:t>
            </w:r>
          </w:p>
        </w:tc>
        <w:tc>
          <w:tcPr>
            <w:tcW w:w="2160" w:type="dxa"/>
          </w:tcPr>
          <w:p w14:paraId="0A3584C4">
            <w:pPr>
              <w:spacing w:after="0" w:line="240" w:lineRule="auto"/>
            </w:pPr>
            <w:r>
              <w:rPr>
                <w:rFonts w:ascii="宋体" w:hAnsi="宋体" w:eastAsia="宋体"/>
                <w:b/>
              </w:rPr>
              <w:t>应对措施</w:t>
            </w:r>
          </w:p>
        </w:tc>
      </w:tr>
      <w:tr w14:paraId="23A5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EE9C6A">
            <w:pPr>
              <w:spacing w:after="0" w:line="240" w:lineRule="auto"/>
            </w:pPr>
            <w:r>
              <w:rPr>
                <w:rFonts w:ascii="宋体" w:hAnsi="宋体" w:eastAsia="宋体"/>
                <w:sz w:val="21"/>
              </w:rPr>
              <w:t>PINNs训练收敛困难</w:t>
            </w:r>
          </w:p>
        </w:tc>
        <w:tc>
          <w:tcPr>
            <w:tcW w:w="2160" w:type="dxa"/>
          </w:tcPr>
          <w:p w14:paraId="688BA019">
            <w:pPr>
              <w:spacing w:after="0" w:line="240" w:lineRule="auto"/>
            </w:pPr>
            <w:r>
              <w:rPr>
                <w:rFonts w:ascii="宋体" w:hAnsi="宋体" w:eastAsia="宋体"/>
                <w:sz w:val="21"/>
              </w:rPr>
              <w:t>中</w:t>
            </w:r>
          </w:p>
        </w:tc>
        <w:tc>
          <w:tcPr>
            <w:tcW w:w="2160" w:type="dxa"/>
          </w:tcPr>
          <w:p w14:paraId="797B4384">
            <w:pPr>
              <w:spacing w:after="0" w:line="240" w:lineRule="auto"/>
            </w:pPr>
            <w:r>
              <w:rPr>
                <w:rFonts w:ascii="宋体" w:hAnsi="宋体" w:eastAsia="宋体"/>
                <w:sz w:val="21"/>
              </w:rPr>
              <w:t>损失函数多目标优化可能导致训练不稳定</w:t>
            </w:r>
          </w:p>
        </w:tc>
        <w:tc>
          <w:tcPr>
            <w:tcW w:w="2160" w:type="dxa"/>
          </w:tcPr>
          <w:p w14:paraId="3721E093">
            <w:pPr>
              <w:spacing w:after="0" w:line="240" w:lineRule="auto"/>
            </w:pPr>
            <w:r>
              <w:rPr>
                <w:rFonts w:ascii="宋体" w:hAnsi="宋体" w:eastAsia="宋体"/>
                <w:sz w:val="21"/>
              </w:rPr>
              <w:t>采用自适应权重策略（学习率衰减+权重动态平衡），先在小参数范围内训练后再逐步扩展</w:t>
            </w:r>
          </w:p>
        </w:tc>
      </w:tr>
      <w:tr w14:paraId="5641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93BCEE">
            <w:pPr>
              <w:spacing w:after="0" w:line="240" w:lineRule="auto"/>
            </w:pPr>
            <w:r>
              <w:rPr>
                <w:rFonts w:ascii="宋体" w:hAnsi="宋体" w:eastAsia="宋体"/>
                <w:sz w:val="21"/>
              </w:rPr>
              <w:t>树莓派推理延迟过高</w:t>
            </w:r>
          </w:p>
        </w:tc>
        <w:tc>
          <w:tcPr>
            <w:tcW w:w="2160" w:type="dxa"/>
          </w:tcPr>
          <w:p w14:paraId="346DDAD8">
            <w:pPr>
              <w:spacing w:after="0" w:line="240" w:lineRule="auto"/>
            </w:pPr>
            <w:r>
              <w:rPr>
                <w:rFonts w:ascii="宋体" w:hAnsi="宋体" w:eastAsia="宋体"/>
                <w:sz w:val="21"/>
              </w:rPr>
              <w:t>中</w:t>
            </w:r>
          </w:p>
        </w:tc>
        <w:tc>
          <w:tcPr>
            <w:tcW w:w="2160" w:type="dxa"/>
          </w:tcPr>
          <w:p w14:paraId="2248624E">
            <w:pPr>
              <w:spacing w:after="0" w:line="240" w:lineRule="auto"/>
            </w:pPr>
            <w:r>
              <w:rPr>
                <w:rFonts w:ascii="宋体" w:hAnsi="宋体" w:eastAsia="宋体"/>
                <w:sz w:val="21"/>
              </w:rPr>
              <w:t>软实时性能不满足控制要求</w:t>
            </w:r>
          </w:p>
        </w:tc>
        <w:tc>
          <w:tcPr>
            <w:tcW w:w="2160" w:type="dxa"/>
          </w:tcPr>
          <w:p w14:paraId="1706815E">
            <w:pPr>
              <w:spacing w:after="0" w:line="240" w:lineRule="auto"/>
            </w:pPr>
            <w:r>
              <w:rPr>
                <w:rFonts w:ascii="宋体" w:hAnsi="宋体" w:eastAsia="宋体"/>
                <w:sz w:val="21"/>
              </w:rPr>
              <w:t>采用模型量化（INT8）、剪枝、知识蒸馏等方法压缩模型；或改用更简单的MLP替代方案</w:t>
            </w:r>
          </w:p>
        </w:tc>
      </w:tr>
      <w:tr w14:paraId="2CBD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EC7500">
            <w:pPr>
              <w:spacing w:after="0" w:line="240" w:lineRule="auto"/>
            </w:pPr>
            <w:r>
              <w:rPr>
                <w:rFonts w:ascii="宋体" w:hAnsi="宋体" w:eastAsia="宋体"/>
                <w:sz w:val="21"/>
              </w:rPr>
              <w:t>传感器噪声过大</w:t>
            </w:r>
          </w:p>
        </w:tc>
        <w:tc>
          <w:tcPr>
            <w:tcW w:w="2160" w:type="dxa"/>
          </w:tcPr>
          <w:p w14:paraId="2BAC5DD6">
            <w:pPr>
              <w:spacing w:after="0" w:line="240" w:lineRule="auto"/>
            </w:pPr>
            <w:r>
              <w:rPr>
                <w:rFonts w:ascii="宋体" w:hAnsi="宋体" w:eastAsia="宋体"/>
                <w:sz w:val="21"/>
              </w:rPr>
              <w:t>低</w:t>
            </w:r>
          </w:p>
        </w:tc>
        <w:tc>
          <w:tcPr>
            <w:tcW w:w="2160" w:type="dxa"/>
          </w:tcPr>
          <w:p w14:paraId="3C3D43BF">
            <w:pPr>
              <w:spacing w:after="0" w:line="240" w:lineRule="auto"/>
            </w:pPr>
            <w:r>
              <w:rPr>
                <w:rFonts w:ascii="宋体" w:hAnsi="宋体" w:eastAsia="宋体"/>
                <w:sz w:val="21"/>
              </w:rPr>
              <w:t>MPU6050输出包含高频噪声</w:t>
            </w:r>
          </w:p>
        </w:tc>
        <w:tc>
          <w:tcPr>
            <w:tcW w:w="2160" w:type="dxa"/>
          </w:tcPr>
          <w:p w14:paraId="6C91EFBA">
            <w:pPr>
              <w:spacing w:after="0" w:line="240" w:lineRule="auto"/>
            </w:pPr>
            <w:r>
              <w:rPr>
                <w:rFonts w:ascii="宋体" w:hAnsi="宋体" w:eastAsia="宋体"/>
                <w:sz w:val="21"/>
              </w:rPr>
              <w:t>软件端采用滑动平均滤波+低通滤波，硬件端添加简单RC滤波电路</w:t>
            </w:r>
          </w:p>
        </w:tc>
      </w:tr>
      <w:tr w14:paraId="3006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D2A2C0">
            <w:pPr>
              <w:spacing w:after="0" w:line="240" w:lineRule="auto"/>
            </w:pPr>
            <w:r>
              <w:rPr>
                <w:rFonts w:ascii="宋体" w:hAnsi="宋体" w:eastAsia="宋体"/>
                <w:sz w:val="21"/>
              </w:rPr>
              <w:t>电机响应滞后</w:t>
            </w:r>
          </w:p>
        </w:tc>
        <w:tc>
          <w:tcPr>
            <w:tcW w:w="2160" w:type="dxa"/>
          </w:tcPr>
          <w:p w14:paraId="478E0E7F">
            <w:pPr>
              <w:spacing w:after="0" w:line="240" w:lineRule="auto"/>
            </w:pPr>
            <w:r>
              <w:rPr>
                <w:rFonts w:ascii="宋体" w:hAnsi="宋体" w:eastAsia="宋体"/>
                <w:sz w:val="21"/>
              </w:rPr>
              <w:t>低</w:t>
            </w:r>
          </w:p>
        </w:tc>
        <w:tc>
          <w:tcPr>
            <w:tcW w:w="2160" w:type="dxa"/>
          </w:tcPr>
          <w:p w14:paraId="1198EF1E">
            <w:pPr>
              <w:spacing w:after="0" w:line="240" w:lineRule="auto"/>
            </w:pPr>
            <w:r>
              <w:rPr>
                <w:rFonts w:ascii="宋体" w:hAnsi="宋体" w:eastAsia="宋体"/>
                <w:sz w:val="21"/>
              </w:rPr>
              <w:t>步进电机机械传动存在间隙和惯性延迟</w:t>
            </w:r>
          </w:p>
        </w:tc>
        <w:tc>
          <w:tcPr>
            <w:tcW w:w="2160" w:type="dxa"/>
          </w:tcPr>
          <w:p w14:paraId="18A9A113">
            <w:pPr>
              <w:spacing w:after="0" w:line="240" w:lineRule="auto"/>
            </w:pPr>
            <w:r>
              <w:rPr>
                <w:rFonts w:ascii="宋体" w:hAnsi="宋体" w:eastAsia="宋体"/>
                <w:sz w:val="21"/>
              </w:rPr>
              <w:t>在控制逻辑中加入前馈补偿，电机转速预留裕量</w:t>
            </w:r>
          </w:p>
        </w:tc>
      </w:tr>
      <w:tr w14:paraId="0234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0CDC05">
            <w:pPr>
              <w:spacing w:after="0" w:line="240" w:lineRule="auto"/>
            </w:pPr>
            <w:r>
              <w:rPr>
                <w:rFonts w:ascii="宋体" w:hAnsi="宋体" w:eastAsia="宋体"/>
                <w:sz w:val="21"/>
              </w:rPr>
              <w:t>振动台工艺粗糙</w:t>
            </w:r>
          </w:p>
        </w:tc>
        <w:tc>
          <w:tcPr>
            <w:tcW w:w="2160" w:type="dxa"/>
          </w:tcPr>
          <w:p w14:paraId="7BC12525">
            <w:pPr>
              <w:spacing w:after="0" w:line="240" w:lineRule="auto"/>
            </w:pPr>
            <w:r>
              <w:rPr>
                <w:rFonts w:ascii="宋体" w:hAnsi="宋体" w:eastAsia="宋体"/>
                <w:sz w:val="21"/>
              </w:rPr>
              <w:t>中</w:t>
            </w:r>
          </w:p>
        </w:tc>
        <w:tc>
          <w:tcPr>
            <w:tcW w:w="2160" w:type="dxa"/>
          </w:tcPr>
          <w:p w14:paraId="2BD6A1FC">
            <w:pPr>
              <w:spacing w:after="0" w:line="240" w:lineRule="auto"/>
            </w:pPr>
            <w:r>
              <w:rPr>
                <w:rFonts w:ascii="宋体" w:hAnsi="宋体" w:eastAsia="宋体"/>
                <w:sz w:val="21"/>
              </w:rPr>
              <w:t>手工制作的悬臂梁参数不可控</w:t>
            </w:r>
          </w:p>
        </w:tc>
        <w:tc>
          <w:tcPr>
            <w:tcW w:w="2160" w:type="dxa"/>
          </w:tcPr>
          <w:p w14:paraId="4F25E7A9">
            <w:pPr>
              <w:spacing w:after="0" w:line="240" w:lineRule="auto"/>
            </w:pPr>
            <w:r>
              <w:rPr>
                <w:rFonts w:ascii="宋体" w:hAnsi="宋体" w:eastAsia="宋体"/>
                <w:sz w:val="21"/>
              </w:rPr>
              <w:t>精确测量钢尺几何参数，有限元仿真计算模态频率后标定</w:t>
            </w:r>
          </w:p>
        </w:tc>
      </w:tr>
      <w:tr w14:paraId="054C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2A540">
            <w:pPr>
              <w:spacing w:after="0" w:line="240" w:lineRule="auto"/>
            </w:pPr>
            <w:r>
              <w:rPr>
                <w:rFonts w:ascii="宋体" w:hAnsi="宋体" w:eastAsia="宋体"/>
                <w:sz w:val="21"/>
              </w:rPr>
              <w:t>接线松动或接触不良</w:t>
            </w:r>
          </w:p>
        </w:tc>
        <w:tc>
          <w:tcPr>
            <w:tcW w:w="2160" w:type="dxa"/>
          </w:tcPr>
          <w:p w14:paraId="756D9AE7">
            <w:pPr>
              <w:spacing w:after="0" w:line="240" w:lineRule="auto"/>
            </w:pPr>
            <w:r>
              <w:rPr>
                <w:rFonts w:ascii="宋体" w:hAnsi="宋体" w:eastAsia="宋体"/>
                <w:sz w:val="21"/>
              </w:rPr>
              <w:t>中</w:t>
            </w:r>
          </w:p>
        </w:tc>
        <w:tc>
          <w:tcPr>
            <w:tcW w:w="2160" w:type="dxa"/>
          </w:tcPr>
          <w:p w14:paraId="21F8C194">
            <w:pPr>
              <w:spacing w:after="0" w:line="240" w:lineRule="auto"/>
            </w:pPr>
            <w:r>
              <w:rPr>
                <w:rFonts w:ascii="宋体" w:hAnsi="宋体" w:eastAsia="宋体"/>
                <w:sz w:val="21"/>
              </w:rPr>
              <w:t>杜邦线在演示时可能出现接触问题</w:t>
            </w:r>
          </w:p>
        </w:tc>
        <w:tc>
          <w:tcPr>
            <w:tcW w:w="2160" w:type="dxa"/>
          </w:tcPr>
          <w:p w14:paraId="2D28F9A3">
            <w:pPr>
              <w:spacing w:after="0" w:line="240" w:lineRule="auto"/>
            </w:pPr>
            <w:r>
              <w:rPr>
                <w:rFonts w:ascii="宋体" w:hAnsi="宋体" w:eastAsia="宋体"/>
                <w:sz w:val="21"/>
              </w:rPr>
              <w:t>关键接线点焊接固定，备用一套接线，准备万用表现场排查</w:t>
            </w:r>
          </w:p>
        </w:tc>
      </w:tr>
    </w:tbl>
    <w:p>
      <w:pPr>
        <w:spacing w:line="360" w:lineRule="auto" w:after="80"/>
        <w:jc w:val="both"/>
      </w:pPr>
      <w:r>
        <w:rPr>
          <w:b w:val="0"/>
        </w:rPr>
        <w:t>正文引用编号已统一对应参考文献：[1]薄壁件铣削稳定性与颤振抑制研究；[2]颤振识别与抑制实验；[3]薄壁件铣削颤振深度学习检测；[4]神经网络动力学参数预测；[5]主动抑振研究；[6]颤振在线监测综述；[7]PINNs理论基础。</w:t>
      </w:r>
    </w:p>
    <w:p w14:paraId="31B934E7">
      <w:pPr>
        <w:pStyle w:val="3"/>
      </w:pPr>
      <w:r>
        <w:rPr>
          <w:rFonts w:ascii="黑体" w:hAnsi="黑体" w:eastAsia="黑体"/>
          <w:sz w:val="28"/>
        </w:rPr>
        <w:t>参考文献</w:t>
      </w:r>
    </w:p>
    <w:p w14:paraId="726C3B20">
      <w:pPr>
        <w:spacing w:line="360" w:lineRule="auto" w:after="60"/>
        <w:ind w:firstLine="0"/>
        <w:jc w:val="both"/>
      </w:pPr>
      <w:r>
        <w:rPr>
          <w:rFonts w:ascii="宋体" w:hAnsi="宋体" w:eastAsia="宋体"/>
          <w:sz w:val="21"/>
        </w:rPr>
        <w:t>[1] 李志民, 闫正虎, 解丽静, 等. 薄壁件铣削稳定性分析与颤振抑制方法研究进展[J]. 工具技术, 2025, 59(7): 1-12.</w:t>
      </w:r>
    </w:p>
    <w:p w14:paraId="3C62CCF3">
      <w:pPr>
        <w:spacing w:line="360" w:lineRule="auto" w:after="60"/>
        <w:ind w:firstLine="0"/>
        <w:jc w:val="both"/>
      </w:pPr>
      <w:r>
        <w:rPr>
          <w:rFonts w:ascii="宋体" w:hAnsi="宋体" w:eastAsia="宋体"/>
          <w:sz w:val="21"/>
        </w:rPr>
        <w:t>[2] 宜亚丽, 程阳洋, 陈晓卫, 等. 薄壁筒件机器人铣削颤振识别及抑制方法研究[J]. 中国机械工程, 2026, 37(3): 634-644.</w:t>
      </w:r>
    </w:p>
    <w:p w14:paraId="24971A19">
      <w:pPr>
        <w:spacing w:line="360" w:lineRule="auto" w:after="60"/>
        <w:ind w:firstLine="0"/>
        <w:jc w:val="both"/>
      </w:pPr>
      <w:r>
        <w:rPr>
          <w:rFonts w:ascii="宋体" w:hAnsi="宋体" w:eastAsia="宋体"/>
          <w:sz w:val="21"/>
        </w:rPr>
        <w:t>[3] Lu Y, Ma H, Sun Y, et al. An interpretable anti-noise convolutional neural network for online chatter detection in thin-walled part milling[J]. Mechanical Systems and Signal Processing, 2023, 196: 110885.</w:t>
      </w:r>
    </w:p>
    <w:p w14:paraId="45D896DF">
      <w:pPr>
        <w:spacing w:line="360" w:lineRule="auto" w:after="60"/>
        <w:ind w:firstLine="0"/>
        <w:jc w:val="both"/>
      </w:pPr>
      <w:r>
        <w:rPr>
          <w:rFonts w:ascii="宋体" w:hAnsi="宋体" w:eastAsia="宋体"/>
          <w:sz w:val="21"/>
        </w:rPr>
        <w:t>[4] 张宁波, 温斯涵, 张景琪, 等. 基于三层神经网络的曲面薄壁件铣削时变动力学参数预测方法[J]. 航天制造技术, 2024(2).</w:t>
      </w:r>
    </w:p>
    <w:p w14:paraId="71B8EA3B">
      <w:pPr>
        <w:spacing w:line="360" w:lineRule="auto" w:after="60"/>
        <w:ind w:firstLine="0"/>
        <w:jc w:val="both"/>
      </w:pPr>
      <w:r>
        <w:rPr>
          <w:rFonts w:ascii="宋体" w:hAnsi="宋体" w:eastAsia="宋体"/>
          <w:sz w:val="21"/>
        </w:rPr>
        <w:t>[5] 铝合金薄壁零件铣削加工颤振主动抑制方法[J]. 机械设计与制造, 2023(12): 3351-3357.</w:t>
      </w:r>
    </w:p>
    <w:p w14:paraId="45FFB736">
      <w:pPr>
        <w:spacing w:line="360" w:lineRule="auto" w:after="60"/>
        <w:ind w:firstLine="0"/>
        <w:jc w:val="both"/>
      </w:pPr>
      <w:r>
        <w:rPr>
          <w:rFonts w:ascii="宋体" w:hAnsi="宋体" w:eastAsia="宋体"/>
          <w:sz w:val="21"/>
        </w:rPr>
        <w:t>[6] 切削加工过程中颤振在线监测研究综述[J]. 航空学报, 2022.</w:t>
      </w:r>
    </w:p>
    <w:p w14:paraId="3BD2CADC">
      <w:pPr>
        <w:spacing w:line="360" w:lineRule="auto" w:after="60"/>
        <w:ind w:firstLine="0"/>
        <w:jc w:val="both"/>
      </w:pPr>
      <w:r>
        <w:rPr>
          <w:rFonts w:ascii="宋体" w:hAnsi="宋体" w:eastAsia="宋体"/>
          <w:sz w:val="21"/>
        </w:rPr>
        <w:t>[7] Raissi M, Perdikaris P, Karniadakis G E. Physics-informed neural networks: A deep learning framework for solving forward and inverse problems involving nonlinear partial differential equations[J]. Journal of Computational Physics, 2019, 378: 686-707.</w:t>
      </w:r>
      <w:bookmarkStart w:id="0" w:name="_GoBack"/>
      <w:bookmarkEnd w:id="0"/>
    </w:p>
    <w:p>
      <w:pPr>
        <w:spacing w:line="360" w:lineRule="auto" w:after="80"/>
        <w:jc w:val="both"/>
      </w:pPr>
    </w:p>
    <w:p>
      <w:pPr>
        <w:spacing w:line="360" w:lineRule="auto" w:after="80"/>
        <w:jc w:val="both"/>
      </w:pPr>
    </w:p>
    <w:p>
      <w:pPr>
        <w:spacing w:line="360" w:lineRule="auto" w:after="80"/>
        <w:jc w:val="both"/>
      </w:pPr>
    </w:p>
    <w:tbl>
      <w:tblPr>
        <w:tblStyle w:val="33"/>
        <w:tblW w:type="auto" w:w="0"/>
        <w:jc w:val="center"/>
        <w:tblLook w:firstColumn="1" w:firstRow="1" w:lastColumn="0" w:lastRow="0" w:noHBand="0" w:noVBand="1" w:val="04A0"/>
      </w:tblPr>
      <w:tblGrid>
        <w:gridCol w:w="1824"/>
        <w:gridCol w:w="1824"/>
        <w:gridCol w:w="1824"/>
        <w:gridCol w:w="1824"/>
        <w:gridCol w:w="1824"/>
      </w:tblGrid>
      <w:tr>
        <w:tc>
          <w:tcPr>
            <w:tcW w:type="dxa" w:w="1824"/>
          </w:tcPr>
          <w:p>
            <w:r>
              <w:t>技术环节</w:t>
            </w:r>
          </w:p>
        </w:tc>
        <w:tc>
          <w:tcPr>
            <w:tcW w:type="dxa" w:w="1824"/>
          </w:tcPr>
          <w:p>
            <w:r>
              <w:t>候选技术</w:t>
            </w:r>
          </w:p>
        </w:tc>
        <w:tc>
          <w:tcPr>
            <w:tcW w:type="dxa" w:w="1824"/>
          </w:tcPr>
          <w:p>
            <w:r>
              <w:t>基本原理</w:t>
            </w:r>
          </w:p>
        </w:tc>
        <w:tc>
          <w:tcPr>
            <w:tcW w:type="dxa" w:w="1824"/>
          </w:tcPr>
          <w:p>
            <w:r>
              <w:t>主要优点</w:t>
            </w:r>
          </w:p>
        </w:tc>
        <w:tc>
          <w:tcPr>
            <w:tcW w:type="dxa" w:w="1824"/>
          </w:tcPr>
          <w:p>
            <w:r>
              <w:t>主要不足及本项目选择</w:t>
            </w:r>
          </w:p>
        </w:tc>
      </w:tr>
      <w:tr>
        <w:tc>
          <w:tcPr>
            <w:tcW w:type="dxa" w:w="1824"/>
            <w:vAlign w:val="center"/>
          </w:tcPr>
          <w:p>
            <w:r>
              <w:t>振动感知</w:t>
            </w:r>
          </w:p>
        </w:tc>
        <w:tc>
          <w:tcPr>
            <w:tcW w:type="dxa" w:w="1824"/>
            <w:vAlign w:val="center"/>
          </w:tcPr>
          <w:p>
            <w:r>
              <w:t>压电式加速度传感器</w:t>
            </w:r>
          </w:p>
        </w:tc>
        <w:tc>
          <w:tcPr>
            <w:tcW w:type="dxa" w:w="1824"/>
            <w:vAlign w:val="center"/>
          </w:tcPr>
          <w:p>
            <w:r>
              <w:t>压电效应将机械振动转换为电信号</w:t>
            </w:r>
          </w:p>
        </w:tc>
        <w:tc>
          <w:tcPr>
            <w:tcW w:type="dxa" w:w="1824"/>
            <w:vAlign w:val="center"/>
          </w:tcPr>
          <w:p>
            <w:r>
              <w:t>高频响应好、工业测量成熟</w:t>
            </w:r>
          </w:p>
        </w:tc>
        <w:tc>
          <w:tcPr>
            <w:tcW w:type="dxa" w:w="1824"/>
            <w:vAlign w:val="center"/>
          </w:tcPr>
          <w:p>
            <w:r>
              <w:t>成本与信号调理复杂；暂不首选</w:t>
            </w:r>
          </w:p>
        </w:tc>
      </w:tr>
      <w:tr>
        <w:tc>
          <w:tcPr>
            <w:tcW w:type="dxa" w:w="1824"/>
            <w:vAlign w:val="center"/>
          </w:tcPr>
          <w:p>
            <w:r>
              <w:t>振动感知</w:t>
            </w:r>
          </w:p>
        </w:tc>
        <w:tc>
          <w:tcPr>
            <w:tcW w:type="dxa" w:w="1824"/>
            <w:vAlign w:val="center"/>
          </w:tcPr>
          <w:p>
            <w:r>
              <w:t>激光位移传感器</w:t>
            </w:r>
          </w:p>
        </w:tc>
        <w:tc>
          <w:tcPr>
            <w:tcW w:type="dxa" w:w="1824"/>
            <w:vAlign w:val="center"/>
          </w:tcPr>
          <w:p>
            <w:r>
              <w:t>激光测量结构表面位移</w:t>
            </w:r>
          </w:p>
        </w:tc>
        <w:tc>
          <w:tcPr>
            <w:tcW w:type="dxa" w:w="1824"/>
            <w:vAlign w:val="center"/>
          </w:tcPr>
          <w:p>
            <w:r>
              <w:t>非接触、位移精度高</w:t>
            </w:r>
          </w:p>
        </w:tc>
        <w:tc>
          <w:tcPr>
            <w:tcW w:type="dxa" w:w="1824"/>
            <w:vAlign w:val="center"/>
          </w:tcPr>
          <w:p>
            <w:r>
              <w:t>成本和环境要求较高；作为后续升级方向</w:t>
            </w:r>
          </w:p>
        </w:tc>
      </w:tr>
      <w:tr>
        <w:tc>
          <w:tcPr>
            <w:tcW w:type="dxa" w:w="1824"/>
            <w:vAlign w:val="center"/>
          </w:tcPr>
          <w:p>
            <w:r>
              <w:t>振动感知</w:t>
            </w:r>
          </w:p>
        </w:tc>
        <w:tc>
          <w:tcPr>
            <w:tcW w:type="dxa" w:w="1824"/>
            <w:vAlign w:val="center"/>
          </w:tcPr>
          <w:p>
            <w:r>
              <w:t>MEMS加速度传感器</w:t>
            </w:r>
          </w:p>
        </w:tc>
        <w:tc>
          <w:tcPr>
            <w:tcW w:type="dxa" w:w="1824"/>
            <w:vAlign w:val="center"/>
          </w:tcPr>
          <w:p>
            <w:r>
              <w:t>微机电结构检测惯性变化</w:t>
            </w:r>
          </w:p>
        </w:tc>
        <w:tc>
          <w:tcPr>
            <w:tcW w:type="dxa" w:w="1824"/>
            <w:vAlign w:val="center"/>
          </w:tcPr>
          <w:p>
            <w:r>
              <w:t>成本低、体积小、接口简单</w:t>
            </w:r>
          </w:p>
        </w:tc>
        <w:tc>
          <w:tcPr>
            <w:tcW w:type="dxa" w:w="1824"/>
            <w:vAlign w:val="center"/>
          </w:tcPr>
          <w:p>
            <w:r>
              <w:t>高频性能有限，但适合本项目实验验证；选用MPU6050</w:t>
            </w:r>
          </w:p>
        </w:tc>
      </w:tr>
      <w:tr>
        <w:tc>
          <w:tcPr>
            <w:tcW w:type="dxa" w:w="1824"/>
            <w:vAlign w:val="center"/>
          </w:tcPr>
          <w:p>
            <w:r>
              <w:t>颤振识别</w:t>
            </w:r>
          </w:p>
        </w:tc>
        <w:tc>
          <w:tcPr>
            <w:tcW w:type="dxa" w:w="1824"/>
            <w:vAlign w:val="center"/>
          </w:tcPr>
          <w:p>
            <w:r>
              <w:t>FFT/频谱分析</w:t>
            </w:r>
          </w:p>
        </w:tc>
        <w:tc>
          <w:tcPr>
            <w:tcW w:type="dxa" w:w="1824"/>
            <w:vAlign w:val="center"/>
          </w:tcPr>
          <w:p>
            <w:r>
              <w:t>时域信号转换到频域，识别特征频率和能量变化</w:t>
            </w:r>
          </w:p>
        </w:tc>
        <w:tc>
          <w:tcPr>
            <w:tcW w:type="dxa" w:w="1824"/>
            <w:vAlign w:val="center"/>
          </w:tcPr>
          <w:p>
            <w:r>
              <w:t>计算量小、可解释</w:t>
            </w:r>
          </w:p>
        </w:tc>
        <w:tc>
          <w:tcPr>
            <w:tcW w:type="dxa" w:w="1824"/>
            <w:vAlign w:val="center"/>
          </w:tcPr>
          <w:p>
            <w:r>
              <w:t>预测能力有限；作为辅助诊断工具</w:t>
            </w:r>
          </w:p>
        </w:tc>
      </w:tr>
      <w:tr>
        <w:tc>
          <w:tcPr>
            <w:tcW w:type="dxa" w:w="1824"/>
            <w:vAlign w:val="center"/>
          </w:tcPr>
          <w:p>
            <w:r>
              <w:t>颤振识别</w:t>
            </w:r>
          </w:p>
        </w:tc>
        <w:tc>
          <w:tcPr>
            <w:tcW w:type="dxa" w:w="1824"/>
            <w:vAlign w:val="center"/>
          </w:tcPr>
          <w:p>
            <w:r>
              <w:t>SVM等传统机器学习</w:t>
            </w:r>
          </w:p>
        </w:tc>
        <w:tc>
          <w:tcPr>
            <w:tcW w:type="dxa" w:w="1824"/>
            <w:vAlign w:val="center"/>
          </w:tcPr>
          <w:p>
            <w:r>
              <w:t>提取时域/频域特征后分类</w:t>
            </w:r>
          </w:p>
        </w:tc>
        <w:tc>
          <w:tcPr>
            <w:tcW w:type="dxa" w:w="1824"/>
            <w:vAlign w:val="center"/>
          </w:tcPr>
          <w:p>
            <w:r>
              <w:t>小样本下较稳定</w:t>
            </w:r>
          </w:p>
        </w:tc>
        <w:tc>
          <w:tcPr>
            <w:tcW w:type="dxa" w:w="1824"/>
            <w:vAlign w:val="center"/>
          </w:tcPr>
          <w:p>
            <w:r>
              <w:t>依赖人工特征工程，对复杂时变动力学描述有限</w:t>
            </w:r>
          </w:p>
        </w:tc>
      </w:tr>
      <w:tr>
        <w:tc>
          <w:tcPr>
            <w:tcW w:type="dxa" w:w="1824"/>
            <w:vAlign w:val="center"/>
          </w:tcPr>
          <w:p>
            <w:r>
              <w:t>颤振识别</w:t>
            </w:r>
          </w:p>
        </w:tc>
        <w:tc>
          <w:tcPr>
            <w:tcW w:type="dxa" w:w="1824"/>
            <w:vAlign w:val="center"/>
          </w:tcPr>
          <w:p>
            <w:r>
              <w:t>CNN/LSTM</w:t>
            </w:r>
          </w:p>
        </w:tc>
        <w:tc>
          <w:tcPr>
            <w:tcW w:type="dxa" w:w="1824"/>
            <w:vAlign w:val="center"/>
          </w:tcPr>
          <w:p>
            <w:r>
              <w:t>CNN提取局部特征，LSTM学习时序依赖</w:t>
            </w:r>
          </w:p>
        </w:tc>
        <w:tc>
          <w:tcPr>
            <w:tcW w:type="dxa" w:w="1824"/>
            <w:vAlign w:val="center"/>
          </w:tcPr>
          <w:p>
            <w:r>
              <w:t>识别能力强，已有研究基础</w:t>
            </w:r>
          </w:p>
        </w:tc>
        <w:tc>
          <w:tcPr>
            <w:tcW w:type="dxa" w:w="1824"/>
            <w:vAlign w:val="center"/>
          </w:tcPr>
          <w:p>
            <w:r>
              <w:t>主要依赖数据，物理约束不足；作为对比基线</w:t>
            </w:r>
          </w:p>
        </w:tc>
      </w:tr>
      <w:tr>
        <w:tc>
          <w:tcPr>
            <w:tcW w:type="dxa" w:w="1824"/>
            <w:vAlign w:val="center"/>
          </w:tcPr>
          <w:p>
            <w:r>
              <w:t>颤振识别</w:t>
            </w:r>
          </w:p>
        </w:tc>
        <w:tc>
          <w:tcPr>
            <w:tcW w:type="dxa" w:w="1824"/>
            <w:vAlign w:val="center"/>
          </w:tcPr>
          <w:p>
            <w:r>
              <w:t>PINNs</w:t>
            </w:r>
          </w:p>
        </w:tc>
        <w:tc>
          <w:tcPr>
            <w:tcW w:type="dxa" w:w="1824"/>
            <w:vAlign w:val="center"/>
          </w:tcPr>
          <w:p>
            <w:r>
              <w:t>将动力学微分方程作为物理残差加入网络训练</w:t>
            </w:r>
          </w:p>
        </w:tc>
        <w:tc>
          <w:tcPr>
            <w:tcW w:type="dxa" w:w="1824"/>
            <w:vAlign w:val="center"/>
          </w:tcPr>
          <w:p>
            <w:r>
              <w:t>融合数据与物理规律，小样本潜力强、可解释性较好</w:t>
            </w:r>
          </w:p>
        </w:tc>
        <w:tc>
          <w:tcPr>
            <w:tcW w:type="dxa" w:w="1824"/>
            <w:vAlign w:val="center"/>
          </w:tcPr>
          <w:p>
            <w:r>
              <w:t>训练难度较高，但与本项目动力学模型匹配；最终选用</w:t>
            </w:r>
          </w:p>
        </w:tc>
      </w:tr>
      <w:tr>
        <w:tc>
          <w:tcPr>
            <w:tcW w:type="dxa" w:w="1824"/>
            <w:vAlign w:val="center"/>
          </w:tcPr>
          <w:p>
            <w:r>
              <w:t>边缘计算</w:t>
            </w:r>
          </w:p>
        </w:tc>
        <w:tc>
          <w:tcPr>
            <w:tcW w:type="dxa" w:w="1824"/>
            <w:vAlign w:val="center"/>
          </w:tcPr>
          <w:p>
            <w:r>
              <w:t>Arduino/单片机</w:t>
            </w:r>
          </w:p>
        </w:tc>
        <w:tc>
          <w:tcPr>
            <w:tcW w:type="dxa" w:w="1824"/>
            <w:vAlign w:val="center"/>
          </w:tcPr>
          <w:p>
            <w:r>
              <w:t>微控制器直接完成采集与控制</w:t>
            </w:r>
          </w:p>
        </w:tc>
        <w:tc>
          <w:tcPr>
            <w:tcW w:type="dxa" w:w="1824"/>
            <w:vAlign w:val="center"/>
          </w:tcPr>
          <w:p>
            <w:r>
              <w:t>成本低、实时性好</w:t>
            </w:r>
          </w:p>
        </w:tc>
        <w:tc>
          <w:tcPr>
            <w:tcW w:type="dxa" w:w="1824"/>
            <w:vAlign w:val="center"/>
          </w:tcPr>
          <w:p>
            <w:r>
              <w:t>算力有限，不适合直接承担PINNs推理</w:t>
            </w:r>
          </w:p>
        </w:tc>
      </w:tr>
      <w:tr>
        <w:tc>
          <w:tcPr>
            <w:tcW w:type="dxa" w:w="1824"/>
            <w:vAlign w:val="center"/>
          </w:tcPr>
          <w:p>
            <w:r>
              <w:t>边缘计算</w:t>
            </w:r>
          </w:p>
        </w:tc>
        <w:tc>
          <w:tcPr>
            <w:tcW w:type="dxa" w:w="1824"/>
            <w:vAlign w:val="center"/>
          </w:tcPr>
          <w:p>
            <w:r>
              <w:t>树莓派4B</w:t>
            </w:r>
          </w:p>
        </w:tc>
        <w:tc>
          <w:tcPr>
            <w:tcW w:type="dxa" w:w="1824"/>
            <w:vAlign w:val="center"/>
          </w:tcPr>
          <w:p>
            <w:r>
              <w:t>ARM Linux平台运行模型推理与控制程序</w:t>
            </w:r>
          </w:p>
        </w:tc>
        <w:tc>
          <w:tcPr>
            <w:tcW w:type="dxa" w:w="1824"/>
            <w:vAlign w:val="center"/>
          </w:tcPr>
          <w:p>
            <w:r>
              <w:t>Python生态成熟、接口丰富、部署方便</w:t>
            </w:r>
          </w:p>
        </w:tc>
        <w:tc>
          <w:tcPr>
            <w:tcW w:type="dxa" w:w="1824"/>
            <w:vAlign w:val="center"/>
          </w:tcPr>
          <w:p>
            <w:r>
              <w:t>算力低于PC/Jetson；通过ONNX轻量化；最终选用</w:t>
            </w:r>
          </w:p>
        </w:tc>
      </w:tr>
      <w:tr>
        <w:tc>
          <w:tcPr>
            <w:tcW w:type="dxa" w:w="1824"/>
            <w:vAlign w:val="center"/>
          </w:tcPr>
          <w:p>
            <w:r>
              <w:t>抑振执行</w:t>
            </w:r>
          </w:p>
        </w:tc>
        <w:tc>
          <w:tcPr>
            <w:tcW w:type="dxa" w:w="1824"/>
            <w:vAlign w:val="center"/>
          </w:tcPr>
          <w:p>
            <w:r>
              <w:t>变转速</w:t>
            </w:r>
          </w:p>
        </w:tc>
        <w:tc>
          <w:tcPr>
            <w:tcW w:type="dxa" w:w="1824"/>
            <w:vAlign w:val="center"/>
          </w:tcPr>
          <w:p>
            <w:r>
              <w:t>改变主轴转速避开不稳定区域</w:t>
            </w:r>
          </w:p>
        </w:tc>
        <w:tc>
          <w:tcPr>
            <w:tcW w:type="dxa" w:w="1824"/>
            <w:vAlign w:val="center"/>
          </w:tcPr>
          <w:p>
            <w:r>
              <w:t>已有研究验证</w:t>
            </w:r>
          </w:p>
        </w:tc>
        <w:tc>
          <w:tcPr>
            <w:tcW w:type="dxa" w:w="1824"/>
            <w:vAlign w:val="center"/>
          </w:tcPr>
          <w:p>
            <w:r>
              <w:t>会改变加工参数；本项目希望参数基本不变</w:t>
            </w:r>
          </w:p>
        </w:tc>
      </w:tr>
      <w:tr>
        <w:tc>
          <w:tcPr>
            <w:tcW w:type="dxa" w:w="1824"/>
            <w:vAlign w:val="center"/>
          </w:tcPr>
          <w:p>
            <w:r>
              <w:t>抑振执行</w:t>
            </w:r>
          </w:p>
        </w:tc>
        <w:tc>
          <w:tcPr>
            <w:tcW w:type="dxa" w:w="1824"/>
            <w:vAlign w:val="center"/>
          </w:tcPr>
          <w:p>
            <w:r>
              <w:t>电磁/压电主动控制</w:t>
            </w:r>
          </w:p>
        </w:tc>
        <w:tc>
          <w:tcPr>
            <w:tcW w:type="dxa" w:w="1824"/>
            <w:vAlign w:val="center"/>
          </w:tcPr>
          <w:p>
            <w:r>
              <w:t>利用电磁力或压电执行器施加控制力</w:t>
            </w:r>
          </w:p>
        </w:tc>
        <w:tc>
          <w:tcPr>
            <w:tcW w:type="dxa" w:w="1824"/>
            <w:vAlign w:val="center"/>
          </w:tcPr>
          <w:p>
            <w:r>
              <w:t>响应快、控制能力强</w:t>
            </w:r>
          </w:p>
        </w:tc>
        <w:tc>
          <w:tcPr>
            <w:tcW w:type="dxa" w:w="1824"/>
            <w:vAlign w:val="center"/>
          </w:tcPr>
          <w:p>
            <w:r>
              <w:t>驱动和控制复杂、成本较高；暂不首选</w:t>
            </w:r>
          </w:p>
        </w:tc>
      </w:tr>
      <w:tr>
        <w:tc>
          <w:tcPr>
            <w:tcW w:type="dxa" w:w="1824"/>
            <w:vAlign w:val="center"/>
          </w:tcPr>
          <w:p>
            <w:r>
              <w:t>抑振执行</w:t>
            </w:r>
          </w:p>
        </w:tc>
        <w:tc>
          <w:tcPr>
            <w:tcW w:type="dxa" w:w="1824"/>
            <w:vAlign w:val="center"/>
          </w:tcPr>
          <w:p>
            <w:r>
              <w:t>可变机械阻尼</w:t>
            </w:r>
          </w:p>
        </w:tc>
        <w:tc>
          <w:tcPr>
            <w:tcW w:type="dxa" w:w="1824"/>
            <w:vAlign w:val="center"/>
          </w:tcPr>
          <w:p>
            <w:r>
              <w:t>调节摩擦压力或弹簧预紧力改变等效阻尼</w:t>
            </w:r>
          </w:p>
        </w:tc>
        <w:tc>
          <w:tcPr>
            <w:tcW w:type="dxa" w:w="1824"/>
            <w:vAlign w:val="center"/>
          </w:tcPr>
          <w:p>
            <w:r>
              <w:t>结构直观、成本低、易加工展示</w:t>
            </w:r>
          </w:p>
        </w:tc>
        <w:tc>
          <w:tcPr>
            <w:tcW w:type="dxa" w:w="1824"/>
            <w:vAlign w:val="center"/>
          </w:tcPr>
          <w:p>
            <w:r>
              <w:t>机械响应速度有限，但与桌面级平台匹配；最终选用</w:t>
            </w:r>
          </w:p>
        </w:tc>
      </w:tr>
    </w:tbl>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p>
      <w:pPr>
        <w:spacing w:line="360" w:lineRule="auto" w:after="80"/>
        <w:jc w:val="both"/>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3D2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3941</Words>
  <Characters>4943</Characters>
  <Lines>0</Lines>
  <Paragraphs>0</Paragraphs>
  <TotalTime>3</TotalTime>
  <ScaleCrop>false</ScaleCrop>
  <LinksUpToDate>false</LinksUpToDate>
  <CharactersWithSpaces>5088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刘川</cp:lastModifiedBy>
  <dcterms:modified xsi:type="dcterms:W3CDTF">2026-08-07T01:06:22Z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eyJoZGlkIjoiMWE2ODUxM2U4ZmE0NjQ1MWQwMGMxZjQyMGQ4YTAwNjkiLCJ1c2VySWQiOiIxNzU0OTk0Nzc5In0=</vt:lpwstr>
  </property>
  <property fmtid="{D5CDD505-2E9C-101B-9397-08002B2CF9AE}" pid="3" name="KSOProductBuildVer">
    <vt:lpwstr>2052-12.1.0.26373</vt:lpwstr>
  </property>
  <property fmtid="{D5CDD505-2E9C-101B-9397-08002B2CF9AE}" pid="4" name="ICV">
    <vt:lpwstr>3C90E9821C754E2489EAC269FDD15C89_13</vt:lpwstr>
  </property>
</Properties>
</file>