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C4C8E0">
      <w:pPr>
        <w:pStyle w:val="165"/>
        <w:jc w:val="center"/>
        <w:rPr>
          <w:rFonts w:asciiTheme="majorHAnsi" w:hAnsiTheme="majorHAnsi"/>
          <w:b/>
          <w:bCs/>
          <w:sz w:val="28"/>
        </w:rPr>
      </w:pPr>
      <w:r>
        <w:rPr>
          <w:rFonts w:asciiTheme="majorHAnsi" w:hAnsiTheme="majorHAnsi"/>
          <w:b/>
          <w:bCs/>
          <w:sz w:val="28"/>
        </w:rPr>
        <w:t>Machine Learning–Based Cross-Sectional Stock Selection for the S&amp;P 500</w:t>
      </w:r>
    </w:p>
    <w:p w14:paraId="4E5F644C">
      <w:pPr>
        <w:pStyle w:val="165"/>
        <w:jc w:val="center"/>
        <w:rPr>
          <w:rFonts w:eastAsia="宋体" w:asciiTheme="majorHAnsi" w:hAnsiTheme="majorHAnsi"/>
          <w:b/>
          <w:bCs/>
          <w:lang w:eastAsia="zh-CN"/>
        </w:rPr>
      </w:pPr>
    </w:p>
    <w:p w14:paraId="139A1132">
      <w:pPr>
        <w:pStyle w:val="165"/>
        <w:rPr>
          <w:rFonts w:eastAsia="宋体" w:asciiTheme="majorHAnsi" w:hAnsiTheme="majorHAnsi"/>
          <w:b/>
          <w:bCs/>
          <w:lang w:eastAsia="zh-CN"/>
        </w:rPr>
      </w:pPr>
      <w:r>
        <w:rPr>
          <w:rFonts w:asciiTheme="majorHAnsi" w:hAnsiTheme="majorHAnsi"/>
          <w:b/>
          <w:bCs/>
        </w:rPr>
        <w:t>Team Composition &amp; Initial Exploration</w:t>
      </w:r>
    </w:p>
    <w:p w14:paraId="18925CC5">
      <w:pPr>
        <w:pStyle w:val="165"/>
        <w:rPr>
          <w:rFonts w:asciiTheme="majorHAnsi" w:hAnsiTheme="majorHAnsi"/>
        </w:rPr>
      </w:pPr>
      <w:r>
        <w:rPr>
          <w:rFonts w:asciiTheme="majorHAnsi" w:hAnsiTheme="majorHAnsi"/>
        </w:rPr>
        <w:t xml:space="preserve">Our team consists of </w:t>
      </w:r>
      <w:r>
        <w:rPr>
          <w:rFonts w:hint="eastAsia" w:asciiTheme="majorHAnsi" w:hAnsiTheme="majorHAnsi"/>
          <w:lang w:val="en-US" w:eastAsia="zh-CN"/>
        </w:rPr>
        <w:t>three</w:t>
      </w:r>
      <w:bookmarkStart w:id="0" w:name="_GoBack"/>
      <w:bookmarkEnd w:id="0"/>
      <w:r>
        <w:rPr>
          <w:rFonts w:asciiTheme="majorHAnsi" w:hAnsiTheme="majorHAnsi"/>
        </w:rPr>
        <w:t xml:space="preserve"> members. One member</w:t>
      </w:r>
      <w:r>
        <w:rPr>
          <w:rFonts w:hint="eastAsia" w:asciiTheme="majorHAnsi" w:hAnsiTheme="majorHAnsi"/>
          <w:lang w:eastAsia="zh-CN"/>
        </w:rPr>
        <w:t xml:space="preserve"> (Chenyu Liu)</w:t>
      </w:r>
      <w:r>
        <w:rPr>
          <w:rFonts w:asciiTheme="majorHAnsi" w:hAnsiTheme="majorHAnsi"/>
        </w:rPr>
        <w:t xml:space="preserve"> is primarily responsible for data preprocessing, feature engineering, and exploratory analysis, while the other</w:t>
      </w:r>
      <w:r>
        <w:rPr>
          <w:rFonts w:hint="eastAsia" w:asciiTheme="majorHAnsi" w:hAnsiTheme="majorHAnsi"/>
          <w:lang w:eastAsia="zh-CN"/>
        </w:rPr>
        <w:t xml:space="preserve"> (Yi Lu)</w:t>
      </w:r>
      <w:r>
        <w:rPr>
          <w:rFonts w:asciiTheme="majorHAnsi" w:hAnsiTheme="majorHAnsi"/>
        </w:rPr>
        <w:t xml:space="preserve"> focuses on</w:t>
      </w:r>
      <w:r>
        <w:rPr>
          <w:rFonts w:hint="eastAsia" w:asciiTheme="majorHAnsi" w:hAnsiTheme="majorHAnsi"/>
          <w:lang w:val="en-US" w:eastAsia="zh-CN"/>
        </w:rPr>
        <w:t xml:space="preserve"> Random Forest and XGBoost</w:t>
      </w:r>
      <w:r>
        <w:rPr>
          <w:rFonts w:asciiTheme="majorHAnsi" w:hAnsiTheme="majorHAnsi"/>
        </w:rPr>
        <w:t xml:space="preserve"> model</w:t>
      </w:r>
      <w:r>
        <w:rPr>
          <w:rFonts w:hint="eastAsia" w:asciiTheme="majorHAnsi" w:hAnsiTheme="majorHAnsi"/>
          <w:lang w:val="en-US" w:eastAsia="zh-CN"/>
        </w:rPr>
        <w:t>s</w:t>
      </w:r>
      <w:r>
        <w:rPr>
          <w:rFonts w:asciiTheme="majorHAnsi" w:hAnsiTheme="majorHAnsi"/>
        </w:rPr>
        <w:t xml:space="preserve"> development, evaluation, and result interpretation. </w:t>
      </w:r>
      <w:r>
        <w:rPr>
          <w:rFonts w:hint="eastAsia" w:asciiTheme="majorHAnsi" w:hAnsiTheme="majorHAnsi"/>
          <w:lang w:val="en-US" w:eastAsia="zh-CN"/>
        </w:rPr>
        <w:t xml:space="preserve">And the third member (Yukang Luo) is responsible for logistic regression and its evaluation, risk and mitigation. All </w:t>
      </w:r>
      <w:r>
        <w:rPr>
          <w:rFonts w:asciiTheme="majorHAnsi" w:hAnsiTheme="majorHAnsi"/>
        </w:rPr>
        <w:t>members collaborate on experimental design and report writing.</w:t>
      </w:r>
      <w:r>
        <w:rPr>
          <w:rFonts w:asciiTheme="majorHAnsi" w:hAnsiTheme="majorHAnsi"/>
        </w:rPr>
        <w:br w:type="textWrapping"/>
      </w:r>
      <w:r>
        <w:rPr>
          <w:rFonts w:asciiTheme="majorHAnsi" w:hAnsiTheme="majorHAnsi"/>
        </w:rPr>
        <w:t>During initial brainstorming, we explored topics such as time-series forecasting of individual stock prices, index-level return prediction, and volatility modeling. We ultimately selected a cross-sectional stock selection problem because it aligns more closely with real-world investment decision-making and allows us to evaluate machine learning models in a realistic out-of-sample setting.</w:t>
      </w:r>
    </w:p>
    <w:p w14:paraId="4F2681FE">
      <w:pPr>
        <w:pStyle w:val="165"/>
        <w:rPr>
          <w:rFonts w:asciiTheme="majorHAnsi" w:hAnsiTheme="majorHAnsi"/>
        </w:rPr>
      </w:pPr>
    </w:p>
    <w:p w14:paraId="41FDAE7C">
      <w:pPr>
        <w:pStyle w:val="165"/>
        <w:rPr>
          <w:rFonts w:asciiTheme="majorHAnsi" w:hAnsiTheme="majorHAnsi"/>
          <w:b/>
          <w:bCs/>
        </w:rPr>
      </w:pPr>
      <w:r>
        <w:rPr>
          <w:rFonts w:asciiTheme="majorHAnsi" w:hAnsiTheme="majorHAnsi"/>
          <w:b/>
          <w:bCs/>
        </w:rPr>
        <w:t>Problem Statement &amp; Motivation</w:t>
      </w:r>
    </w:p>
    <w:p w14:paraId="3C1B9860">
      <w:pPr>
        <w:pStyle w:val="165"/>
        <w:rPr>
          <w:rFonts w:asciiTheme="majorHAnsi" w:hAnsiTheme="majorHAnsi"/>
        </w:rPr>
      </w:pPr>
      <w:r>
        <w:rPr>
          <w:rFonts w:asciiTheme="majorHAnsi" w:hAnsiTheme="majorHAnsi"/>
        </w:rPr>
        <w:t>The goal of this project is to predict next-month stock performance rankings among S&amp;P 500 constituents using machine learning models trained on technical indicators derived from historical price and volume data. Specifically, we focus on August month-end observations, which coincide with the completion of second-quarter earnings releases.</w:t>
      </w:r>
      <w:r>
        <w:rPr>
          <w:rFonts w:asciiTheme="majorHAnsi" w:hAnsiTheme="majorHAnsi"/>
        </w:rPr>
        <w:br w:type="textWrapping"/>
      </w:r>
      <w:r>
        <w:rPr>
          <w:rFonts w:asciiTheme="majorHAnsi" w:hAnsiTheme="majorHAnsi"/>
        </w:rPr>
        <w:t>August is a particularly informative rebalancing point because corporate fundamentals and earnings information have largely been incorporated into prices by this time. Institutional investors and fund managers often rebalance portfolios following Q2 earnings season, making August-end market data rich in informational content and market sentiment. By predicting September returns based on August signals, we aim to capture this post-earnings adjustment effect.</w:t>
      </w:r>
      <w:r>
        <w:rPr>
          <w:rFonts w:asciiTheme="majorHAnsi" w:hAnsiTheme="majorHAnsi"/>
        </w:rPr>
        <w:br w:type="textWrapping"/>
      </w:r>
      <w:r>
        <w:rPr>
          <w:rFonts w:asciiTheme="majorHAnsi" w:hAnsiTheme="majorHAnsi"/>
        </w:rPr>
        <w:t>Improved stock selection methods can lead to more efficient capital allocation, benefiting asset managers, pension funds, and individual investors. From an economic perspective, this project examines whether machine learning models can extract meaningful signals from widely available market data.</w:t>
      </w:r>
    </w:p>
    <w:p w14:paraId="68E03AFB">
      <w:pPr>
        <w:pStyle w:val="165"/>
        <w:rPr>
          <w:rFonts w:asciiTheme="majorHAnsi" w:hAnsiTheme="majorHAnsi"/>
        </w:rPr>
      </w:pPr>
    </w:p>
    <w:p w14:paraId="09B15FBD">
      <w:pPr>
        <w:pStyle w:val="165"/>
        <w:rPr>
          <w:rFonts w:asciiTheme="majorHAnsi" w:hAnsiTheme="majorHAnsi"/>
          <w:b/>
          <w:bCs/>
        </w:rPr>
      </w:pPr>
      <w:r>
        <w:rPr>
          <w:rFonts w:asciiTheme="majorHAnsi" w:hAnsiTheme="majorHAnsi"/>
          <w:b/>
          <w:bCs/>
        </w:rPr>
        <w:t>Data Description &amp; Collection Plan</w:t>
      </w:r>
    </w:p>
    <w:p w14:paraId="74B2865C">
      <w:pPr>
        <w:pStyle w:val="165"/>
        <w:rPr>
          <w:rFonts w:asciiTheme="majorHAnsi" w:hAnsiTheme="majorHAnsi"/>
        </w:rPr>
      </w:pPr>
      <w:r>
        <w:rPr>
          <w:rFonts w:asciiTheme="majorHAnsi" w:hAnsiTheme="majorHAnsi"/>
        </w:rPr>
        <w:t>We use historical daily stock data for companies included in the S&amp;P 500 index from February 2013 to February 2018. The dataset is sourced from Kaggle</w:t>
      </w:r>
      <w:r>
        <w:rPr>
          <w:rFonts w:hint="eastAsia" w:asciiTheme="majorHAnsi" w:hAnsiTheme="majorHAnsi"/>
          <w:lang w:eastAsia="zh-CN"/>
        </w:rPr>
        <w:t xml:space="preserve"> </w:t>
      </w:r>
      <w:r>
        <w:rPr>
          <w:rFonts w:asciiTheme="majorHAnsi" w:hAnsiTheme="majorHAnsi"/>
        </w:rPr>
        <w:t>(</w:t>
      </w:r>
      <w:r>
        <w:fldChar w:fldCharType="begin"/>
      </w:r>
      <w:r>
        <w:instrText xml:space="preserve"> HYPERLINK "https://www.kaggle.com/datasets/soylevbeytullah/s-and-p-stock-price-analysis/data" </w:instrText>
      </w:r>
      <w:r>
        <w:fldChar w:fldCharType="separate"/>
      </w:r>
      <w:r>
        <w:rPr>
          <w:rStyle w:val="135"/>
          <w:rFonts w:asciiTheme="majorHAnsi" w:hAnsiTheme="majorHAnsi"/>
        </w:rPr>
        <w:t>https://www.kaggle.com/datasets/soylevbeytullah/s-and-p-stock-price-analysis/data</w:t>
      </w:r>
      <w:r>
        <w:rPr>
          <w:rStyle w:val="135"/>
          <w:rFonts w:asciiTheme="majorHAnsi" w:hAnsiTheme="majorHAnsi"/>
        </w:rPr>
        <w:fldChar w:fldCharType="end"/>
      </w:r>
      <w:r>
        <w:rPr>
          <w:rFonts w:asciiTheme="majorHAnsi" w:hAnsiTheme="majorHAnsi"/>
        </w:rPr>
        <w:t>) and contains standard OHLCV variables: Open, High, Low, Close, and Volume.</w:t>
      </w:r>
      <w:r>
        <w:rPr>
          <w:rFonts w:asciiTheme="majorHAnsi" w:hAnsiTheme="majorHAnsi"/>
        </w:rPr>
        <w:br w:type="textWrapping"/>
      </w:r>
      <w:r>
        <w:rPr>
          <w:rFonts w:asciiTheme="majorHAnsi" w:hAnsiTheme="majorHAnsi"/>
        </w:rPr>
        <w:t>Rather than relying on pre-computed indicators, we construct all features ourselves using the raw OHLCV data. At each August month-end from 2013 to 2017, we compute momentum indicators, moving-average-based trend features, volatility measures, intraday price range metrics, and volume-related indicators. This feature construction step is central to our project and allows us to incorporate financial intuition into the machine learning pipeline.</w:t>
      </w:r>
      <w:r>
        <w:rPr>
          <w:rFonts w:asciiTheme="majorHAnsi" w:hAnsiTheme="majorHAnsi"/>
        </w:rPr>
        <w:br w:type="textWrapping"/>
      </w:r>
      <w:r>
        <w:rPr>
          <w:rFonts w:asciiTheme="majorHAnsi" w:hAnsiTheme="majorHAnsi"/>
        </w:rPr>
        <w:t>Potential challenges include missing data due to index reconstitution and varying trading histories. Stocks lacking sufficient historical data to compute features are excluded. All features are standardized cross-sectionally at each time point.</w:t>
      </w:r>
    </w:p>
    <w:p w14:paraId="3997C9AE">
      <w:pPr>
        <w:pStyle w:val="165"/>
        <w:rPr>
          <w:rFonts w:asciiTheme="majorHAnsi" w:hAnsiTheme="majorHAnsi"/>
        </w:rPr>
      </w:pPr>
    </w:p>
    <w:p w14:paraId="7FD97A2B">
      <w:pPr>
        <w:pStyle w:val="165"/>
        <w:rPr>
          <w:rFonts w:asciiTheme="majorHAnsi" w:hAnsiTheme="majorHAnsi"/>
          <w:b/>
          <w:bCs/>
        </w:rPr>
      </w:pPr>
      <w:r>
        <w:rPr>
          <w:rFonts w:asciiTheme="majorHAnsi" w:hAnsiTheme="majorHAnsi"/>
          <w:b/>
          <w:bCs/>
        </w:rPr>
        <w:t>Planned ML Approach</w:t>
      </w:r>
    </w:p>
    <w:p w14:paraId="5530C279">
      <w:pPr>
        <w:pStyle w:val="165"/>
        <w:rPr>
          <w:rFonts w:asciiTheme="majorHAnsi" w:hAnsiTheme="majorHAnsi"/>
        </w:rPr>
      </w:pPr>
      <w:r>
        <w:rPr>
          <w:rFonts w:asciiTheme="majorHAnsi" w:hAnsiTheme="majorHAnsi"/>
        </w:rPr>
        <w:t>The project is formulated as a supervised learning problem. The prediction target is the next-month (September) stock return following each August observation. While returns are continuous, our primary objective is to rank stocks by expected performance.</w:t>
      </w:r>
      <w:r>
        <w:rPr>
          <w:rFonts w:asciiTheme="majorHAnsi" w:hAnsiTheme="majorHAnsi"/>
        </w:rPr>
        <w:br w:type="textWrapping"/>
      </w:r>
      <w:r>
        <w:rPr>
          <w:rFonts w:asciiTheme="majorHAnsi" w:hAnsiTheme="majorHAnsi"/>
        </w:rPr>
        <w:t>We plan to evaluate three models:</w:t>
      </w:r>
      <w:r>
        <w:rPr>
          <w:rFonts w:asciiTheme="majorHAnsi" w:hAnsiTheme="majorHAnsi"/>
        </w:rPr>
        <w:br w:type="textWrapping"/>
      </w:r>
      <w:r>
        <w:rPr>
          <w:rFonts w:asciiTheme="majorHAnsi" w:hAnsiTheme="majorHAnsi"/>
        </w:rPr>
        <w:t>1. Logistic Regression, where returns are discretized into outperform/underperform classes.</w:t>
      </w:r>
      <w:r>
        <w:rPr>
          <w:rFonts w:asciiTheme="majorHAnsi" w:hAnsiTheme="majorHAnsi"/>
        </w:rPr>
        <w:br w:type="textWrapping"/>
      </w:r>
      <w:r>
        <w:rPr>
          <w:rFonts w:asciiTheme="majorHAnsi" w:hAnsiTheme="majorHAnsi"/>
        </w:rPr>
        <w:t>2. Random Forest, to capture nonlinear relationships among technical indicators.</w:t>
      </w:r>
      <w:r>
        <w:rPr>
          <w:rFonts w:asciiTheme="majorHAnsi" w:hAnsiTheme="majorHAnsi"/>
        </w:rPr>
        <w:br w:type="textWrapping"/>
      </w:r>
      <w:r>
        <w:rPr>
          <w:rFonts w:asciiTheme="majorHAnsi" w:hAnsiTheme="majorHAnsi"/>
        </w:rPr>
        <w:t>3. XGBoost, a gradient boosting model known for strong performance on structured tabular data.</w:t>
      </w:r>
      <w:r>
        <w:rPr>
          <w:rFonts w:asciiTheme="majorHAnsi" w:hAnsiTheme="majorHAnsi"/>
        </w:rPr>
        <w:br w:type="textWrapping"/>
      </w:r>
      <w:r>
        <w:rPr>
          <w:rFonts w:asciiTheme="majorHAnsi" w:hAnsiTheme="majorHAnsi"/>
        </w:rPr>
        <w:t>These models represent increasing levels of complexity and allow us to study the trade-off between interpretability and predictive power.</w:t>
      </w:r>
    </w:p>
    <w:p w14:paraId="083426E9">
      <w:pPr>
        <w:pStyle w:val="165"/>
        <w:rPr>
          <w:rFonts w:asciiTheme="majorHAnsi" w:hAnsiTheme="majorHAnsi"/>
        </w:rPr>
      </w:pPr>
    </w:p>
    <w:p w14:paraId="4AA189BA">
      <w:pPr>
        <w:pStyle w:val="165"/>
        <w:rPr>
          <w:rFonts w:asciiTheme="majorHAnsi" w:hAnsiTheme="majorHAnsi"/>
          <w:b/>
          <w:bCs/>
        </w:rPr>
      </w:pPr>
      <w:r>
        <w:rPr>
          <w:rFonts w:asciiTheme="majorHAnsi" w:hAnsiTheme="majorHAnsi"/>
          <w:b/>
          <w:bCs/>
        </w:rPr>
        <w:t>Verification, Evaluation &amp; Comparison Plan</w:t>
      </w:r>
    </w:p>
    <w:p w14:paraId="27F315E7">
      <w:pPr>
        <w:pStyle w:val="165"/>
        <w:rPr>
          <w:rFonts w:asciiTheme="majorHAnsi" w:hAnsiTheme="majorHAnsi"/>
        </w:rPr>
      </w:pPr>
      <w:r>
        <w:rPr>
          <w:rFonts w:asciiTheme="majorHAnsi" w:hAnsiTheme="majorHAnsi"/>
        </w:rPr>
        <w:t>To prevent look-ahead bias, we use a strict chronological split. Data from 2013–2016 are used for training, while 2017 is reserved exclusively for testing.</w:t>
      </w:r>
      <w:r>
        <w:rPr>
          <w:rFonts w:asciiTheme="majorHAnsi" w:hAnsiTheme="majorHAnsi"/>
        </w:rPr>
        <w:br w:type="textWrapping"/>
      </w:r>
      <w:r>
        <w:rPr>
          <w:rFonts w:asciiTheme="majorHAnsi" w:hAnsiTheme="majorHAnsi"/>
        </w:rPr>
        <w:t xml:space="preserve">Evaluation is conducted using both statistical and investment-oriented metrics. For </w:t>
      </w:r>
      <w:r>
        <w:rPr>
          <w:rFonts w:hint="eastAsia" w:asciiTheme="majorHAnsi" w:hAnsiTheme="majorHAnsi"/>
          <w:lang w:eastAsia="zh-CN"/>
        </w:rPr>
        <w:t>logistic regression</w:t>
      </w:r>
      <w:r>
        <w:rPr>
          <w:rFonts w:asciiTheme="majorHAnsi" w:hAnsiTheme="majorHAnsi"/>
        </w:rPr>
        <w:t xml:space="preserve">, accuracy and AUC are reported. For </w:t>
      </w:r>
      <w:r>
        <w:rPr>
          <w:rFonts w:hint="eastAsia" w:asciiTheme="majorHAnsi" w:hAnsiTheme="majorHAnsi"/>
          <w:lang w:eastAsia="zh-CN"/>
        </w:rPr>
        <w:t>RF and XGBoost</w:t>
      </w:r>
      <w:r>
        <w:rPr>
          <w:rFonts w:asciiTheme="majorHAnsi" w:hAnsiTheme="majorHAnsi"/>
        </w:rPr>
        <w:t xml:space="preserve">, we report RMSE/MAE (and optionally </w:t>
      </w:r>
      <m:oMath>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2</m:t>
            </m:r>
            <m:ctrlPr>
              <w:rPr>
                <w:rFonts w:ascii="Cambria Math" w:hAnsi="Cambria Math"/>
              </w:rPr>
            </m:ctrlPr>
          </m:sup>
        </m:sSup>
      </m:oMath>
      <w:r>
        <w:rPr>
          <w:rFonts w:asciiTheme="majorHAnsi" w:hAnsiTheme="majorHAnsi"/>
        </w:rPr>
        <w:t>)</w:t>
      </w:r>
      <w:r>
        <w:rPr>
          <w:rFonts w:asciiTheme="majorHAnsi" w:hAnsiTheme="majorHAnsi"/>
          <w:lang w:eastAsia="zh-CN"/>
        </w:rPr>
        <w:t xml:space="preserve">. </w:t>
      </w:r>
      <w:r>
        <w:rPr>
          <w:rFonts w:asciiTheme="majorHAnsi" w:hAnsiTheme="majorHAnsi"/>
        </w:rPr>
        <w:t>For portfolio evaluation, stocks are ranked by predicted performance and the realized average return of the top 20% is computed. This portfolio is compared against a baseline equal-weighted S&amp;P 500 portfoli</w:t>
      </w:r>
      <w:r>
        <w:rPr>
          <w:rFonts w:hint="eastAsia" w:asciiTheme="majorHAnsi" w:hAnsiTheme="majorHAnsi"/>
          <w:lang w:eastAsia="zh-CN"/>
        </w:rPr>
        <w:t>o</w:t>
      </w:r>
      <w:r>
        <w:rPr>
          <w:rFonts w:asciiTheme="majorHAnsi" w:hAnsiTheme="majorHAnsi"/>
        </w:rPr>
        <w:t>.</w:t>
      </w:r>
    </w:p>
    <w:p w14:paraId="0557C8B2">
      <w:pPr>
        <w:pStyle w:val="165"/>
        <w:rPr>
          <w:rFonts w:asciiTheme="majorHAnsi" w:hAnsiTheme="majorHAnsi"/>
        </w:rPr>
      </w:pPr>
    </w:p>
    <w:p w14:paraId="16EFACF7">
      <w:pPr>
        <w:pStyle w:val="165"/>
        <w:rPr>
          <w:rFonts w:asciiTheme="majorHAnsi" w:hAnsiTheme="majorHAnsi"/>
          <w:b/>
          <w:bCs/>
        </w:rPr>
      </w:pPr>
      <w:r>
        <w:rPr>
          <w:rFonts w:asciiTheme="majorHAnsi" w:hAnsiTheme="majorHAnsi"/>
          <w:b/>
          <w:bCs/>
        </w:rPr>
        <w:t>Risks &amp; Mitigation Strategies</w:t>
      </w:r>
    </w:p>
    <w:p w14:paraId="03CB3E86">
      <w:pPr>
        <w:pStyle w:val="165"/>
        <w:rPr>
          <w:rFonts w:asciiTheme="majorHAnsi" w:hAnsiTheme="majorHAnsi"/>
        </w:rPr>
      </w:pPr>
      <w:r>
        <w:rPr>
          <w:rFonts w:asciiTheme="majorHAnsi" w:hAnsiTheme="majorHAnsi"/>
        </w:rPr>
        <w:t>A primary risk is the limited number of yearly observation points. This is mitigated by leveraging the cross-sectional dimension of the data, which includes hundreds of stocks at each decision point. Another risk is overfitting, particularly for ensemble models. Regularization, conservative hyperparameter tuning, and benchmarking against simpler models help control this risk. Feature redundancy and noise are addressed through feature importance analysis.</w:t>
      </w:r>
    </w:p>
    <w:p w14:paraId="0B8CE3B9">
      <w:pPr>
        <w:pStyle w:val="165"/>
        <w:rPr>
          <w:rFonts w:asciiTheme="majorHAnsi" w:hAnsiTheme="majorHAnsi"/>
        </w:rPr>
      </w:pPr>
    </w:p>
    <w:p w14:paraId="272A5666">
      <w:pPr>
        <w:pStyle w:val="165"/>
        <w:rPr>
          <w:rFonts w:asciiTheme="majorHAnsi" w:hAnsiTheme="majorHAnsi"/>
          <w:b/>
          <w:bCs/>
        </w:rPr>
      </w:pPr>
      <w:r>
        <w:rPr>
          <w:rFonts w:asciiTheme="majorHAnsi" w:hAnsiTheme="majorHAnsi"/>
          <w:b/>
          <w:bCs/>
        </w:rPr>
        <w:t>Project Management Plan</w:t>
      </w:r>
    </w:p>
    <w:p w14:paraId="1E4157FB">
      <w:pPr>
        <w:pStyle w:val="165"/>
        <w:rPr>
          <w:rFonts w:asciiTheme="majorHAnsi" w:hAnsiTheme="majorHAnsi"/>
        </w:rPr>
      </w:pPr>
      <w:r>
        <w:rPr>
          <w:rFonts w:asciiTheme="majorHAnsi" w:hAnsiTheme="majorHAnsi"/>
        </w:rPr>
        <w:t xml:space="preserve">Weeks 1–2: Data preprocessing and feature construction  </w:t>
      </w:r>
      <w:r>
        <w:rPr>
          <w:rFonts w:asciiTheme="majorHAnsi" w:hAnsiTheme="majorHAnsi"/>
        </w:rPr>
        <w:br w:type="textWrapping"/>
      </w:r>
      <w:r>
        <w:rPr>
          <w:rFonts w:asciiTheme="majorHAnsi" w:hAnsiTheme="majorHAnsi"/>
        </w:rPr>
        <w:t xml:space="preserve">Weeks 3–4: Model implementation and training  </w:t>
      </w:r>
      <w:r>
        <w:rPr>
          <w:rFonts w:asciiTheme="majorHAnsi" w:hAnsiTheme="majorHAnsi"/>
        </w:rPr>
        <w:br w:type="textWrapping"/>
      </w:r>
      <w:r>
        <w:rPr>
          <w:rFonts w:asciiTheme="majorHAnsi" w:hAnsiTheme="majorHAnsi"/>
        </w:rPr>
        <w:t xml:space="preserve">Weeks 5–6: Evaluation, comparison, and robustness analysis  </w:t>
      </w:r>
      <w:r>
        <w:rPr>
          <w:rFonts w:asciiTheme="majorHAnsi" w:hAnsiTheme="majorHAnsi"/>
        </w:rPr>
        <w:br w:type="textWrapping"/>
      </w:r>
      <w:r>
        <w:rPr>
          <w:rFonts w:asciiTheme="majorHAnsi" w:hAnsiTheme="majorHAnsi"/>
        </w:rPr>
        <w:t xml:space="preserve">Weeks 7–8: Final report writing and presentation preparation  </w:t>
      </w:r>
      <w:r>
        <w:rPr>
          <w:rFonts w:asciiTheme="majorHAnsi" w:hAnsiTheme="majorHAnsi"/>
        </w:rPr>
        <w:br w:type="textWrapping"/>
      </w:r>
      <w:r>
        <w:rPr>
          <w:rFonts w:asciiTheme="majorHAnsi" w:hAnsiTheme="majorHAnsi"/>
        </w:rPr>
        <w:t>Weekly meetings are held to coordinate progress, and responsibilities are adjusted as needed to ensure timely completion.</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微软雅黑">
    <w:panose1 w:val="020B0503020204020204"/>
    <w:charset w:val="86"/>
    <w:family w:val="swiss"/>
    <w:pitch w:val="default"/>
    <w:sig w:usb0="80000287" w:usb1="2ACF3C50" w:usb2="00000016" w:usb3="00000000" w:csb0="0004001F" w:csb1="00000000"/>
  </w:font>
  <w:font w:name="Cambria Math">
    <w:panose1 w:val="02040503050406030204"/>
    <w:charset w:val="00"/>
    <w:family w:val="roman"/>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83830"/>
    <w:rsid w:val="001D10E5"/>
    <w:rsid w:val="0029639D"/>
    <w:rsid w:val="00326F90"/>
    <w:rsid w:val="004E410D"/>
    <w:rsid w:val="00936CA7"/>
    <w:rsid w:val="00AA1D8D"/>
    <w:rsid w:val="00B47730"/>
    <w:rsid w:val="00CB0664"/>
    <w:rsid w:val="00D466BB"/>
    <w:rsid w:val="00FC693F"/>
    <w:rsid w:val="463727CF"/>
    <w:rsid w:val="797876A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7"/>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5"/>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qFormat/>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6"/>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styleId="135">
    <w:name w:val="Hyperlink"/>
    <w:basedOn w:val="132"/>
    <w:unhideWhenUsed/>
    <w:uiPriority w:val="99"/>
    <w:rPr>
      <w:color w:val="0000FF" w:themeColor="hyperlink"/>
      <w:u w:val="single"/>
      <w14:textFill>
        <w14:solidFill>
          <w14:schemeClr w14:val="hlink"/>
        </w14:solidFill>
      </w14:textFill>
    </w:rPr>
  </w:style>
  <w:style w:type="character" w:customStyle="1" w:styleId="136">
    <w:name w:val="Header Char"/>
    <w:basedOn w:val="132"/>
    <w:link w:val="25"/>
    <w:qFormat/>
    <w:uiPriority w:val="99"/>
  </w:style>
  <w:style w:type="character" w:customStyle="1" w:styleId="137">
    <w:name w:val="Footer Char"/>
    <w:basedOn w:val="132"/>
    <w:link w:val="24"/>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2"/>
    <w:link w:val="19"/>
    <w:uiPriority w:val="99"/>
  </w:style>
  <w:style w:type="character" w:customStyle="1" w:styleId="146">
    <w:name w:val="Body Text 2 Char"/>
    <w:basedOn w:val="132"/>
    <w:link w:val="28"/>
    <w:uiPriority w:val="99"/>
  </w:style>
  <w:style w:type="character" w:customStyle="1" w:styleId="147">
    <w:name w:val="Body Text 3 Char"/>
    <w:basedOn w:val="132"/>
    <w:link w:val="17"/>
    <w:uiPriority w:val="99"/>
    <w:rPr>
      <w:sz w:val="16"/>
      <w:szCs w:val="16"/>
    </w:rPr>
  </w:style>
  <w:style w:type="character" w:customStyle="1" w:styleId="148">
    <w:name w:val="Macro Text Char"/>
    <w:basedOn w:val="132"/>
    <w:link w:val="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2"/>
    <w:link w:val="149"/>
    <w:uiPriority w:val="29"/>
    <w:rPr>
      <w:i/>
      <w:iCs/>
      <w:color w:val="000000" w:themeColor="text1"/>
      <w14:textFill>
        <w14:solidFill>
          <w14:schemeClr w14:val="tx1"/>
        </w14:solidFill>
      </w14:textFill>
    </w:rPr>
  </w:style>
  <w:style w:type="character" w:customStyle="1" w:styleId="151">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2"/>
    <w:link w:val="157"/>
    <w:uiPriority w:val="30"/>
    <w:rPr>
      <w:b/>
      <w:bCs/>
      <w:i/>
      <w:iCs/>
      <w:color w:val="4F81BD" w:themeColor="accent1"/>
      <w14:textFill>
        <w14:solidFill>
          <w14:schemeClr w14:val="accent1"/>
        </w14:solidFill>
      </w14:textFill>
    </w:rPr>
  </w:style>
  <w:style w:type="character" w:customStyle="1" w:styleId="159">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2"/>
    <w:qFormat/>
    <w:uiPriority w:val="21"/>
    <w:rPr>
      <w:b/>
      <w:bCs/>
      <w:i/>
      <w:iCs/>
      <w:color w:val="4F81BD" w:themeColor="accent1"/>
      <w14:textFill>
        <w14:solidFill>
          <w14:schemeClr w14:val="accent1"/>
        </w14:solidFill>
      </w14:textFill>
    </w:rPr>
  </w:style>
  <w:style w:type="character" w:customStyle="1" w:styleId="161">
    <w:name w:val="Subtle Reference"/>
    <w:basedOn w:val="132"/>
    <w:qFormat/>
    <w:uiPriority w:val="31"/>
    <w:rPr>
      <w:smallCaps/>
      <w:color w:val="C0504D" w:themeColor="accent2"/>
      <w:u w:val="single"/>
      <w14:textFill>
        <w14:solidFill>
          <w14:schemeClr w14:val="accent2"/>
        </w14:solidFill>
      </w14:textFill>
    </w:rPr>
  </w:style>
  <w:style w:type="character" w:customStyle="1" w:styleId="162">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2"/>
    <w:qFormat/>
    <w:uiPriority w:val="33"/>
    <w:rPr>
      <w:b/>
      <w:bCs/>
      <w:smallCaps/>
      <w:spacing w:val="5"/>
    </w:rPr>
  </w:style>
  <w:style w:type="paragraph" w:customStyle="1" w:styleId="164">
    <w:name w:val="TOC Heading"/>
    <w:basedOn w:val="3"/>
    <w:next w:val="1"/>
    <w:semiHidden/>
    <w:unhideWhenUsed/>
    <w:qFormat/>
    <w:uiPriority w:val="39"/>
    <w:pPr>
      <w:outlineLvl w:val="9"/>
    </w:pPr>
  </w:style>
  <w:style w:type="paragraph" w:customStyle="1" w:styleId="165">
    <w:name w:val="acbfdd8b-e11b-4d36-88ff-6049b138f862"/>
    <w:basedOn w:val="1"/>
    <w:link w:val="166"/>
    <w:uiPriority w:val="0"/>
    <w:pPr>
      <w:adjustRightInd w:val="0"/>
      <w:spacing w:after="0" w:line="288" w:lineRule="auto"/>
    </w:pPr>
    <w:rPr>
      <w:rFonts w:ascii="微软雅黑" w:hAnsi="微软雅黑" w:eastAsia="微软雅黑" w:cstheme="majorHAnsi"/>
      <w:color w:val="000000"/>
      <w:szCs w:val="28"/>
    </w:rPr>
  </w:style>
  <w:style w:type="character" w:customStyle="1" w:styleId="166">
    <w:name w:val="acbfdd8b-e11b-4d36-88ff-6049b138f862 Char"/>
    <w:basedOn w:val="139"/>
    <w:link w:val="165"/>
    <w:uiPriority w:val="0"/>
    <w:rPr>
      <w:rFonts w:ascii="微软雅黑" w:hAnsi="微软雅黑" w:eastAsia="微软雅黑" w:cstheme="majorHAnsi"/>
      <w:b w:val="0"/>
      <w:bCs w:val="0"/>
      <w:color w:val="000000"/>
      <w:sz w:val="28"/>
      <w:szCs w:val="28"/>
    </w:rPr>
  </w:style>
  <w:style w:type="character" w:customStyle="1" w:styleId="167">
    <w:name w:val="Unresolved Mention"/>
    <w:basedOn w:val="132"/>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601</Words>
  <Characters>3846</Characters>
  <Lines>84</Lines>
  <Paragraphs>17</Paragraphs>
  <TotalTime>37</TotalTime>
  <ScaleCrop>false</ScaleCrop>
  <LinksUpToDate>false</LinksUpToDate>
  <CharactersWithSpaces>4424</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LENOVO</cp:lastModifiedBy>
  <dcterms:modified xsi:type="dcterms:W3CDTF">2026-03-07T21:22:29Z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eyJoZGlkIjoiYWVlMThlODk0M2Q2ZTg4OWE0Zjk5M2UwZmQzODEyNGIifQ==</vt:lpwstr>
  </property>
  <property fmtid="{D5CDD505-2E9C-101B-9397-08002B2CF9AE}" pid="3" name="KSOProductBuildVer">
    <vt:lpwstr>2052-12.1.0.24657</vt:lpwstr>
  </property>
  <property fmtid="{D5CDD505-2E9C-101B-9397-08002B2CF9AE}" pid="4" name="ICV">
    <vt:lpwstr>EB7DBB1AC0ED4855A94A4FF0673ED98C_12</vt:lpwstr>
  </property>
</Properties>
</file>