
<file path=[Content_Types].xml><?xml version="1.0" encoding="utf-8"?>
<Types xmlns="http://schemas.openxmlformats.org/package/2006/content-types"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7E4F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eastAsia="Segoe UI" w:cs="Times New Roman"/>
          <w:b/>
          <w:bCs/>
          <w:sz w:val="24"/>
          <w:szCs w:val="24"/>
          <w:shd w:val="clear" w:color="auto" w:fill="FFFFFF"/>
        </w:rPr>
        <w:t>Dual-</w:t>
      </w:r>
      <w:r>
        <w:rPr>
          <w:rFonts w:hint="eastAsia" w:ascii="Times New Roman" w:hAnsi="Times New Roman" w:eastAsia="Segoe UI" w:cs="Times New Roman"/>
          <w:b/>
          <w:bCs/>
          <w:sz w:val="24"/>
          <w:szCs w:val="24"/>
          <w:shd w:val="clear" w:color="auto" w:fill="FFFFFF"/>
        </w:rPr>
        <w:t>i</w:t>
      </w:r>
      <w:r>
        <w:rPr>
          <w:rFonts w:ascii="Times New Roman" w:hAnsi="Times New Roman" w:eastAsia="Segoe UI" w:cs="Times New Roman"/>
          <w:b/>
          <w:bCs/>
          <w:sz w:val="24"/>
          <w:szCs w:val="24"/>
          <w:shd w:val="clear" w:color="auto" w:fill="FFFFFF"/>
        </w:rPr>
        <w:t xml:space="preserve">on (K⁺/Cu²⁺) Intercalated δ-MnO₂ as an Advanced Cathode Material for </w:t>
      </w:r>
      <w:r>
        <w:rPr>
          <w:rFonts w:hint="eastAsia" w:ascii="Times New Roman" w:hAnsi="Times New Roman" w:eastAsia="Segoe UI" w:cs="Times New Roman"/>
          <w:b/>
          <w:bCs/>
          <w:sz w:val="24"/>
          <w:szCs w:val="24"/>
          <w:shd w:val="clear" w:color="auto" w:fill="FFFFFF"/>
        </w:rPr>
        <w:t>High Performance</w:t>
      </w:r>
      <w:r>
        <w:rPr>
          <w:rFonts w:ascii="Times New Roman" w:hAnsi="Times New Roman" w:eastAsia="Segoe UI" w:cs="Times New Roman"/>
          <w:b/>
          <w:bCs/>
          <w:sz w:val="24"/>
          <w:szCs w:val="24"/>
          <w:shd w:val="clear" w:color="auto" w:fill="FFFFFF"/>
        </w:rPr>
        <w:t xml:space="preserve"> Aqueous Zinc-Ion Batteries</w:t>
      </w:r>
    </w:p>
    <w:p w14:paraId="7786F772">
      <w:pPr>
        <w:spacing w:line="48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Chao Duan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a,b</w:t>
      </w:r>
      <w:r>
        <w:rPr>
          <w:rFonts w:ascii="Times New Roman" w:hAnsi="Times New Roman" w:eastAsia="宋体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</w:rPr>
        <w:t>Guizhao Zhu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 a,b</w:t>
      </w:r>
      <w:r>
        <w:rPr>
          <w:rFonts w:ascii="Times New Roman" w:hAnsi="Times New Roman" w:eastAsia="宋体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</w:rPr>
        <w:t>Yiyin</w:t>
      </w:r>
      <w:r>
        <w:rPr>
          <w:rFonts w:ascii="Times New Roman" w:hAnsi="Times New Roman" w:eastAsia="宋体" w:cs="Times New Roman"/>
          <w:sz w:val="24"/>
          <w:szCs w:val="24"/>
        </w:rPr>
        <w:t xml:space="preserve"> Zhang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a,b</w:t>
      </w:r>
      <w:r>
        <w:rPr>
          <w:rFonts w:ascii="Times New Roman" w:hAnsi="Times New Roman" w:eastAsia="宋体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</w:rPr>
        <w:t>Yawei Li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a,b</w:t>
      </w:r>
      <w:r>
        <w:rPr>
          <w:rFonts w:ascii="Times New Roman" w:hAnsi="Times New Roman" w:eastAsia="宋体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</w:rPr>
        <w:t>Haixiang Huang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a,b</w:t>
      </w:r>
      <w:r>
        <w:rPr>
          <w:rFonts w:ascii="Times New Roman" w:hAnsi="Times New Roman" w:eastAsia="宋体" w:cs="Times New Roman"/>
          <w:sz w:val="24"/>
          <w:szCs w:val="24"/>
        </w:rPr>
        <w:t>,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Bogu Liu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a,b</w:t>
      </w:r>
      <w:r>
        <w:rPr>
          <w:rFonts w:ascii="Times New Roman" w:hAnsi="Times New Roman" w:eastAsia="宋体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</w:rPr>
        <w:t>Tingting Xu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a,b</w:t>
      </w:r>
      <w:r>
        <w:rPr>
          <w:rFonts w:ascii="Times New Roman" w:hAnsi="Times New Roman" w:eastAsia="宋体" w:cs="Times New Roman"/>
          <w:sz w:val="24"/>
          <w:szCs w:val="24"/>
        </w:rPr>
        <w:t>,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Xiaohong Chen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a,b</w:t>
      </w:r>
      <w:r>
        <w:rPr>
          <w:rFonts w:ascii="Times New Roman" w:hAnsi="Times New Roman" w:eastAsia="宋体" w:cs="Times New Roman"/>
          <w:sz w:val="24"/>
          <w:szCs w:val="24"/>
        </w:rPr>
        <w:t>, Hong Zeng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a,b</w:t>
      </w:r>
      <w:r>
        <w:rPr>
          <w:rFonts w:ascii="Times New Roman" w:hAnsi="Times New Roman" w:eastAsia="宋体" w:cs="Times New Roman"/>
          <w:sz w:val="24"/>
          <w:szCs w:val="24"/>
        </w:rPr>
        <w:t>, Ying Wu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a,b*</w:t>
      </w:r>
    </w:p>
    <w:p w14:paraId="0FCFC0F6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302A4A40">
      <w:pPr>
        <w:spacing w:line="480" w:lineRule="auto"/>
        <w:jc w:val="left"/>
        <w:rPr>
          <w:rFonts w:ascii="Times New Roman" w:hAnsi="Times New Roman" w:eastAsia="等线" w:cs="Times New Roman"/>
          <w:i/>
          <w:iCs/>
          <w:sz w:val="24"/>
          <w:szCs w:val="24"/>
        </w:rPr>
      </w:pPr>
      <w:r>
        <w:rPr>
          <w:rFonts w:ascii="Times New Roman" w:hAnsi="Times New Roman" w:eastAsia="等线" w:cs="Times New Roman"/>
          <w:i/>
          <w:iCs/>
          <w:sz w:val="24"/>
          <w:szCs w:val="24"/>
          <w:vertAlign w:val="superscript"/>
        </w:rPr>
        <w:t>a</w:t>
      </w:r>
      <w:r>
        <w:rPr>
          <w:rFonts w:ascii="Times New Roman" w:hAnsi="Times New Roman" w:eastAsia="等线" w:cs="Times New Roman"/>
          <w:i/>
          <w:iCs/>
          <w:sz w:val="24"/>
          <w:szCs w:val="24"/>
        </w:rPr>
        <w:t xml:space="preserve"> School of Energy Power and Mechanical Engineering, North China Electric Power University. No.2 Beinonglu Changping District, Beijing 102206, China</w:t>
      </w:r>
    </w:p>
    <w:p w14:paraId="616F4B85">
      <w:pPr>
        <w:spacing w:line="480" w:lineRule="auto"/>
        <w:jc w:val="left"/>
        <w:rPr>
          <w:rFonts w:ascii="Times New Roman" w:hAnsi="Times New Roman" w:eastAsia="宋体" w:cs="Times New Roman"/>
          <w:i/>
          <w:iCs/>
          <w:sz w:val="24"/>
          <w:szCs w:val="24"/>
        </w:rPr>
      </w:pPr>
      <w:r>
        <w:rPr>
          <w:rFonts w:ascii="Times New Roman" w:hAnsi="Times New Roman" w:eastAsia="宋体" w:cs="Times New Roman"/>
          <w:i/>
          <w:iCs/>
          <w:sz w:val="24"/>
          <w:szCs w:val="24"/>
          <w:vertAlign w:val="superscript"/>
        </w:rPr>
        <w:t>b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 xml:space="preserve"> Institute of Energy Power Innovation, North China Electric Power University, No. 2 Beinonglu Changping District, Beijing 102206, China</w:t>
      </w:r>
    </w:p>
    <w:p w14:paraId="05B11818">
      <w:pPr>
        <w:spacing w:line="48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75F5FDF9">
      <w:pPr>
        <w:spacing w:line="480" w:lineRule="auto"/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*Corresponding author.</w:t>
      </w:r>
    </w:p>
    <w:p w14:paraId="791D2E91">
      <w:pPr>
        <w:spacing w:line="480" w:lineRule="auto"/>
        <w:rPr>
          <w:rFonts w:ascii="Times New Roman" w:hAnsi="Times New Roman" w:eastAsia="宋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Email: </w:t>
      </w:r>
      <w:r>
        <w:fldChar w:fldCharType="begin"/>
      </w:r>
      <w:r>
        <w:instrText xml:space="preserve"> HYPERLINK "mailto:yingwu2000@hotmail.com" </w:instrText>
      </w:r>
      <w:r>
        <w:fldChar w:fldCharType="separate"/>
      </w:r>
      <w:r>
        <w:rPr>
          <w:rStyle w:val="19"/>
          <w:rFonts w:hint="eastAsia" w:ascii="Times New Roman" w:hAnsi="Times New Roman" w:eastAsia="宋体" w:cs="Times New Roman"/>
          <w:bCs/>
          <w:sz w:val="24"/>
          <w:szCs w:val="24"/>
        </w:rPr>
        <w:t>yingwu2000@hotmail.com</w:t>
      </w:r>
      <w:r>
        <w:rPr>
          <w:rStyle w:val="19"/>
          <w:rFonts w:hint="eastAsia" w:ascii="Times New Roman" w:hAnsi="Times New Roman" w:eastAsia="宋体" w:cs="Times New Roman"/>
          <w:bCs/>
          <w:sz w:val="24"/>
          <w:szCs w:val="24"/>
        </w:rPr>
        <w:fldChar w:fldCharType="end"/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fldChar w:fldCharType="begin"/>
      </w:r>
      <w:r>
        <w:instrText xml:space="preserve"> HYPERLINK "mailto:wuying@ncepu.edu.cn" </w:instrText>
      </w:r>
      <w:r>
        <w:fldChar w:fldCharType="separate"/>
      </w:r>
      <w:r>
        <w:rPr>
          <w:rStyle w:val="19"/>
          <w:rFonts w:ascii="Times New Roman" w:hAnsi="Times New Roman" w:eastAsia="宋体" w:cs="Times New Roman"/>
          <w:bCs/>
          <w:sz w:val="24"/>
          <w:szCs w:val="24"/>
        </w:rPr>
        <w:t>wuying@ncepu.edu.cn</w:t>
      </w:r>
      <w:r>
        <w:rPr>
          <w:rStyle w:val="19"/>
          <w:rFonts w:ascii="Times New Roman" w:hAnsi="Times New Roman" w:eastAsia="宋体" w:cs="Times New Roman"/>
          <w:bCs/>
          <w:sz w:val="24"/>
          <w:szCs w:val="24"/>
        </w:rPr>
        <w:fldChar w:fldCharType="end"/>
      </w:r>
    </w:p>
    <w:p w14:paraId="6F906D47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br w:type="page"/>
      </w:r>
    </w:p>
    <w:p w14:paraId="12BD3FB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332740</wp:posOffset>
            </wp:positionV>
            <wp:extent cx="5264150" cy="1800225"/>
            <wp:effectExtent l="0" t="0" r="0" b="0"/>
            <wp:wrapTopAndBottom/>
            <wp:docPr id="1974751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51434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1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414FBB">
      <w:pPr>
        <w:spacing w:line="48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Fig.</w:t>
      </w:r>
      <w:r>
        <w:rPr>
          <w:rFonts w:hint="eastAsia"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S</w:t>
      </w:r>
      <w:r>
        <w:rPr>
          <w:rFonts w:hint="eastAsia" w:ascii="Times New Roman" w:hAnsi="Times New Roman" w:cs="Times New Roman"/>
          <w:sz w:val="24"/>
          <w:szCs w:val="28"/>
        </w:rPr>
        <w:t>1</w:t>
      </w:r>
      <w:r>
        <w:rPr>
          <w:rFonts w:ascii="Times New Roman" w:hAnsi="Times New Roman" w:cs="Times New Roman"/>
          <w:sz w:val="24"/>
          <w:szCs w:val="28"/>
        </w:rPr>
        <w:t xml:space="preserve"> SEM image of </w:t>
      </w:r>
      <w:r>
        <w:rPr>
          <w:rFonts w:hint="eastAsia" w:ascii="Times New Roman" w:hAnsi="Times New Roman" w:cs="Times New Roman"/>
          <w:sz w:val="24"/>
          <w:szCs w:val="28"/>
        </w:rPr>
        <w:t>K-MO.</w:t>
      </w:r>
    </w:p>
    <w:p w14:paraId="419C7806">
      <w:pPr>
        <w:widowControl/>
        <w:jc w:val="lef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2AB555C6">
      <w:pPr>
        <w:rPr>
          <w:rFonts w:ascii="Times New Roman" w:hAnsi="Times New Roman" w:cs="Times New Roman"/>
          <w:sz w:val="24"/>
          <w:szCs w:val="28"/>
        </w:rPr>
      </w:pPr>
    </w:p>
    <w:p w14:paraId="09A858D6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drawing>
          <wp:inline distT="0" distB="0" distL="0" distR="0">
            <wp:extent cx="3084195" cy="2160270"/>
            <wp:effectExtent l="0" t="0" r="1905" b="11430"/>
            <wp:docPr id="7996455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45502" name="图片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216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4BD4C">
      <w:pPr>
        <w:spacing w:line="480" w:lineRule="auto"/>
        <w:jc w:val="lef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Fig.</w:t>
      </w:r>
      <w:r>
        <w:rPr>
          <w:rFonts w:hint="eastAsia" w:ascii="Times New Roman" w:hAnsi="Times New Roman" w:cs="Times New Roman"/>
          <w:sz w:val="24"/>
          <w:szCs w:val="28"/>
        </w:rPr>
        <w:t xml:space="preserve"> S2</w:t>
      </w:r>
      <w:r>
        <w:rPr>
          <w:rFonts w:ascii="Times New Roman" w:hAnsi="Times New Roman" w:cs="Times New Roman"/>
          <w:sz w:val="24"/>
          <w:szCs w:val="28"/>
        </w:rPr>
        <w:t xml:space="preserve"> TEM image of</w:t>
      </w:r>
      <w:r>
        <w:rPr>
          <w:rFonts w:hint="eastAsia" w:ascii="Times New Roman" w:hAnsi="Times New Roman" w:cs="Times New Roman"/>
          <w:sz w:val="24"/>
          <w:szCs w:val="28"/>
        </w:rPr>
        <w:t xml:space="preserve"> KCu-MO.</w:t>
      </w:r>
    </w:p>
    <w:p w14:paraId="25BEBEE3">
      <w:pPr>
        <w:widowControl/>
        <w:jc w:val="lef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21ADDFBC">
      <w:pPr>
        <w:jc w:val="left"/>
        <w:rPr>
          <w:rFonts w:ascii="Times New Roman" w:hAnsi="Times New Roman" w:cs="Times New Roman"/>
          <w:sz w:val="24"/>
          <w:szCs w:val="28"/>
        </w:rPr>
      </w:pPr>
    </w:p>
    <w:p w14:paraId="266CFDE6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drawing>
          <wp:inline distT="0" distB="0" distL="114300" distR="114300">
            <wp:extent cx="2883535" cy="1981200"/>
            <wp:effectExtent l="0" t="0" r="12065" b="0"/>
            <wp:docPr id="5" name="图片 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C9">
      <w:pPr>
        <w:spacing w:line="480" w:lineRule="auto"/>
        <w:jc w:val="lef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Fig.</w:t>
      </w:r>
      <w:r>
        <w:rPr>
          <w:rFonts w:hint="eastAsia" w:ascii="Times New Roman" w:hAnsi="Times New Roman" w:cs="Times New Roman"/>
          <w:sz w:val="24"/>
          <w:szCs w:val="28"/>
        </w:rPr>
        <w:t xml:space="preserve"> S3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hint="eastAsia" w:ascii="Times New Roman" w:hAnsi="Times New Roman" w:eastAsia="Segoe UI" w:cs="Times New Roman"/>
          <w:sz w:val="24"/>
          <w:shd w:val="clear" w:color="auto" w:fill="FFFFFF"/>
        </w:rPr>
        <w:t>HRTEM image of K-MO</w:t>
      </w:r>
      <w:r>
        <w:rPr>
          <w:rFonts w:hint="eastAsia" w:ascii="Times New Roman" w:hAnsi="Times New Roman" w:cs="Times New Roman"/>
          <w:sz w:val="24"/>
          <w:szCs w:val="28"/>
        </w:rPr>
        <w:t>.</w:t>
      </w:r>
    </w:p>
    <w:p w14:paraId="640A84C1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br w:type="page"/>
      </w:r>
    </w:p>
    <w:p w14:paraId="0293C2DF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drawing>
          <wp:inline distT="0" distB="0" distL="0" distR="0">
            <wp:extent cx="3762375" cy="2879725"/>
            <wp:effectExtent l="0" t="0" r="9525" b="15875"/>
            <wp:docPr id="10676788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78831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A7EB">
      <w:pPr>
        <w:spacing w:line="48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Fig.</w:t>
      </w:r>
      <w:r>
        <w:rPr>
          <w:rFonts w:hint="eastAsia" w:ascii="Times New Roman" w:hAnsi="Times New Roman" w:cs="Times New Roman"/>
          <w:sz w:val="24"/>
          <w:szCs w:val="28"/>
        </w:rPr>
        <w:t xml:space="preserve"> S4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</w:rPr>
        <w:t>Cycling performance of KCu-MO, KCu-MO-0.5, KCu-MO-2 and K-MO electrodes at 0.1 A g</w:t>
      </w:r>
      <w:r>
        <w:rPr>
          <w:rFonts w:hint="eastAsia" w:ascii="Times New Roman" w:hAnsi="Times New Roman" w:cs="Times New Roman"/>
          <w:sz w:val="24"/>
          <w:szCs w:val="28"/>
          <w:vertAlign w:val="superscript"/>
        </w:rPr>
        <w:t>-1</w:t>
      </w:r>
      <w:r>
        <w:rPr>
          <w:rFonts w:hint="eastAsia" w:ascii="Times New Roman" w:hAnsi="Times New Roman" w:cs="Times New Roman"/>
          <w:sz w:val="24"/>
          <w:szCs w:val="28"/>
        </w:rPr>
        <w:t xml:space="preserve"> current density.</w:t>
      </w:r>
    </w:p>
    <w:p w14:paraId="2FE1EA72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br w:type="page"/>
      </w:r>
    </w:p>
    <w:p w14:paraId="08EBDC9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drawing>
          <wp:inline distT="0" distB="0" distL="0" distR="0">
            <wp:extent cx="3762375" cy="2879725"/>
            <wp:effectExtent l="0" t="0" r="9525" b="15875"/>
            <wp:docPr id="8100659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65963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BFFA">
      <w:pPr>
        <w:spacing w:line="48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Fig.</w:t>
      </w:r>
      <w:r>
        <w:rPr>
          <w:rFonts w:hint="eastAsia" w:ascii="Times New Roman" w:hAnsi="Times New Roman" w:cs="Times New Roman"/>
          <w:sz w:val="24"/>
          <w:szCs w:val="28"/>
        </w:rPr>
        <w:t xml:space="preserve"> S5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</w:rPr>
        <w:t>Cycling performance of KCu-MO, KCu-MO-0.5, KCu-MO-2 and K-MO electrodes at 0.5 A g</w:t>
      </w:r>
      <w:r>
        <w:rPr>
          <w:rFonts w:hint="eastAsia" w:ascii="Times New Roman" w:hAnsi="Times New Roman" w:cs="Times New Roman"/>
          <w:sz w:val="24"/>
          <w:szCs w:val="28"/>
          <w:vertAlign w:val="superscript"/>
        </w:rPr>
        <w:t>-1</w:t>
      </w:r>
      <w:r>
        <w:rPr>
          <w:rFonts w:hint="eastAsia" w:ascii="Times New Roman" w:hAnsi="Times New Roman" w:cs="Times New Roman"/>
          <w:sz w:val="24"/>
          <w:szCs w:val="28"/>
        </w:rPr>
        <w:t xml:space="preserve"> current density.</w:t>
      </w:r>
    </w:p>
    <w:p w14:paraId="68C6CC15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br w:type="page"/>
      </w:r>
    </w:p>
    <w:p w14:paraId="2D9041E8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drawing>
          <wp:inline distT="0" distB="0" distL="0" distR="0">
            <wp:extent cx="3759835" cy="2879725"/>
            <wp:effectExtent l="0" t="0" r="12065" b="15875"/>
            <wp:docPr id="11681292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29280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39ED">
      <w:pPr>
        <w:spacing w:line="48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Fig.</w:t>
      </w:r>
      <w:r>
        <w:rPr>
          <w:rFonts w:hint="eastAsia" w:ascii="Times New Roman" w:hAnsi="Times New Roman" w:cs="Times New Roman"/>
          <w:sz w:val="24"/>
          <w:szCs w:val="28"/>
        </w:rPr>
        <w:t xml:space="preserve"> S6</w:t>
      </w:r>
      <w:r>
        <w:rPr>
          <w:rFonts w:ascii="Times New Roman" w:hAnsi="Times New Roman" w:cs="Times New Roman"/>
          <w:sz w:val="24"/>
          <w:szCs w:val="28"/>
        </w:rPr>
        <w:t xml:space="preserve"> GCD curves at various current densities of</w:t>
      </w:r>
      <w:r>
        <w:rPr>
          <w:rFonts w:hint="eastAsia" w:ascii="Times New Roman" w:hAnsi="Times New Roman" w:cs="Times New Roman"/>
          <w:sz w:val="24"/>
          <w:szCs w:val="28"/>
        </w:rPr>
        <w:t xml:space="preserve"> K-MO.</w:t>
      </w:r>
    </w:p>
    <w:p w14:paraId="51E3E801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br w:type="page"/>
      </w:r>
      <w:r>
        <w:rPr>
          <w:rFonts w:hint="eastAsia" w:ascii="Times New Roman" w:hAnsi="Times New Roman" w:cs="Times New Roman"/>
          <w:sz w:val="24"/>
          <w:szCs w:val="28"/>
        </w:rPr>
        <w:drawing>
          <wp:inline distT="0" distB="0" distL="114300" distR="114300">
            <wp:extent cx="3763645" cy="2879725"/>
            <wp:effectExtent l="0" t="0" r="8255" b="3175"/>
            <wp:docPr id="3" name="图片 3" descr="功率密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功率密度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3CF7">
      <w:pPr>
        <w:widowControl/>
        <w:spacing w:line="480" w:lineRule="auto"/>
        <w:rPr>
          <w:rFonts w:ascii="Times New Roman" w:hAnsi="Times New Roman" w:eastAsia="宋体" w:cs="Times New Roman"/>
          <w:kern w:val="0"/>
          <w:sz w:val="24"/>
          <w:highlight w:val="yellow"/>
        </w:rPr>
      </w:pPr>
      <w:r>
        <w:rPr>
          <w:rFonts w:ascii="Times New Roman" w:hAnsi="Times New Roman" w:cs="Times New Roman"/>
          <w:sz w:val="24"/>
          <w:szCs w:val="28"/>
          <w:highlight w:val="yellow"/>
        </w:rPr>
        <w:t>Fig.</w:t>
      </w:r>
      <w:r>
        <w:rPr>
          <w:rFonts w:hint="eastAsia" w:ascii="Times New Roman" w:hAnsi="Times New Roman" w:cs="Times New Roman"/>
          <w:sz w:val="24"/>
          <w:szCs w:val="28"/>
          <w:highlight w:val="yellow"/>
        </w:rPr>
        <w:t xml:space="preserve"> S7 Comparison diagram of power density and energy density of KCu-MO compared to other reported </w:t>
      </w:r>
      <w:r>
        <w:rPr>
          <w:rFonts w:hint="eastAsia" w:ascii="Times New Roman" w:hAnsi="Times New Roman" w:eastAsia="宋体" w:cs="Times New Roman"/>
          <w:kern w:val="0"/>
          <w:sz w:val="24"/>
          <w:highlight w:val="yellow"/>
        </w:rPr>
        <w:t>cathode materials.</w:t>
      </w:r>
    </w:p>
    <w:p w14:paraId="015797F7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br w:type="page"/>
      </w:r>
      <w:bookmarkStart w:id="0" w:name="_GoBack"/>
      <w:bookmarkEnd w:id="0"/>
    </w:p>
    <w:p w14:paraId="186D961B">
      <w:pPr>
        <w:rPr>
          <w:rFonts w:ascii="Times New Roman" w:hAnsi="Times New Roman" w:cs="Times New Roman"/>
          <w:sz w:val="24"/>
          <w:szCs w:val="28"/>
        </w:rPr>
      </w:pPr>
    </w:p>
    <w:p w14:paraId="3F244634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drawing>
          <wp:inline distT="0" distB="0" distL="114300" distR="114300">
            <wp:extent cx="4848225" cy="4035425"/>
            <wp:effectExtent l="0" t="0" r="0" b="0"/>
            <wp:docPr id="4" name="图片 4" descr="K gi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K gitt"/>
                    <pic:cNvPicPr>
                      <a:picLocks noChangeAspect="1"/>
                    </pic:cNvPicPr>
                  </pic:nvPicPr>
                  <pic:blipFill>
                    <a:blip r:embed="rId11"/>
                    <a:srcRect r="806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074D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Fig.</w:t>
      </w:r>
      <w:r>
        <w:rPr>
          <w:rFonts w:hint="eastAsia" w:ascii="Times New Roman" w:hAnsi="Times New Roman" w:cs="Times New Roman"/>
          <w:sz w:val="24"/>
          <w:szCs w:val="28"/>
        </w:rPr>
        <w:t xml:space="preserve"> S8</w:t>
      </w:r>
      <w:r>
        <w:rPr>
          <w:rFonts w:ascii="Georgia" w:hAnsi="Georgia"/>
          <w:color w:val="1F1F1F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</w:rPr>
        <w:t xml:space="preserve">GITT curve and </w:t>
      </w:r>
      <w:r>
        <w:rPr>
          <w:rFonts w:ascii="Times New Roman" w:hAnsi="Times New Roman" w:eastAsia="Segoe UI" w:cs="Times New Roman"/>
          <w:sz w:val="24"/>
          <w:shd w:val="clear" w:color="auto" w:fill="FFFFFF"/>
        </w:rPr>
        <w:t>diffusion coefficient</w:t>
      </w:r>
      <w:r>
        <w:rPr>
          <w:rFonts w:hint="eastAsia" w:ascii="Times New Roman" w:hAnsi="Times New Roman" w:eastAsia="宋体" w:cs="Times New Roman"/>
          <w:sz w:val="24"/>
          <w:shd w:val="clear" w:color="auto" w:fill="FFFFFF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</w:rPr>
        <w:t xml:space="preserve">of K-MO </w:t>
      </w:r>
      <w:r>
        <w:rPr>
          <w:rFonts w:hint="eastAsia" w:ascii="Times New Roman" w:hAnsi="Times New Roman" w:eastAsia="宋体" w:cs="Times New Roman"/>
          <w:sz w:val="24"/>
          <w:shd w:val="clear" w:color="auto" w:fill="FFFFFF"/>
        </w:rPr>
        <w:t>.</w:t>
      </w:r>
    </w:p>
    <w:p w14:paraId="1573055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78A1AC4E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drawing>
          <wp:inline distT="0" distB="0" distL="114300" distR="114300">
            <wp:extent cx="2879725" cy="3484245"/>
            <wp:effectExtent l="0" t="0" r="15875" b="1905"/>
            <wp:docPr id="1" name="图片 1" descr="si电压时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i电压时间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1F46">
      <w:pPr>
        <w:spacing w:line="48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Fig.</w:t>
      </w:r>
      <w:r>
        <w:rPr>
          <w:rFonts w:hint="eastAsia" w:ascii="Times New Roman" w:hAnsi="Times New Roman" w:cs="Times New Roman"/>
          <w:sz w:val="24"/>
          <w:szCs w:val="28"/>
        </w:rPr>
        <w:t xml:space="preserve"> S9</w:t>
      </w:r>
      <w:r>
        <w:rPr>
          <w:rFonts w:ascii="Georgia" w:hAnsi="Georgia"/>
          <w:color w:val="1F1F1F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</w:rPr>
        <w:t xml:space="preserve">GCD </w:t>
      </w:r>
      <w:r>
        <w:rPr>
          <w:rFonts w:ascii="Times New Roman" w:hAnsi="Times New Roman" w:cs="Times New Roman"/>
          <w:sz w:val="24"/>
          <w:szCs w:val="28"/>
        </w:rPr>
        <w:t xml:space="preserve">curve of </w:t>
      </w:r>
      <w:r>
        <w:rPr>
          <w:rFonts w:hint="eastAsia" w:ascii="Times New Roman" w:hAnsi="Times New Roman" w:cs="Times New Roman"/>
          <w:sz w:val="24"/>
          <w:szCs w:val="28"/>
        </w:rPr>
        <w:t xml:space="preserve">KCu-MO </w:t>
      </w:r>
      <w:r>
        <w:rPr>
          <w:rFonts w:ascii="Times New Roman" w:hAnsi="Times New Roman" w:cs="Times New Roman"/>
          <w:sz w:val="24"/>
          <w:szCs w:val="28"/>
        </w:rPr>
        <w:t>at</w:t>
      </w:r>
      <w:r>
        <w:rPr>
          <w:rFonts w:hint="eastAsia" w:ascii="Times New Roman" w:hAnsi="Times New Roman" w:cs="Times New Roman"/>
          <w:sz w:val="24"/>
          <w:szCs w:val="28"/>
        </w:rPr>
        <w:t xml:space="preserve"> 0.1 A g</w:t>
      </w:r>
      <w:r>
        <w:rPr>
          <w:rFonts w:hint="eastAsia" w:ascii="Times New Roman" w:hAnsi="Times New Roman" w:cs="Times New Roman"/>
          <w:sz w:val="24"/>
          <w:szCs w:val="28"/>
          <w:vertAlign w:val="superscript"/>
        </w:rPr>
        <w:t>-1</w:t>
      </w:r>
      <w:r>
        <w:rPr>
          <w:rFonts w:hint="eastAsia" w:ascii="Times New Roman" w:hAnsi="Times New Roman" w:cs="Times New Roman"/>
          <w:sz w:val="24"/>
          <w:szCs w:val="28"/>
        </w:rPr>
        <w:t xml:space="preserve"> and related different charge-discharge states.</w:t>
      </w:r>
    </w:p>
    <w:p w14:paraId="0228B2D9">
      <w:pPr>
        <w:rPr>
          <w:rFonts w:ascii="Times New Roman" w:hAnsi="Times New Roman" w:cs="Times New Roman"/>
          <w:sz w:val="24"/>
          <w:szCs w:val="28"/>
        </w:rPr>
      </w:pPr>
    </w:p>
    <w:p w14:paraId="6E61F064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br w:type="page"/>
      </w:r>
    </w:p>
    <w:p w14:paraId="3E502A10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drawing>
          <wp:inline distT="0" distB="0" distL="114300" distR="114300">
            <wp:extent cx="4121785" cy="2879725"/>
            <wp:effectExtent l="0" t="0" r="12065" b="15875"/>
            <wp:docPr id="6" name="图片 6" descr="O充放电xps2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O充放电xps2.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6A6D">
      <w:pPr>
        <w:spacing w:line="48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Fig.</w:t>
      </w:r>
      <w:r>
        <w:rPr>
          <w:rFonts w:hint="eastAsia" w:ascii="Times New Roman" w:hAnsi="Times New Roman" w:cs="Times New Roman"/>
          <w:sz w:val="24"/>
          <w:szCs w:val="28"/>
        </w:rPr>
        <w:t xml:space="preserve"> S10</w:t>
      </w:r>
      <w:r>
        <w:rPr>
          <w:rFonts w:ascii="Times New Roman" w:hAnsi="Times New Roman" w:cs="Times New Roman"/>
          <w:color w:val="1F1F1F"/>
        </w:rPr>
        <w:t xml:space="preserve"> </w:t>
      </w:r>
      <w:r>
        <w:rPr>
          <w:rStyle w:val="18"/>
          <w:rFonts w:ascii="Times New Roman" w:hAnsi="Times New Roman" w:eastAsia="Georgia" w:cs="Times New Roman"/>
          <w:color w:val="1F1F1F"/>
          <w:sz w:val="24"/>
          <w:szCs w:val="24"/>
        </w:rPr>
        <w:t>Ex-situ</w:t>
      </w:r>
      <w:r>
        <w:rPr>
          <w:rStyle w:val="18"/>
          <w:rFonts w:ascii="Times New Roman" w:hAnsi="Times New Roman" w:eastAsia="宋体" w:cs="Times New Roman"/>
          <w:color w:val="1F1F1F"/>
          <w:sz w:val="24"/>
          <w:szCs w:val="24"/>
        </w:rPr>
        <w:t xml:space="preserve"> </w:t>
      </w:r>
      <w:r>
        <w:rPr>
          <w:rFonts w:ascii="Times New Roman" w:hAnsi="Times New Roman" w:eastAsia="Georgia" w:cs="Times New Roman"/>
          <w:color w:val="1F1F1F"/>
          <w:sz w:val="24"/>
          <w:szCs w:val="24"/>
        </w:rPr>
        <w:t>XPS spectra</w:t>
      </w:r>
      <w:r>
        <w:rPr>
          <w:rFonts w:ascii="Times New Roman" w:hAnsi="Times New Roman" w:cs="Times New Roman"/>
          <w:sz w:val="24"/>
          <w:szCs w:val="24"/>
        </w:rPr>
        <w:t xml:space="preserve"> of O 1s.</w:t>
      </w:r>
    </w:p>
    <w:p w14:paraId="21819D6F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br w:type="page"/>
      </w:r>
    </w:p>
    <w:tbl>
      <w:tblPr>
        <w:tblStyle w:val="16"/>
        <w:tblW w:w="7878" w:type="dxa"/>
        <w:jc w:val="center"/>
        <w:tblBorders>
          <w:top w:val="single" w:color="000000" w:themeColor="text1" w:sz="12" w:space="0"/>
          <w:left w:val="none" w:color="auto" w:sz="0" w:space="0"/>
          <w:bottom w:val="single" w:color="000000" w:themeColor="text1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2000"/>
        <w:gridCol w:w="2600"/>
      </w:tblGrid>
      <w:tr w14:paraId="699A108D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tcBorders>
              <w:top w:val="single" w:color="000000" w:themeColor="text1" w:sz="12" w:space="0"/>
              <w:bottom w:val="single" w:color="000000" w:themeColor="text1" w:sz="6" w:space="0"/>
            </w:tcBorders>
            <w:vAlign w:val="center"/>
          </w:tcPr>
          <w:p w14:paraId="12BABE3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2000" w:type="dxa"/>
            <w:tcBorders>
              <w:top w:val="single" w:color="000000" w:themeColor="text1" w:sz="12" w:space="0"/>
              <w:bottom w:val="single" w:color="000000" w:themeColor="text1" w:sz="6" w:space="0"/>
            </w:tcBorders>
            <w:vAlign w:val="center"/>
          </w:tcPr>
          <w:p w14:paraId="789A81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K-MO</w:t>
            </w:r>
          </w:p>
        </w:tc>
        <w:tc>
          <w:tcPr>
            <w:tcW w:w="2600" w:type="dxa"/>
            <w:tcBorders>
              <w:top w:val="single" w:color="000000" w:themeColor="text1" w:sz="12" w:space="0"/>
              <w:bottom w:val="single" w:color="000000" w:themeColor="text1" w:sz="6" w:space="0"/>
            </w:tcBorders>
            <w:vAlign w:val="center"/>
          </w:tcPr>
          <w:p w14:paraId="6FD94E0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KCu-MO</w:t>
            </w:r>
          </w:p>
        </w:tc>
      </w:tr>
      <w:tr w14:paraId="788D860D">
        <w:tblPrEx>
          <w:tblBorders>
            <w:top w:val="single" w:color="000000" w:themeColor="text1" w:sz="12" w:space="0"/>
            <w:left w:val="none" w:color="auto" w:sz="0" w:space="0"/>
            <w:bottom w:val="single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8" w:type="dxa"/>
            <w:tcBorders>
              <w:top w:val="single" w:color="000000" w:themeColor="text1" w:sz="6" w:space="0"/>
            </w:tcBorders>
            <w:vAlign w:val="center"/>
          </w:tcPr>
          <w:p w14:paraId="1F77F73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Mn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perscript"/>
              </w:rPr>
              <w:t>4+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peak area ratio fitted (%)</w:t>
            </w:r>
          </w:p>
        </w:tc>
        <w:tc>
          <w:tcPr>
            <w:tcW w:w="2000" w:type="dxa"/>
            <w:tcBorders>
              <w:top w:val="single" w:color="000000" w:themeColor="text1" w:sz="6" w:space="0"/>
            </w:tcBorders>
            <w:vAlign w:val="center"/>
          </w:tcPr>
          <w:p w14:paraId="27E60C9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28.04%</w:t>
            </w:r>
          </w:p>
        </w:tc>
        <w:tc>
          <w:tcPr>
            <w:tcW w:w="2600" w:type="dxa"/>
            <w:tcBorders>
              <w:top w:val="single" w:color="000000" w:themeColor="text1" w:sz="6" w:space="0"/>
            </w:tcBorders>
            <w:vAlign w:val="center"/>
          </w:tcPr>
          <w:p w14:paraId="0BA6088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21.56%</w:t>
            </w:r>
          </w:p>
        </w:tc>
      </w:tr>
    </w:tbl>
    <w:p w14:paraId="3A906B4A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Table </w:t>
      </w:r>
      <w:r>
        <w:rPr>
          <w:rFonts w:hint="eastAsia" w:ascii="Times New Roman" w:hAnsi="Times New Roman" w:cs="Times New Roman"/>
          <w:sz w:val="24"/>
          <w:szCs w:val="24"/>
          <w:highlight w:val="yellow"/>
        </w:rPr>
        <w:t>S</w:t>
      </w: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1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Fitted </w:t>
      </w:r>
      <w:r>
        <w:rPr>
          <w:rFonts w:hint="eastAsia" w:ascii="Times New Roman" w:hAnsi="Times New Roman" w:cs="Times New Roman"/>
          <w:sz w:val="24"/>
          <w:szCs w:val="24"/>
          <w:highlight w:val="yellow"/>
        </w:rPr>
        <w:t>Mn</w:t>
      </w:r>
      <w:r>
        <w:rPr>
          <w:rFonts w:hint="eastAsia" w:ascii="Times New Roman" w:hAnsi="Times New Roman" w:cs="Times New Roman"/>
          <w:sz w:val="24"/>
          <w:szCs w:val="24"/>
          <w:highlight w:val="yellow"/>
          <w:vertAlign w:val="superscript"/>
        </w:rPr>
        <w:t>4+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XPS peak area ratio of the samples.</w:t>
      </w:r>
    </w:p>
    <w:p w14:paraId="2D9C340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289E62D1">
      <w:pPr>
        <w:rPr>
          <w:rFonts w:ascii="Times New Roman" w:hAnsi="Times New Roman" w:cs="Times New Roman"/>
          <w:sz w:val="24"/>
          <w:szCs w:val="28"/>
        </w:rPr>
      </w:pPr>
    </w:p>
    <w:tbl>
      <w:tblPr>
        <w:tblStyle w:val="16"/>
        <w:tblW w:w="82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072"/>
        <w:gridCol w:w="1674"/>
        <w:gridCol w:w="2561"/>
      </w:tblGrid>
      <w:tr w14:paraId="2836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1896" w:type="dxa"/>
            <w:tcBorders>
              <w:top w:val="single" w:color="000000" w:sz="12" w:space="0"/>
              <w:left w:val="nil"/>
              <w:bottom w:val="single" w:color="auto" w:sz="6" w:space="0"/>
              <w:right w:val="nil"/>
            </w:tcBorders>
          </w:tcPr>
          <w:p w14:paraId="048169E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14:ligatures w14:val="standardContextual"/>
              </w:rPr>
              <w:t>Sample</w:t>
            </w:r>
          </w:p>
        </w:tc>
        <w:tc>
          <w:tcPr>
            <w:tcW w:w="2072" w:type="dxa"/>
            <w:tcBorders>
              <w:top w:val="single" w:color="000000" w:sz="12" w:space="0"/>
              <w:left w:val="nil"/>
              <w:bottom w:val="single" w:color="auto" w:sz="6" w:space="0"/>
              <w:right w:val="nil"/>
            </w:tcBorders>
          </w:tcPr>
          <w:p w14:paraId="73C81D0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14:ligatures w14:val="standardContextual"/>
              </w:rPr>
              <w:t>K(wt %)</w:t>
            </w:r>
          </w:p>
        </w:tc>
        <w:tc>
          <w:tcPr>
            <w:tcW w:w="1674" w:type="dxa"/>
            <w:tcBorders>
              <w:top w:val="single" w:color="000000" w:sz="12" w:space="0"/>
              <w:left w:val="nil"/>
              <w:bottom w:val="single" w:color="auto" w:sz="6" w:space="0"/>
              <w:right w:val="nil"/>
            </w:tcBorders>
          </w:tcPr>
          <w:p w14:paraId="5F0D8CA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14:ligatures w14:val="standardContextual"/>
              </w:rPr>
              <w:t>Cu(wt %)</w:t>
            </w:r>
          </w:p>
        </w:tc>
        <w:tc>
          <w:tcPr>
            <w:tcW w:w="2561" w:type="dxa"/>
            <w:tcBorders>
              <w:top w:val="single" w:color="000000" w:sz="12" w:space="0"/>
              <w:left w:val="nil"/>
              <w:bottom w:val="single" w:color="auto" w:sz="6" w:space="0"/>
              <w:right w:val="nil"/>
            </w:tcBorders>
          </w:tcPr>
          <w:p w14:paraId="25D99BB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14:ligatures w14:val="standardContextual"/>
              </w:rPr>
              <w:t>Mn(wt %)</w:t>
            </w:r>
          </w:p>
        </w:tc>
      </w:tr>
      <w:tr w14:paraId="3949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1896" w:type="dxa"/>
            <w:tcBorders>
              <w:top w:val="single" w:color="auto" w:sz="6" w:space="0"/>
              <w:left w:val="nil"/>
              <w:bottom w:val="single" w:color="000000" w:sz="12" w:space="0"/>
              <w:right w:val="nil"/>
            </w:tcBorders>
          </w:tcPr>
          <w:p w14:paraId="507A5CD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14:ligatures w14:val="standardContextual"/>
              </w:rPr>
              <w:t>KCu-MO</w:t>
            </w:r>
          </w:p>
        </w:tc>
        <w:tc>
          <w:tcPr>
            <w:tcW w:w="2072" w:type="dxa"/>
            <w:tcBorders>
              <w:top w:val="single" w:color="auto" w:sz="6" w:space="0"/>
              <w:left w:val="nil"/>
              <w:bottom w:val="single" w:color="000000" w:sz="12" w:space="0"/>
              <w:right w:val="nil"/>
            </w:tcBorders>
          </w:tcPr>
          <w:p w14:paraId="014841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14:ligatures w14:val="standardContextual"/>
              </w:rPr>
              <w:t>6.6667%</w:t>
            </w:r>
          </w:p>
        </w:tc>
        <w:tc>
          <w:tcPr>
            <w:tcW w:w="1674" w:type="dxa"/>
            <w:tcBorders>
              <w:top w:val="single" w:color="auto" w:sz="6" w:space="0"/>
              <w:left w:val="nil"/>
              <w:bottom w:val="single" w:color="000000" w:sz="12" w:space="0"/>
              <w:right w:val="nil"/>
            </w:tcBorders>
          </w:tcPr>
          <w:p w14:paraId="4BFF073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14:ligatures w14:val="standardContextual"/>
              </w:rPr>
              <w:t>5.3339%</w:t>
            </w:r>
          </w:p>
        </w:tc>
        <w:tc>
          <w:tcPr>
            <w:tcW w:w="2561" w:type="dxa"/>
            <w:tcBorders>
              <w:top w:val="single" w:color="auto" w:sz="6" w:space="0"/>
              <w:left w:val="nil"/>
              <w:bottom w:val="single" w:color="000000" w:sz="12" w:space="0"/>
              <w:right w:val="nil"/>
            </w:tcBorders>
          </w:tcPr>
          <w:p w14:paraId="11C4785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14:ligatures w14:val="standardContextual"/>
              </w:rPr>
              <w:t>48.4327%</w:t>
            </w:r>
          </w:p>
        </w:tc>
      </w:tr>
    </w:tbl>
    <w:p w14:paraId="4DDEB1F7">
      <w:pPr>
        <w:rPr>
          <w:rFonts w:ascii="Times New Roman" w:hAnsi="Times New Roman" w:cs="Times New Roman"/>
          <w:sz w:val="24"/>
          <w:szCs w:val="24"/>
          <w:highlight w:val="yellow"/>
          <w14:ligatures w14:val="standardContextual"/>
        </w:rPr>
      </w:pPr>
      <w:r>
        <w:rPr>
          <w:rFonts w:hint="eastAsia" w:ascii="Times New Roman" w:hAnsi="Times New Roman" w:cs="Times New Roman"/>
          <w:sz w:val="24"/>
          <w:szCs w:val="28"/>
          <w:highlight w:val="yellow"/>
        </w:rPr>
        <w:t>Table S</w:t>
      </w:r>
      <w:r>
        <w:rPr>
          <w:rFonts w:hint="eastAsia" w:ascii="Times New Roman" w:hAnsi="Times New Roman" w:cs="Times New Roman"/>
          <w:sz w:val="24"/>
          <w:szCs w:val="28"/>
          <w:highlight w:val="yellow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8"/>
          <w:highlight w:val="yellow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highlight w:val="yellow"/>
          <w14:ligatures w14:val="standardContextual"/>
        </w:rPr>
        <w:t>ICP-OES element contents analysis of KCu-MO</w:t>
      </w:r>
    </w:p>
    <w:p w14:paraId="735E2000">
      <w:pPr>
        <w:rPr>
          <w:rFonts w:ascii="Times New Roman" w:hAnsi="Times New Roman" w:cs="Times New Roman"/>
          <w:sz w:val="24"/>
          <w:szCs w:val="24"/>
          <w14:ligatures w14:val="standardContextual"/>
        </w:rPr>
      </w:pPr>
      <w:r>
        <w:rPr>
          <w:rFonts w:hint="eastAsia" w:ascii="Times New Roman" w:hAnsi="Times New Roman" w:cs="Times New Roman"/>
          <w:sz w:val="24"/>
          <w:szCs w:val="24"/>
          <w14:ligatures w14:val="standardContextual"/>
        </w:rPr>
        <w:br w:type="page"/>
      </w:r>
    </w:p>
    <w:p w14:paraId="25BCD14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16"/>
        <w:tblW w:w="89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2072"/>
        <w:gridCol w:w="1674"/>
        <w:gridCol w:w="2561"/>
        <w:gridCol w:w="969"/>
      </w:tblGrid>
      <w:tr w14:paraId="3764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629" w:type="dxa"/>
            <w:tcBorders>
              <w:top w:val="single" w:color="000000" w:sz="12" w:space="0"/>
              <w:left w:val="nil"/>
              <w:bottom w:val="single" w:color="auto" w:sz="6" w:space="0"/>
              <w:right w:val="nil"/>
            </w:tcBorders>
          </w:tcPr>
          <w:p w14:paraId="57B5CF5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Materials</w:t>
            </w:r>
          </w:p>
        </w:tc>
        <w:tc>
          <w:tcPr>
            <w:tcW w:w="2072" w:type="dxa"/>
            <w:tcBorders>
              <w:top w:val="single" w:color="000000" w:sz="12" w:space="0"/>
              <w:left w:val="nil"/>
              <w:bottom w:val="single" w:color="auto" w:sz="6" w:space="0"/>
              <w:right w:val="nil"/>
            </w:tcBorders>
          </w:tcPr>
          <w:p w14:paraId="74DFF8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Electrolyte</w:t>
            </w:r>
          </w:p>
        </w:tc>
        <w:tc>
          <w:tcPr>
            <w:tcW w:w="1674" w:type="dxa"/>
            <w:tcBorders>
              <w:top w:val="single" w:color="000000" w:sz="12" w:space="0"/>
              <w:left w:val="nil"/>
              <w:bottom w:val="single" w:color="auto" w:sz="6" w:space="0"/>
              <w:right w:val="nil"/>
            </w:tcBorders>
          </w:tcPr>
          <w:p w14:paraId="4F4209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Specific capacity</w:t>
            </w:r>
          </w:p>
        </w:tc>
        <w:tc>
          <w:tcPr>
            <w:tcW w:w="2561" w:type="dxa"/>
            <w:tcBorders>
              <w:top w:val="single" w:color="000000" w:sz="12" w:space="0"/>
              <w:left w:val="nil"/>
              <w:bottom w:val="single" w:color="auto" w:sz="6" w:space="0"/>
              <w:right w:val="nil"/>
            </w:tcBorders>
          </w:tcPr>
          <w:p w14:paraId="3368FF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Cycling performance</w:t>
            </w:r>
          </w:p>
        </w:tc>
        <w:tc>
          <w:tcPr>
            <w:tcW w:w="969" w:type="dxa"/>
            <w:tcBorders>
              <w:top w:val="single" w:color="000000" w:sz="12" w:space="0"/>
              <w:left w:val="nil"/>
              <w:bottom w:val="single" w:color="auto" w:sz="6" w:space="0"/>
              <w:right w:val="nil"/>
            </w:tcBorders>
          </w:tcPr>
          <w:p w14:paraId="5E211D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Ref.</w:t>
            </w:r>
          </w:p>
        </w:tc>
      </w:tr>
      <w:tr w14:paraId="382E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629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344994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MnO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@AEPA</w:t>
            </w:r>
          </w:p>
        </w:tc>
        <w:tc>
          <w:tcPr>
            <w:tcW w:w="2072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05C3D9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2M ZnSO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+ 0.1M MnSO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</w:p>
        </w:tc>
        <w:tc>
          <w:tcPr>
            <w:tcW w:w="167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457FC4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223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mA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h g</w:t>
            </w:r>
            <w:r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at 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0.5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256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519708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97% after 1700 cycles at 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969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2A23BD9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8"/>
              </w:rPr>
              <w:instrText xml:space="preserve"> ADDIN EN.CITE &lt;EndNote&gt;&lt;Cite&gt;&lt;Author&gt;He&lt;/Author&gt;&lt;Year&gt;2024&lt;/Year&gt;&lt;RecNum&gt;13&lt;/RecNum&gt;&lt;DisplayText&gt;[1]&lt;/DisplayText&gt;&lt;record&gt;&lt;rec-number&gt;13&lt;/rec-number&gt;&lt;foreign-keys&gt;&lt;key app="EN" db-id="a9r9wzzx2vxp23epssyp29z9svz5zvrdx5xz" timestamp="1758552383"&gt;13&lt;/key&gt;&lt;/foreign-keys&gt;&lt;ref-type name="Journal Article"&gt;17&lt;/ref-type&gt;&lt;contributors&gt;&lt;authors&gt;&lt;author&gt;He, Xin&lt;/author&gt;&lt;author&gt;Kwon, Minkyung&lt;/author&gt;&lt;author&gt;Chung, Juchan&lt;/author&gt;&lt;author&gt;Lee, Kangsik&lt;/author&gt;&lt;author&gt;Choi, Yongjun&lt;/author&gt;&lt;author&gt;Im, Yeji&lt;/author&gt;&lt;author&gt;Jang, Jiung&lt;/author&gt;&lt;author&gt;Choi, Yongjune&lt;/author&gt;&lt;author&gt;Yoon, Hyo Jae&lt;/author&gt;&lt;/authors&gt;&lt;/contributors&gt;&lt;titles&gt;&lt;title&gt;Self-Assembled Molecular Layers as Interfacial Engineering Nanomaterials in Rechargeable Battery Applications&lt;/title&gt;&lt;secondary-title&gt;Small&lt;/secondary-title&gt;&lt;/titles&gt;&lt;periodical&gt;&lt;full-title&gt;Small&lt;/full-title&gt;&lt;/periodical&gt;&lt;volume&gt;20&lt;/volume&gt;&lt;number&gt;44&lt;/number&gt;&lt;dates&gt;&lt;year&gt;2024&lt;/year&gt;&lt;pub-dates&gt;&lt;date&gt;Nov&lt;/date&gt;&lt;/pub-dates&gt;&lt;/dates&gt;&lt;isbn&gt;1613-6810&lt;/isbn&gt;&lt;accession-num&gt;WOS:001270985800001&lt;/accession-num&gt;&lt;work-type&gt;Review&lt;/work-type&gt;&lt;urls&gt;&lt;related-urls&gt;&lt;url&gt;&amp;lt;Go to ISI&amp;gt;://WOS:001270985800001&lt;/url&gt;&lt;/related-urls&gt;&lt;/urls&gt;&lt;electronic-resource-num&gt;10.1002/smll.202403537&lt;/electronic-resource-num&gt;&lt;/record&gt;&lt;/Cite&gt;&lt;/EndNote&gt;</w:instrTex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8"/>
              </w:rPr>
              <w:t>[1]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end"/>
            </w:r>
          </w:p>
        </w:tc>
      </w:tr>
      <w:tr w14:paraId="58DAF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629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58912F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α-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Mn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3</w:t>
            </w:r>
          </w:p>
        </w:tc>
        <w:tc>
          <w:tcPr>
            <w:tcW w:w="2072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54E3DC4F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2M ZnSO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+ 0.2M MnSO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</w:p>
        </w:tc>
        <w:tc>
          <w:tcPr>
            <w:tcW w:w="167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4487A0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225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mA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h g</w:t>
            </w:r>
            <w:r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at 0.05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256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223104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53.3% after 1700 cycles at 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969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4D83EA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8"/>
              </w:rPr>
              <w:instrText xml:space="preserve"> ADDIN EN.CITE &lt;EndNote&gt;&lt;Cite&gt;&lt;Author&gt;Mao&lt;/Author&gt;&lt;Year&gt;2021&lt;/Year&gt;&lt;RecNum&gt;86&lt;/RecNum&gt;&lt;DisplayText&gt;[2]&lt;/DisplayText&gt;&lt;record&gt;&lt;rec-number&gt;86&lt;/rec-number&gt;&lt;foreign-keys&gt;&lt;key app="EN" db-id="a9r9wzzx2vxp23epssyp29z9svz5zvrdx5xz" timestamp="1765785161"&gt;86&lt;/key&gt;&lt;/foreign-keys&gt;&lt;ref-type name="Journal Article"&gt;17&lt;/ref-type&gt;&lt;contributors&gt;&lt;authors&gt;&lt;author&gt;Mao, M.&lt;/author&gt;&lt;author&gt;Wu, X. X.&lt;/author&gt;&lt;author&gt;Hu, Y.&lt;/author&gt;&lt;author&gt;Yuan, Q. H.&lt;/author&gt;&lt;author&gt;He, Y. B.&lt;/author&gt;&lt;author&gt;Kang, F. Y.&lt;/author&gt;&lt;/authors&gt;&lt;/contributors&gt;&lt;titles&gt;&lt;title&gt;Charge storage mechanism of MOF-derived Mn2O3 as high performance cathode of aqueous zinc-ion batteries&lt;/title&gt;&lt;secondary-title&gt;Journal of Energy Chemistry&lt;/secondary-title&gt;&lt;/titles&gt;&lt;periodical&gt;&lt;full-title&gt;Journal of Energy Chemistry&lt;/full-title&gt;&lt;/periodical&gt;&lt;pages&gt;277-283&lt;/pages&gt;&lt;volume&gt;52&lt;/volume&gt;&lt;dates&gt;&lt;year&gt;2021&lt;/year&gt;&lt;pub-dates&gt;&lt;date&gt;Jan&lt;/date&gt;&lt;/pub-dates&gt;&lt;/dates&gt;&lt;isbn&gt;2095-4956&lt;/isbn&gt;&lt;accession-num&gt;WOS:000595239600014&lt;/accession-num&gt;&lt;urls&gt;&lt;related-urls&gt;&lt;url&gt;&amp;lt;Go to ISI&amp;gt;://WOS:000595239600014&lt;/url&gt;&lt;/related-urls&gt;&lt;/urls&gt;&lt;electronic-resource-num&gt;10.1016/j.jechem.2020.04.061&lt;/electronic-resource-num&gt;&lt;/record&gt;&lt;/Cite&gt;&lt;/EndNote&gt;</w:instrTex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8"/>
              </w:rPr>
              <w:t>[2]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end"/>
            </w:r>
          </w:p>
        </w:tc>
      </w:tr>
      <w:tr w14:paraId="5D33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629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6316956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β‐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MnO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-TA </w:t>
            </w:r>
          </w:p>
        </w:tc>
        <w:tc>
          <w:tcPr>
            <w:tcW w:w="2072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746E1E6D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3M Zn(CF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)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+ 0.1M Mn(CF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)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2</w:t>
            </w:r>
          </w:p>
        </w:tc>
        <w:tc>
          <w:tcPr>
            <w:tcW w:w="167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3F923A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268.24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mA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h g</w:t>
            </w:r>
            <w:r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at 0.1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2561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67DC1B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86.77% after 50 cycles at 0.1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969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0217916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8"/>
              </w:rPr>
              <w:instrText xml:space="preserve"> ADDIN EN.CITE &lt;EndNote&gt;&lt;Cite&gt;&lt;Author&gt;Paik&lt;/Author&gt;&lt;Year&gt;2024&lt;/Year&gt;&lt;RecNum&gt;87&lt;/RecNum&gt;&lt;DisplayText&gt;[3]&lt;/DisplayText&gt;&lt;record&gt;&lt;rec-number&gt;87&lt;/rec-number&gt;&lt;foreign-keys&gt;&lt;key app="EN" db-id="a9r9wzzx2vxp23epssyp29z9svz5zvrdx5xz" timestamp="1765785255"&gt;87&lt;/key&gt;&lt;/foreign-keys&gt;&lt;ref-type name="Journal Article"&gt;17&lt;/ref-type&gt;&lt;contributors&gt;&lt;authors&gt;&lt;author&gt;Paik, S.&lt;/author&gt;&lt;author&gt;Choi, I.&lt;/author&gt;&lt;author&gt;Lee, S.&lt;/author&gt;&lt;author&gt;Nam, K. W.&lt;/author&gt;&lt;/authors&gt;&lt;/contributors&gt;&lt;titles&gt;&lt;title&gt;Chelating Effects of Polyphenolic Biomolecules to Improve β-MnO2 Cathode Performance for Aqueous Rechargeable Zinc-Ion Batteries&lt;/title&gt;&lt;secondary-title&gt;Acs Applied Materials &amp;amp; Interfaces&lt;/secondary-title&gt;&lt;/titles&gt;&lt;periodical&gt;&lt;full-title&gt;Acs Applied Materials &amp;amp; Interfaces&lt;/full-title&gt;&lt;/periodical&gt;&lt;pages&gt;50775-50784&lt;/pages&gt;&lt;volume&gt;16&lt;/volume&gt;&lt;number&gt;38&lt;/number&gt;&lt;dates&gt;&lt;year&gt;2024&lt;/year&gt;&lt;pub-dates&gt;&lt;date&gt;Sep 13&lt;/date&gt;&lt;/pub-dates&gt;&lt;/dates&gt;&lt;isbn&gt;1944-8244&lt;/isbn&gt;&lt;accession-num&gt;WOS:001313786600001&lt;/accession-num&gt;&lt;urls&gt;&lt;related-urls&gt;&lt;url&gt;&amp;lt;Go to ISI&amp;gt;://WOS:001313786600001&lt;/url&gt;&lt;/related-urls&gt;&lt;/urls&gt;&lt;electronic-resource-num&gt;10.1021/acsami.4c10537&lt;/electronic-resource-num&gt;&lt;/record&gt;&lt;/Cite&gt;&lt;/EndNote&gt;</w:instrTex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8"/>
              </w:rPr>
              <w:t>[3]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end"/>
            </w:r>
          </w:p>
        </w:tc>
      </w:tr>
      <w:tr w14:paraId="5E99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629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</w:tcPr>
          <w:p w14:paraId="0AD0EF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Mo-MnO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2</w:t>
            </w:r>
          </w:p>
        </w:tc>
        <w:tc>
          <w:tcPr>
            <w:tcW w:w="2072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</w:tcPr>
          <w:p w14:paraId="0C753220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2M ZnSO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+ 0.2M MnSO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</w:p>
        </w:tc>
        <w:tc>
          <w:tcPr>
            <w:tcW w:w="1674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</w:tcPr>
          <w:p w14:paraId="0710AAC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222.8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mA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h g</w:t>
            </w:r>
            <w:r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at 0.1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2561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</w:tcPr>
          <w:p w14:paraId="2573594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82.6% after 1000 cycles at 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969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</w:tcPr>
          <w:p w14:paraId="55349DE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8"/>
              </w:rPr>
              <w:instrText xml:space="preserve"> ADDIN EN.CITE &lt;EndNote&gt;&lt;Cite&gt;&lt;Author&gt;Zheng&lt;/Author&gt;&lt;Year&gt;2022&lt;/Year&gt;&lt;RecNum&gt;90&lt;/RecNum&gt;&lt;DisplayText&gt;[4]&lt;/DisplayText&gt;&lt;record&gt;&lt;rec-number&gt;90&lt;/rec-number&gt;&lt;foreign-keys&gt;&lt;key app="EN" db-id="a9r9wzzx2vxp23epssyp29z9svz5zvrdx5xz" timestamp="1765785373"&gt;90&lt;/key&gt;&lt;/foreign-keys&gt;&lt;ref-type name="Journal Article"&gt;17&lt;/ref-type&gt;&lt;contributors&gt;&lt;authors&gt;&lt;author&gt;Zheng, Z. H.&lt;/author&gt;&lt;author&gt;Yang, G. C.&lt;/author&gt;&lt;author&gt;Yao, J.&lt;/author&gt;&lt;author&gt;Li, J. Y.&lt;/author&gt;&lt;author&gt;Zheng, J. J.&lt;/author&gt;&lt;author&gt;Wu, Z.&lt;/author&gt;&lt;author&gt;Gan, Y.&lt;/author&gt;&lt;author&gt;Wang, C.&lt;/author&gt;&lt;author&gt;Lv, L.&lt;/author&gt;&lt;author&gt;Wan, H. Z.&lt;/author&gt;&lt;author&gt;Chen, C.&lt;/author&gt;&lt;author&gt;Wang, H. B.&lt;/author&gt;&lt;author&gt;Tao, L.&lt;/author&gt;&lt;author&gt;Zhang, J.&lt;/author&gt;&lt;author&gt;Wang, H.&lt;/author&gt;&lt;/authors&gt;&lt;/contributors&gt;&lt;titles&gt;&lt;title&gt;High-valence molybdenum promoted proton migration and inhibited dissolution for long-life aqueous Zn-MnO2 batteries&lt;/title&gt;&lt;secondary-title&gt;Applied Surface Science&lt;/secondary-title&gt;&lt;/titles&gt;&lt;periodical&gt;&lt;full-title&gt;Applied Surface Science&lt;/full-title&gt;&lt;/periodical&gt;&lt;volume&gt;592&lt;/volume&gt;&lt;dates&gt;&lt;year&gt;2022&lt;/year&gt;&lt;pub-dates&gt;&lt;date&gt;Aug 1&lt;/date&gt;&lt;/pub-dates&gt;&lt;/dates&gt;&lt;isbn&gt;0169-4332&lt;/isbn&gt;&lt;accession-num&gt;WOS:000894551800001&lt;/accession-num&gt;&lt;urls&gt;&lt;related-urls&gt;&lt;url&gt;&amp;lt;Go to ISI&amp;gt;://WOS:000894551800001&lt;/url&gt;&lt;/related-urls&gt;&lt;/urls&gt;&lt;custom7&gt;153335&lt;/custom7&gt;&lt;electronic-resource-num&gt;10.1016/j.apsusc.2022.153335&lt;/electronic-resource-num&gt;&lt;/record&gt;&lt;/Cite&gt;&lt;/EndNote&gt;</w:instrTex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8"/>
              </w:rPr>
              <w:t>[4]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end"/>
            </w:r>
          </w:p>
        </w:tc>
      </w:tr>
      <w:tr w14:paraId="7C29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62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B0A55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NS-MnO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2</w:t>
            </w:r>
          </w:p>
        </w:tc>
        <w:tc>
          <w:tcPr>
            <w:tcW w:w="207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66D5A04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2M ZnSO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+ 0.1M MnSO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</w:p>
        </w:tc>
        <w:tc>
          <w:tcPr>
            <w:tcW w:w="1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C232F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295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mA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h g</w:t>
            </w:r>
            <w:r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at 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0.2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25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CD5EED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94% capacity after 1500 cycles at 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9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638C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8"/>
              </w:rPr>
              <w:instrText xml:space="preserve"> ADDIN EN.CITE &lt;EndNote&gt;&lt;Cite&gt;&lt;Author&gt;Liang&lt;/Author&gt;&lt;Year&gt;2025&lt;/Year&gt;&lt;RecNum&gt;7&lt;/RecNum&gt;&lt;DisplayText&gt;[5]&lt;/DisplayText&gt;&lt;record&gt;&lt;rec-number&gt;7&lt;/rec-number&gt;&lt;foreign-keys&gt;&lt;key app="EN" db-id="a9r9wzzx2vxp23epssyp29z9svz5zvrdx5xz" timestamp="1758551401"&gt;7&lt;/key&gt;&lt;/foreign-keys&gt;&lt;ref-type name="Journal Article"&gt;17&lt;/ref-type&gt;&lt;contributors&gt;&lt;authors&gt;&lt;author&gt;Liang, Jinrui&lt;/author&gt;&lt;author&gt;Zhao, Yajun&lt;/author&gt;&lt;author&gt;Ren, Longtao&lt;/author&gt;&lt;author&gt;Li, Mengchao&lt;/author&gt;&lt;author&gt;Zhang, Qiaoli&lt;/author&gt;&lt;author&gt;Wang, Yinghong&lt;/author&gt;&lt;author&gt;Sun, Xiaoming&lt;/author&gt;&lt;author&gt;Chuai, Mingyan&lt;/author&gt;&lt;author&gt;Wang, Xusheng&lt;/author&gt;&lt;author&gt;Liu, Wen&lt;/author&gt;&lt;/authors&gt;&lt;/contributors&gt;&lt;titles&gt;&lt;title&gt;Dual Anions Doping Enhanced Conductivity and Stability of Layered &amp;lt;i&amp;gt;δ&amp;lt;/i&amp;gt;-MnO&amp;lt;sub&amp;gt;2&amp;lt;/sub&amp;gt; Cathode for Aqueous Zinc-Ion Battery&lt;/title&gt;&lt;secondary-title&gt;Advanced Functional Materials&lt;/secondary-title&gt;&lt;/titles&gt;&lt;periodical&gt;&lt;full-title&gt;Advanced Functional Materials&lt;/full-title&gt;&lt;/periodical&gt;&lt;volume&gt;35&lt;/volume&gt;&lt;number&gt;25&lt;/number&gt;&lt;dates&gt;&lt;year&gt;2025&lt;/year&gt;&lt;pub-dates&gt;&lt;date&gt;Jun&lt;/date&gt;&lt;/pub-dates&gt;&lt;/dates&gt;&lt;isbn&gt;1616-301X&lt;/isbn&gt;&lt;accession-num&gt;WOS:001468022900001&lt;/accession-num&gt;&lt;work-type&gt;Article&lt;/work-type&gt;&lt;urls&gt;&lt;related-urls&gt;&lt;url&gt;&amp;lt;Go to ISI&amp;gt;://WOS:001468022900001&lt;/url&gt;&lt;/related-urls&gt;&lt;/urls&gt;&lt;electronic-resource-num&gt;10.1002/adfm.202501135&lt;/electronic-resource-num&gt;&lt;/record&gt;&lt;/Cite&gt;&lt;/EndNote&gt;</w:instrTex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8"/>
              </w:rPr>
              <w:t>[5]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end"/>
            </w:r>
          </w:p>
        </w:tc>
      </w:tr>
      <w:tr w14:paraId="4627A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62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ED5FAA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K-</w:t>
            </w:r>
            <w:r>
              <w:rPr>
                <w:rFonts w:ascii="Times New Roman" w:hAnsi="Times New Roman" w:eastAsia="宋体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δ-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MnO</w:t>
            </w:r>
            <w:r>
              <w:rPr>
                <w:rFonts w:ascii="Times New Roman" w:hAnsi="Times New Roman" w:cs="Times New Roman"/>
                <w:bCs/>
                <w:color w:val="000000" w:themeColor="text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07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1FD0F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2M ZnSO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+ 0.1M MnSO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</w:p>
        </w:tc>
        <w:tc>
          <w:tcPr>
            <w:tcW w:w="1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43B90E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282.8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mA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h g</w:t>
            </w:r>
            <w:r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at 0.3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25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C32D5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over 50% after 1000 cycles at 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9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528B80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8"/>
              </w:rPr>
              <w:instrText xml:space="preserve"> ADDIN EN.CITE &lt;EndNote&gt;&lt;Cite&gt;&lt;Author&gt;Xie&lt;/Author&gt;&lt;Year&gt;2022&lt;/Year&gt;&lt;RecNum&gt;92&lt;/RecNum&gt;&lt;DisplayText&gt;[6]&lt;/DisplayText&gt;&lt;record&gt;&lt;rec-number&gt;92&lt;/rec-number&gt;&lt;foreign-keys&gt;&lt;key app="EN" db-id="a9r9wzzx2vxp23epssyp29z9svz5zvrdx5xz" timestamp="1765785839"&gt;92&lt;/key&gt;&lt;/foreign-keys&gt;&lt;ref-type name="Journal Article"&gt;17&lt;/ref-type&gt;&lt;contributors&gt;&lt;authors&gt;&lt;author&gt;Xie, Q. X.&lt;/author&gt;&lt;author&gt;Cheng, G.&lt;/author&gt;&lt;author&gt;Xue, T.&lt;/author&gt;&lt;author&gt;Huang, L. H.&lt;/author&gt;&lt;author&gt;Chen, S. H.&lt;/author&gt;&lt;author&gt;Sun, Y.&lt;/author&gt;&lt;author&gt;Sun, M.&lt;/author&gt;&lt;author&gt;Wang, H. Z.&lt;/author&gt;&lt;author&gt;Yu, L.&lt;/author&gt;&lt;/authors&gt;&lt;/contributors&gt;&lt;titles&gt;&lt;title&gt;Alkali ions pre-intercalation of δ-MnO2 nanosheets for high-capacity and stable Zn-ion battery&lt;/title&gt;&lt;secondary-title&gt;Materials Today Energy&lt;/secondary-title&gt;&lt;/titles&gt;&lt;periodical&gt;&lt;full-title&gt;Materials Today Energy&lt;/full-title&gt;&lt;/periodical&gt;&lt;volume&gt;24&lt;/volume&gt;&lt;dates&gt;&lt;year&gt;2022&lt;/year&gt;&lt;pub-dates&gt;&lt;date&gt;Mar&lt;/date&gt;&lt;/pub-dates&gt;&lt;/dates&gt;&lt;isbn&gt;2468-6069&lt;/isbn&gt;&lt;accession-num&gt;WOS:000820237900012&lt;/accession-num&gt;&lt;urls&gt;&lt;related-urls&gt;&lt;url&gt;&amp;lt;Go to ISI&amp;gt;://WOS:000820237900012&lt;/url&gt;&lt;/related-urls&gt;&lt;/urls&gt;&lt;custom7&gt;100934&lt;/custom7&gt;&lt;electronic-resource-num&gt;10.1016/j.mtener.2021.100934&lt;/electronic-resource-num&gt;&lt;/record&gt;&lt;/Cite&gt;&lt;/EndNote&gt;</w:instrTex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8"/>
              </w:rPr>
              <w:t>[6]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end"/>
            </w:r>
          </w:p>
        </w:tc>
      </w:tr>
      <w:tr w14:paraId="5A4D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62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A7FA68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Se, P co-doping MnO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2</w:t>
            </w:r>
          </w:p>
        </w:tc>
        <w:tc>
          <w:tcPr>
            <w:tcW w:w="207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E257306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2M ZnSO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+ 0.2M MnSO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</w:p>
        </w:tc>
        <w:tc>
          <w:tcPr>
            <w:tcW w:w="16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DBA742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295 mA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h g</w:t>
            </w:r>
            <w:r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at 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0.5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25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5063D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66% after 1000 cycles at 1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9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B62045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8"/>
              </w:rPr>
              <w:instrText xml:space="preserve"> ADDIN EN.CITE &lt;EndNote&gt;&lt;Cite&gt;&lt;Author&gt;Ma&lt;/Author&gt;&lt;Year&gt;2024&lt;/Year&gt;&lt;RecNum&gt;3&lt;/RecNum&gt;&lt;DisplayText&gt;[7]&lt;/DisplayText&gt;&lt;record&gt;&lt;rec-number&gt;3&lt;/rec-number&gt;&lt;foreign-keys&gt;&lt;key app="EN" db-id="a9r9wzzx2vxp23epssyp29z9svz5zvrdx5xz" timestamp="1758550812"&gt;3&lt;/key&gt;&lt;/foreign-keys&gt;&lt;ref-type name="Journal Article"&gt;17&lt;/ref-type&gt;&lt;contributors&gt;&lt;authors&gt;&lt;author&gt;Ma, Kaixuan&lt;/author&gt;&lt;author&gt;Ge, Suyu&lt;/author&gt;&lt;author&gt;Fu, Ruru&lt;/author&gt;&lt;author&gt;Feng, Caihong&lt;/author&gt;&lt;author&gt;Zhao, Haoyu&lt;/author&gt;&lt;author&gt;Shen, Xueran&lt;/author&gt;&lt;author&gt;Liang, Guangfeng&lt;/author&gt;&lt;author&gt;Zhao, Yun&lt;/author&gt;&lt;author&gt;Jiao, Qingze&lt;/author&gt;&lt;/authors&gt;&lt;/contributors&gt;&lt;auth-address&gt;Beijing Inst Technol, Sch Chem &amp;amp; Chem Engn, Beijing Key Lab Chem Power Source &amp;amp; Green Catalysi, Beijing 100081, Peoples R China&amp;#xD;Beijing Inst Technol, Sch Mat &amp;amp; Environm, Zhuhai Campus, Zhuhai 519085, Peoples R China&lt;/auth-address&gt;&lt;titles&gt;&lt;title&gt;Uncovering Se, P co-doping effect in MnO&amp;lt;sub&amp;gt;2&amp;lt;/sub&amp;gt; toward high-performance aqueous zinc-ion batteries&lt;/title&gt;&lt;secondary-title&gt;Chemical Engineering Journal&lt;/secondary-title&gt;&lt;/titles&gt;&lt;periodical&gt;&lt;full-title&gt;Chemical Engineering Journal&lt;/full-title&gt;&lt;/periodical&gt;&lt;volume&gt;484&lt;/volume&gt;&lt;dates&gt;&lt;year&gt;2024&lt;/year&gt;&lt;pub-dates&gt;&lt;date&gt;Mar 15&lt;/date&gt;&lt;/pub-dates&gt;&lt;/dates&gt;&lt;isbn&gt;1385-8947&lt;/isbn&gt;&lt;accession-num&gt;WOS:001183784800001&lt;/accession-num&gt;&lt;work-type&gt;Article&lt;/work-type&gt;&lt;urls&gt;&lt;related-urls&gt;&lt;url&gt;&amp;lt;Go to ISI&amp;gt;://WOS:001183784800001&lt;/url&gt;&lt;/related-urls&gt;&lt;/urls&gt;&lt;custom7&gt;149525&lt;/custom7&gt;&lt;electronic-resource-num&gt;10.1016/j.cej.2024.149525&lt;/electronic-resource-num&gt;&lt;/record&gt;&lt;/Cite&gt;&lt;/EndNote&gt;</w:instrTex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8"/>
              </w:rPr>
              <w:t>[7]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fldChar w:fldCharType="end"/>
            </w:r>
          </w:p>
        </w:tc>
      </w:tr>
      <w:tr w14:paraId="00FC7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629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</w:tcPr>
          <w:p w14:paraId="76BB8B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This work</w:t>
            </w:r>
          </w:p>
        </w:tc>
        <w:tc>
          <w:tcPr>
            <w:tcW w:w="2072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</w:tcPr>
          <w:p w14:paraId="13EEC437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2M ZnSO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>+ 0.1M MnSO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bscript"/>
              </w:rPr>
              <w:t>4</w:t>
            </w:r>
          </w:p>
        </w:tc>
        <w:tc>
          <w:tcPr>
            <w:tcW w:w="1674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</w:tcPr>
          <w:p w14:paraId="49EA20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257.49 mA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h g</w:t>
            </w:r>
            <w:r>
              <w:rPr>
                <w:rFonts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at 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0.5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2561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</w:tcPr>
          <w:p w14:paraId="35FF52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84% after 5000 cycles </w:t>
            </w:r>
          </w:p>
          <w:p w14:paraId="1F1D85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at 1 A g</w:t>
            </w:r>
            <w:r>
              <w:rPr>
                <w:rFonts w:hint="eastAsia" w:ascii="Times New Roman" w:hAnsi="Times New Roman" w:cs="Times New Roman"/>
                <w:sz w:val="24"/>
                <w:szCs w:val="28"/>
                <w:vertAlign w:val="superscript"/>
              </w:rPr>
              <w:t>-1</w:t>
            </w:r>
          </w:p>
        </w:tc>
        <w:tc>
          <w:tcPr>
            <w:tcW w:w="969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</w:tcPr>
          <w:p w14:paraId="4A8F9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7130DFEF">
      <w:pPr>
        <w:rPr>
          <w:rFonts w:ascii="Times New Roman" w:hAnsi="Times New Roman" w:cs="Times New Roman"/>
          <w:sz w:val="24"/>
          <w:szCs w:val="28"/>
          <w:highlight w:val="yellow"/>
        </w:rPr>
      </w:pPr>
      <w:r>
        <w:rPr>
          <w:rFonts w:hint="eastAsia" w:ascii="Times New Roman" w:hAnsi="Times New Roman" w:cs="Times New Roman"/>
          <w:sz w:val="24"/>
          <w:szCs w:val="28"/>
          <w:highlight w:val="yellow"/>
        </w:rPr>
        <w:t>Table S3 Performance comparison of AZIBs with manganese oxide-based materials as cathodes.</w:t>
      </w:r>
    </w:p>
    <w:p w14:paraId="7B0BB767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br w:type="page"/>
      </w:r>
    </w:p>
    <w:p w14:paraId="0B87DF3C">
      <w:pPr>
        <w:rPr>
          <w:rFonts w:ascii="Times New Roman" w:hAnsi="Times New Roman" w:cs="Times New Roman"/>
          <w:sz w:val="24"/>
          <w:szCs w:val="28"/>
        </w:rPr>
      </w:pPr>
    </w:p>
    <w:tbl>
      <w:tblPr>
        <w:tblStyle w:val="1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58E303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12" w:space="0"/>
              <w:bottom w:val="single" w:color="auto" w:sz="6" w:space="0"/>
            </w:tcBorders>
          </w:tcPr>
          <w:p w14:paraId="768BBB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5" w:type="dxa"/>
            <w:tcBorders>
              <w:top w:val="single" w:color="auto" w:sz="12" w:space="0"/>
              <w:bottom w:val="single" w:color="auto" w:sz="6" w:space="0"/>
            </w:tcBorders>
          </w:tcPr>
          <w:p w14:paraId="69982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Rs/</w:t>
            </w: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Ω</w:t>
            </w:r>
          </w:p>
        </w:tc>
        <w:tc>
          <w:tcPr>
            <w:tcW w:w="2766" w:type="dxa"/>
            <w:tcBorders>
              <w:top w:val="single" w:color="auto" w:sz="12" w:space="0"/>
              <w:bottom w:val="single" w:color="auto" w:sz="6" w:space="0"/>
            </w:tcBorders>
          </w:tcPr>
          <w:p w14:paraId="0D24D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Rct/</w:t>
            </w:r>
            <w:r>
              <w:rPr>
                <w:rFonts w:ascii="Times New Roman" w:hAnsi="Times New Roman" w:eastAsia="等线" w:cs="Times New Roman"/>
                <w:sz w:val="24"/>
                <w:szCs w:val="24"/>
              </w:rPr>
              <w:t>Ω</w:t>
            </w:r>
          </w:p>
        </w:tc>
      </w:tr>
      <w:tr w14:paraId="13763B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6" w:space="0"/>
            </w:tcBorders>
          </w:tcPr>
          <w:p w14:paraId="1804D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KCu-MO</w:t>
            </w:r>
          </w:p>
        </w:tc>
        <w:tc>
          <w:tcPr>
            <w:tcW w:w="2765" w:type="dxa"/>
            <w:tcBorders>
              <w:top w:val="single" w:color="auto" w:sz="6" w:space="0"/>
            </w:tcBorders>
          </w:tcPr>
          <w:p w14:paraId="0E01E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2.043</w:t>
            </w:r>
          </w:p>
        </w:tc>
        <w:tc>
          <w:tcPr>
            <w:tcW w:w="2766" w:type="dxa"/>
            <w:tcBorders>
              <w:top w:val="single" w:color="auto" w:sz="6" w:space="0"/>
            </w:tcBorders>
          </w:tcPr>
          <w:p w14:paraId="7B054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262.4</w:t>
            </w:r>
          </w:p>
        </w:tc>
      </w:tr>
      <w:tr w14:paraId="2F6526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9E44A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K-MO</w:t>
            </w:r>
          </w:p>
        </w:tc>
        <w:tc>
          <w:tcPr>
            <w:tcW w:w="2765" w:type="dxa"/>
          </w:tcPr>
          <w:p w14:paraId="06038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2.213</w:t>
            </w:r>
          </w:p>
        </w:tc>
        <w:tc>
          <w:tcPr>
            <w:tcW w:w="2766" w:type="dxa"/>
          </w:tcPr>
          <w:p w14:paraId="4F594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469.9</w:t>
            </w:r>
          </w:p>
        </w:tc>
      </w:tr>
    </w:tbl>
    <w:p w14:paraId="0EEB9DAE">
      <w:pPr>
        <w:spacing w:line="48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Table S</w:t>
      </w:r>
      <w:r>
        <w:rPr>
          <w:rFonts w:hint="eastAsia" w:ascii="Times New Roman" w:hAnsi="Times New Roman" w:cs="Times New Roman"/>
          <w:sz w:val="24"/>
          <w:szCs w:val="28"/>
        </w:rPr>
        <w:t>4 I</w:t>
      </w:r>
      <w:r>
        <w:rPr>
          <w:rFonts w:ascii="Times New Roman" w:hAnsi="Times New Roman" w:cs="Times New Roman"/>
          <w:sz w:val="24"/>
          <w:szCs w:val="28"/>
        </w:rPr>
        <w:t>mpedance value based on equivalent ciruit diagram fitting</w:t>
      </w:r>
    </w:p>
    <w:p w14:paraId="278659F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5920A9C8">
      <w:pPr>
        <w:spacing w:line="48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</w:rPr>
        <w:t>Reference</w:t>
      </w:r>
    </w:p>
    <w:p w14:paraId="7BDD6E64">
      <w:pPr>
        <w:pStyle w:val="4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[1] X. He, M. Kwon, J. Chung, K. Lee, Y. Choi, Y. Im, J. Jang, Y. Choi, H.J. Yoon, Self-</w:t>
      </w: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ssembled </w:t>
      </w:r>
      <w:r>
        <w:rPr>
          <w:rFonts w:hint="eastAsia"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olecular </w:t>
      </w:r>
      <w:r>
        <w:rPr>
          <w:rFonts w:hint="eastAsia"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ayers as </w:t>
      </w:r>
      <w:r>
        <w:rPr>
          <w:rFonts w:hint="eastAsia"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nterfacial </w:t>
      </w:r>
      <w:r>
        <w:rPr>
          <w:rFonts w:hint="eastAsia"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ngineering </w:t>
      </w:r>
      <w:r>
        <w:rPr>
          <w:rFonts w:hint="eastAsia"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anomaterials in </w:t>
      </w:r>
      <w:r>
        <w:rPr>
          <w:rFonts w:hint="eastAsia"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echargeable </w:t>
      </w:r>
      <w:r>
        <w:rPr>
          <w:rFonts w:hint="eastAsia"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attery </w:t>
      </w: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pplications,Small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20 (2024)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>2403537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7A58E9">
      <w:pPr>
        <w:pStyle w:val="4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[2] M. Mao, X.X. Wu, Y. Hu, Q.H. Yuan, Y.B. He, F.Y. Kang, Charge storage mechanism of MOF-derived Mn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as high performance cathode of aqueous zinc-ion batteries, Journal of Energy Chemistry 52 (2021) 277-283. </w:t>
      </w:r>
    </w:p>
    <w:p w14:paraId="4A28ED95">
      <w:pPr>
        <w:pStyle w:val="4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[3] S. Paik, I. Choi, S. Lee, K.W. Nam, Chelating </w:t>
      </w:r>
      <w:r>
        <w:rPr>
          <w:rFonts w:hint="eastAsia"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ffects of </w:t>
      </w:r>
      <w:r>
        <w:rPr>
          <w:rFonts w:hint="eastAsia"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olyphenolic </w:t>
      </w:r>
      <w:r>
        <w:rPr>
          <w:rFonts w:hint="eastAsia"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iomolecules to </w:t>
      </w:r>
      <w:r>
        <w:rPr>
          <w:rFonts w:hint="eastAsia"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mprove β-MnO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athode </w:t>
      </w:r>
      <w:r>
        <w:rPr>
          <w:rFonts w:hint="eastAsia"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erformance for </w:t>
      </w: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queous </w:t>
      </w:r>
      <w:r>
        <w:rPr>
          <w:rFonts w:hint="eastAsia"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echargeable </w:t>
      </w:r>
      <w:r>
        <w:rPr>
          <w:rFonts w:hint="eastAsia"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inc-</w:t>
      </w:r>
      <w:r>
        <w:rPr>
          <w:rFonts w:hint="eastAsia"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hint="eastAsia"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atteries, Acs Applied Materials &amp; Interfaces 16 (2024) 50775-50784. </w:t>
      </w:r>
    </w:p>
    <w:p w14:paraId="7CC4CD55">
      <w:pPr>
        <w:pStyle w:val="4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[4] Z.H. Zheng, G.C. Yang, J. Yao, J.Y. Li, J.J. Zheng, Z. Wu, Y. Gan, C. Wang, L. Lv, H.Z. Wan, C. Chen, H.B. Wang, L. Tao, J. Zhang, H. Wang, High-valence molybdenum promoted proton migration and inhibited dissolution for long-life aqueous Zn-MnO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batterie</w:t>
      </w:r>
      <w:r>
        <w:rPr>
          <w:rFonts w:ascii="Times New Roman" w:hAnsi="Times New Roman" w:cs="Times New Roman"/>
          <w:sz w:val="24"/>
          <w:szCs w:val="24"/>
          <w:highlight w:val="none"/>
        </w:rPr>
        <w:t>s, Applied Surface Science 592 (2022)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15333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926FD5">
      <w:pPr>
        <w:pStyle w:val="4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[5] J. Liang, Y. Zhao, L. Ren, M. Li, Q. Zhang, Y. Wang, X. Sun, M. Chuai, X. Wang, W. Liu, Dual </w:t>
      </w: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nions </w:t>
      </w:r>
      <w:r>
        <w:rPr>
          <w:rFonts w:hint="eastAsia"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oping </w:t>
      </w:r>
      <w:r>
        <w:rPr>
          <w:rFonts w:hint="eastAsia"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nhanced </w:t>
      </w: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onductivity and </w:t>
      </w:r>
      <w:r>
        <w:rPr>
          <w:rFonts w:hint="eastAsia"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tability of </w:t>
      </w:r>
      <w:r>
        <w:rPr>
          <w:rFonts w:hint="eastAsia"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ayered δ-MnO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athode for </w:t>
      </w: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queous </w:t>
      </w:r>
      <w:r>
        <w:rPr>
          <w:rFonts w:hint="eastAsia"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inc-</w:t>
      </w:r>
      <w:r>
        <w:rPr>
          <w:rFonts w:hint="eastAsia"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hint="eastAsia"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attery, Advanced Functional Materials 35 (2025)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2501135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A57DC8">
      <w:pPr>
        <w:pStyle w:val="41"/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[6] Q.X. Xie, G. Cheng, T. Xue, L.H. Huang, S.H. Chen, Y. Sun, M. Sun, H.Z. Wang, L. Yu, Alkali ions pre-intercalation of δ-MnO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nanosheets for high-capacity and stable Zn-ion b</w:t>
      </w:r>
      <w:r>
        <w:rPr>
          <w:rFonts w:ascii="Times New Roman" w:hAnsi="Times New Roman" w:cs="Times New Roman"/>
          <w:sz w:val="24"/>
          <w:szCs w:val="24"/>
          <w:highlight w:val="none"/>
        </w:rPr>
        <w:t>attery, Materials Today Energy 24 (2022)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24"/>
          <w:szCs w:val="24"/>
          <w:highlight w:val="none"/>
        </w:rPr>
        <w:t>100934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.</w:t>
      </w:r>
    </w:p>
    <w:p w14:paraId="5E5FD23A">
      <w:pPr>
        <w:pStyle w:val="4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[7] K. Ma, S. Ge, R. Fu, C. Feng, H. Zhao, X. Shen, G. Liang, Y. Zhao, Q. Jiao, Uncovering Se, P co-doping effect in MnO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toward high-performance aqueous zinc-ion batteries, Chemical Engineering Journal 484 (2024)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149525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43DEAA">
      <w:pPr>
        <w:spacing w:line="480" w:lineRule="auto"/>
        <w:rPr>
          <w:rFonts w:ascii="Times New Roman" w:hAnsi="Times New Roman" w:cs="Times New Roman"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em Engineer J Copy-1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9r9wzzx2vxp23epssyp29z9svz5zvrdx5xz&quot;&gt;My EndNote Library&lt;record-ids&gt;&lt;item&gt;3&lt;/item&gt;&lt;item&gt;7&lt;/item&gt;&lt;item&gt;13&lt;/item&gt;&lt;item&gt;86&lt;/item&gt;&lt;item&gt;87&lt;/item&gt;&lt;item&gt;90&lt;/item&gt;&lt;item&gt;92&lt;/item&gt;&lt;/record-ids&gt;&lt;/item&gt;&lt;/Libraries&gt;"/>
  </w:docVars>
  <w:rsids>
    <w:rsidRoot w:val="00A30BAD"/>
    <w:rsid w:val="000536A1"/>
    <w:rsid w:val="000B1B72"/>
    <w:rsid w:val="00135FF5"/>
    <w:rsid w:val="001A59EB"/>
    <w:rsid w:val="002000F1"/>
    <w:rsid w:val="00253466"/>
    <w:rsid w:val="00283453"/>
    <w:rsid w:val="003C54DF"/>
    <w:rsid w:val="003D0C35"/>
    <w:rsid w:val="0044283E"/>
    <w:rsid w:val="004A7490"/>
    <w:rsid w:val="004C7517"/>
    <w:rsid w:val="00586D26"/>
    <w:rsid w:val="006758A0"/>
    <w:rsid w:val="007015F9"/>
    <w:rsid w:val="007271B1"/>
    <w:rsid w:val="00755867"/>
    <w:rsid w:val="00773E4A"/>
    <w:rsid w:val="00857E47"/>
    <w:rsid w:val="008650EC"/>
    <w:rsid w:val="00930FE7"/>
    <w:rsid w:val="009E0ACB"/>
    <w:rsid w:val="00A30BAD"/>
    <w:rsid w:val="00B3775D"/>
    <w:rsid w:val="00B65C23"/>
    <w:rsid w:val="00B97F00"/>
    <w:rsid w:val="00C76F40"/>
    <w:rsid w:val="00D06369"/>
    <w:rsid w:val="00D8727B"/>
    <w:rsid w:val="00DD341C"/>
    <w:rsid w:val="00DD6B7A"/>
    <w:rsid w:val="00E22CA3"/>
    <w:rsid w:val="00E37E70"/>
    <w:rsid w:val="00E65405"/>
    <w:rsid w:val="00E80FD1"/>
    <w:rsid w:val="00EB60A1"/>
    <w:rsid w:val="00F46AA6"/>
    <w:rsid w:val="00FC1CA8"/>
    <w:rsid w:val="026B74AB"/>
    <w:rsid w:val="04211979"/>
    <w:rsid w:val="05186EFA"/>
    <w:rsid w:val="0C6C350A"/>
    <w:rsid w:val="0E90419B"/>
    <w:rsid w:val="161A12C9"/>
    <w:rsid w:val="16CC2550"/>
    <w:rsid w:val="173133BF"/>
    <w:rsid w:val="19CF3A3A"/>
    <w:rsid w:val="288C002A"/>
    <w:rsid w:val="2A143DF6"/>
    <w:rsid w:val="3300533E"/>
    <w:rsid w:val="364F647B"/>
    <w:rsid w:val="37361537"/>
    <w:rsid w:val="387B5699"/>
    <w:rsid w:val="38E2156D"/>
    <w:rsid w:val="3AD449EA"/>
    <w:rsid w:val="3C642DEE"/>
    <w:rsid w:val="3D6E2C8D"/>
    <w:rsid w:val="3D747A60"/>
    <w:rsid w:val="5C1D6A9C"/>
    <w:rsid w:val="5E383927"/>
    <w:rsid w:val="66434511"/>
    <w:rsid w:val="67A46064"/>
    <w:rsid w:val="6B945E48"/>
    <w:rsid w:val="6C98219A"/>
    <w:rsid w:val="7541520F"/>
    <w:rsid w:val="76DC012C"/>
    <w:rsid w:val="77A91D9D"/>
    <w:rsid w:val="7923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Emphasis"/>
    <w:basedOn w:val="17"/>
    <w:qFormat/>
    <w:uiPriority w:val="20"/>
    <w:rPr>
      <w:i/>
    </w:rPr>
  </w:style>
  <w:style w:type="character" w:styleId="19">
    <w:name w:val="Hyperlink"/>
    <w:basedOn w:val="17"/>
    <w:unhideWhenUsed/>
    <w:qFormat/>
    <w:uiPriority w:val="99"/>
    <w:rPr>
      <w:color w:val="0000FF"/>
      <w:u w:val="single"/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Title2"/>
    <w:basedOn w:val="1"/>
    <w:qFormat/>
    <w:uiPriority w:val="0"/>
    <w:rPr>
      <w:b/>
    </w:rPr>
  </w:style>
  <w:style w:type="paragraph" w:customStyle="1" w:styleId="39">
    <w:name w:val="EndNote Bibliography Title"/>
    <w:basedOn w:val="1"/>
    <w:link w:val="40"/>
    <w:qFormat/>
    <w:uiPriority w:val="0"/>
    <w:pPr>
      <w:jc w:val="center"/>
    </w:pPr>
    <w:rPr>
      <w:rFonts w:ascii="等线" w:hAnsi="等线" w:eastAsia="等线"/>
      <w:sz w:val="20"/>
    </w:rPr>
  </w:style>
  <w:style w:type="character" w:customStyle="1" w:styleId="40">
    <w:name w:val="EndNote Bibliography Title 字符"/>
    <w:basedOn w:val="17"/>
    <w:link w:val="39"/>
    <w:qFormat/>
    <w:uiPriority w:val="0"/>
    <w:rPr>
      <w:rFonts w:ascii="等线" w:hAnsi="等线" w:eastAsia="等线" w:cstheme="minorBidi"/>
      <w:kern w:val="2"/>
      <w:szCs w:val="22"/>
    </w:rPr>
  </w:style>
  <w:style w:type="paragraph" w:customStyle="1" w:styleId="41">
    <w:name w:val="EndNote Bibliography"/>
    <w:basedOn w:val="1"/>
    <w:link w:val="42"/>
    <w:qFormat/>
    <w:uiPriority w:val="0"/>
    <w:pPr>
      <w:jc w:val="left"/>
    </w:pPr>
    <w:rPr>
      <w:rFonts w:ascii="等线" w:hAnsi="等线" w:eastAsia="等线"/>
      <w:sz w:val="20"/>
    </w:rPr>
  </w:style>
  <w:style w:type="character" w:customStyle="1" w:styleId="42">
    <w:name w:val="EndNote Bibliography 字符"/>
    <w:basedOn w:val="17"/>
    <w:link w:val="41"/>
    <w:qFormat/>
    <w:uiPriority w:val="0"/>
    <w:rPr>
      <w:rFonts w:ascii="等线" w:hAnsi="等线" w:eastAsia="等线" w:cstheme="minorBidi"/>
      <w:kern w:val="2"/>
      <w:szCs w:val="22"/>
    </w:rPr>
  </w:style>
  <w:style w:type="character" w:customStyle="1" w:styleId="43">
    <w:name w:val="未处理的提及1"/>
    <w:basedOn w:val="1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页眉 字符"/>
    <w:basedOn w:val="17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45">
    <w:name w:val="页脚 字符"/>
    <w:basedOn w:val="17"/>
    <w:link w:val="11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tiff"/><Relationship Id="rId8" Type="http://schemas.openxmlformats.org/officeDocument/2006/relationships/image" Target="media/image5.tiff"/><Relationship Id="rId7" Type="http://schemas.openxmlformats.org/officeDocument/2006/relationships/image" Target="media/image4.tiff"/><Relationship Id="rId6" Type="http://schemas.openxmlformats.org/officeDocument/2006/relationships/image" Target="media/image3.tif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tiff"/><Relationship Id="rId12" Type="http://schemas.openxmlformats.org/officeDocument/2006/relationships/image" Target="media/image9.tiff"/><Relationship Id="rId11" Type="http://schemas.openxmlformats.org/officeDocument/2006/relationships/image" Target="media/image8.tiff"/><Relationship Id="rId10" Type="http://schemas.openxmlformats.org/officeDocument/2006/relationships/image" Target="media/image7.tif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447</Words>
  <Characters>2150</Characters>
  <Lines>85</Lines>
  <Paragraphs>23</Paragraphs>
  <TotalTime>6</TotalTime>
  <ScaleCrop>false</ScaleCrop>
  <LinksUpToDate>false</LinksUpToDate>
  <CharactersWithSpaces>2514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2025-12-03T06:59:00Z</dcterms:created>
  <dc:creator>8615535218297</dc:creator>
  <cp:lastModifiedBy>子慕</cp:lastModifiedBy>
  <dcterms:modified xsi:type="dcterms:W3CDTF">2026-04-09T05:57:44Z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eyJoZGlkIjoiNGNkZjdiNTNlMmRiOTAzNGNlMjE0N2Q3MTIxMGY2YjAiLCJ1c2VySWQiOiI3MjAyODU0MjUifQ==</vt:lpwstr>
  </property>
  <property fmtid="{D5CDD505-2E9C-101B-9397-08002B2CF9AE}" pid="3" name="KSOProductBuildVer">
    <vt:lpwstr>2052-12.1.0.19302</vt:lpwstr>
  </property>
  <property fmtid="{D5CDD505-2E9C-101B-9397-08002B2CF9AE}" pid="4" name="ICV">
    <vt:lpwstr>F8E99E2DFBF344B39D826DFACA9802CE_13</vt:lpwstr>
  </property>
</Properties>
</file>