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00"/>
        <w:jc w:val="center"/>
      </w:pPr>
      <w:r>
        <w:t xml:space="preserve">DoNote 前端工作台与弹窗体系 UI/UX 重构规范</w:t>
      </w:r>
    </w:p>
    <w:p>
      <w:pPr>
        <w:spacing w:after="400"/>
        <w:jc w:val="center"/>
        <w:rPr>
          <w:color w:val="718096"/>
          <w:sz w:val="18"/>
          <w:szCs w:val="18"/>
        </w:rPr>
      </w:pPr>
      <w:r>
        <w:t xml:space="preserve">项目基准：DoNote (Web Clipboard v1.6.8) 前端重构方案   |   执行状态：规范敲定与实施基准</w:t>
      </w:r>
    </w:p>
    <w:p>
      <w:pPr>
        <w:pStyle w:val="Heading1"/>
        <w:spacing w:before="300" w:after="150"/>
      </w:pPr>
      <w:r>
        <w:t xml:space="preserve">一、 审计结论与量化指标总览</w:t>
      </w:r>
    </w:p>
    <w:p>
      <w:pPr>
        <w:spacing w:after="200"/>
      </w:pPr>
      <w:r>
        <w:rPr>
          <w:b/>
          <w:bCs/>
        </w:rPr>
        <w:t xml:space="preserve">当前前端工程存在 4 类核心视觉缺陷与 3 处样式冗余冲突，必须在不变更既有 DOM 结构和交互逻辑的前提下完成定向重构。</w:t>
      </w:r>
      <w:r>
        <w:t xml:space="preserve"> 经全面审视 app.html（1290 行）、style.css（5988 行）与 app.js，全量审计基准数据如下表所示：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</w:tcPr>
          <w:p>
            <w:r>
              <w:rPr>
                <w:b/>
                <w:bCs/>
              </w:rPr>
              <w:t xml:space="preserve">审计维度</w:t>
            </w:r>
          </w:p>
        </w:tc>
        <w:tc>
          <w:tcPr>
            <w:tcW w:type="pct" w:w="26%"/>
          </w:tcPr>
          <w:p>
            <w:r>
              <w:rPr>
                <w:b/>
                <w:bCs/>
              </w:rPr>
              <w:t xml:space="preserve">现行工程基准</w:t>
            </w:r>
          </w:p>
        </w:tc>
        <w:tc>
          <w:tcPr>
            <w:tcW w:type="pct" w:w="26%"/>
          </w:tcPr>
          <w:p>
            <w:r>
              <w:rPr>
                <w:b/>
                <w:bCs/>
              </w:rPr>
              <w:t xml:space="preserve">缺陷现象与风险值</w:t>
            </w:r>
          </w:p>
        </w:tc>
        <w:tc>
          <w:tcPr>
            <w:tcW w:type="pct" w:w="26%"/>
          </w:tcPr>
          <w:p>
            <w:r>
              <w:rPr>
                <w:b/>
                <w:bCs/>
              </w:rPr>
              <w:t xml:space="preserve">优化目标基准</w:t>
            </w:r>
          </w:p>
        </w:tc>
      </w:tr>
      <w:tr>
        <w:tc>
          <w:p>
            <w:r>
              <w:t xml:space="preserve">Quick Look 文本对比度</w:t>
            </w:r>
          </w:p>
        </w:tc>
        <w:tc>
          <w:p>
            <w:r>
              <w:t xml:space="preserve">背景 #FFD60A -&gt; #F5B000 叠加纯白 #ffffff 文字</w:t>
            </w:r>
          </w:p>
        </w:tc>
        <w:tc>
          <w:p>
            <w:r>
              <w:t xml:space="preserve">对比度仅 1.28:1，远低于 WCAG AA 级 4.5:1 基线</w:t>
            </w:r>
          </w:p>
        </w:tc>
        <w:tc>
          <w:p>
            <w:r>
              <w:t xml:space="preserve">前景改用 #3f2a00，对比度提升至 7.14:1（超 AAA 级）</w:t>
            </w:r>
          </w:p>
        </w:tc>
      </w:tr>
      <w:tr>
        <w:tc>
          <w:p>
            <w:r>
              <w:t xml:space="preserve">弹窗遮罩一致性</w:t>
            </w:r>
          </w:p>
        </w:tc>
        <w:tc>
          <w:p>
            <w:r>
              <w:t xml:space="preserve">14 个模态容器中仅 2 个具备 blur 滤镜</w:t>
            </w:r>
          </w:p>
        </w:tc>
        <w:tc>
          <w:p>
            <w:r>
              <w:t xml:space="preserve">普通 .modal 滤镜为 0，高密度卡片背景透出干扰严重</w:t>
            </w:r>
          </w:p>
        </w:tc>
        <w:tc>
          <w:p>
            <w:r>
              <w:t xml:space="preserve">全量统一至 backdrop-filter: saturate(150%) blur(8px)</w:t>
            </w:r>
          </w:p>
        </w:tc>
      </w:tr>
      <w:tr>
        <w:tc>
          <w:p>
            <w:r>
              <w:t xml:space="preserve">弹窗关闭控件</w:t>
            </w:r>
          </w:p>
        </w:tc>
        <w:tc>
          <w:p>
            <w:r>
              <w:t xml:space="preserve">1 个 SVG 图标、4 个纯字符 ×、2 个无关闭键</w:t>
            </w:r>
          </w:p>
        </w:tc>
        <w:tc>
          <w:p>
            <w:r>
              <w:t xml:space="preserve">纯字符 × 仅 16px 无垂直居中；2 个弹窗缺失物理关闭入口</w:t>
            </w:r>
          </w:p>
        </w:tc>
        <w:tc>
          <w:p>
            <w:r>
              <w:t xml:space="preserve">14 个弹窗统一 28×28px 圆角 SVG 关闭胶囊与 44px 热区</w:t>
            </w:r>
          </w:p>
        </w:tc>
      </w:tr>
      <w:tr>
        <w:tc>
          <w:p>
            <w:r>
              <w:t xml:space="preserve">顶栏控件基线</w:t>
            </w:r>
          </w:p>
        </w:tc>
        <w:tc>
          <w:p>
            <w:r>
              <w:t xml:space="preserve">滑块 28px、状态胶囊 30px、图标按钮 34px</w:t>
            </w:r>
          </w:p>
        </w:tc>
        <w:tc>
          <w:p>
            <w:r>
              <w:t xml:space="preserve">右侧工具栏垂直基线高低错落差达 6px</w:t>
            </w:r>
          </w:p>
        </w:tc>
        <w:tc>
          <w:p>
            <w:r>
              <w:t xml:space="preserve">右侧功能控件高度统一锁定为 32px，垂直绝对居中</w:t>
            </w:r>
          </w:p>
        </w:tc>
      </w:tr>
      <w:tr>
        <w:tc>
          <w:p>
            <w:r>
              <w:t xml:space="preserve">移动端样式规则</w:t>
            </w:r>
          </w:p>
        </w:tc>
        <w:tc>
          <w:p>
            <w:r>
              <w:t xml:space="preserve">4742 行声明 flex 显示，4837 行声明 none 覆盖</w:t>
            </w:r>
          </w:p>
        </w:tc>
        <w:tc>
          <w:p>
            <w:r>
              <w:t xml:space="preserve">存在 2 组媒体查询逻辑打架与 1 处重复标签声明</w:t>
            </w:r>
          </w:p>
        </w:tc>
        <w:tc>
          <w:p>
            <w:r>
              <w:t xml:space="preserve">移除 4837 行冗余覆盖，统合为单一 coarse 媒体查询</w:t>
            </w:r>
          </w:p>
        </w:tc>
      </w:tr>
      <w:tr>
        <w:tc>
          <w:p>
            <w:r>
              <w:t xml:space="preserve">CSS 冗余代码</w:t>
            </w:r>
          </w:p>
        </w:tc>
        <w:tc>
          <w:p>
            <w:r>
              <w:t xml:space="preserve">5169-5210 行与 5520-5690 行重复定义关于面板</w:t>
            </w:r>
          </w:p>
        </w:tc>
        <w:tc>
          <w:p>
            <w:r>
              <w:t xml:space="preserve">存在 170 行完全同构的样式表重复粘贴</w:t>
            </w:r>
          </w:p>
        </w:tc>
        <w:tc>
          <w:p>
            <w:r>
              <w:t xml:space="preserve">抽取统一样式单类，净删减样式表代码约 150 行</w:t>
            </w:r>
          </w:p>
        </w:tc>
      </w:tr>
    </w:tbl>
    <w:p>
      <w:pPr>
        <w:pStyle w:val="Heading1"/>
        <w:spacing w:before="300" w:after="150"/>
      </w:pPr>
      <w:r>
        <w:t xml:space="preserve">二、 工作台（Workspace）视觉与交互重构方案</w:t>
      </w:r>
    </w:p>
    <w:p>
      <w:pPr>
        <w:spacing w:after="150"/>
      </w:pPr>
      <w:r>
        <w:rPr>
          <w:b/>
          <w:bCs/>
        </w:rPr>
        <w:t xml:space="preserve">1. 顶栏控件基线与设置菜单规范：</w:t>
      </w:r>
      <w:r>
        <w:t xml:space="preserve">右侧工具栏控件高度参差不齐直接破坏视觉水平轴心。必须将顶栏右侧缩放控制区（.topbar-zoom-control）、连接状态指示器（.connection-pill）以及各类功能图标按钮的高度统一固定为 32px，外框统一采用 1px 细毛玻璃描边（rgba(255, 255, 255, 0.16)），消除 6px 的视觉高度错落。设置浮层中默认增加 20% 透明度的微光相机指示遮罩，悬停与聚焦时平滑过渡至 90%，增强可编辑暗示。</w:t>
      </w:r>
    </w:p>
    <w:p>
      <w:pPr>
        <w:spacing w:after="150"/>
      </w:pPr>
      <w:r>
        <w:rPr>
          <w:b/>
          <w:bCs/>
        </w:rPr>
        <w:t xml:space="preserve">2. 卡片色带与 Quick Look 对比度缺陷修复：</w:t>
      </w:r>
      <w:r>
        <w:t xml:space="preserve">黄色纯文本卡片在 Quick Look 预览弹窗（#text-viewer）中存在严重的对比度断崖。虽然卡片外壳配置了深棕色 #3f2a00，但 #text-viewer .paste-modal-header 顶栏强制使用纯白 #ffffff，在亮黄渐变底色下实测对比度仅 1.28:1。重构要求标题、统计元数据与复制按钮一律覆写为 #3f2a00，对比度恢复至 7.14:1。卡片悬浮操作栏注入 left: 10px; top: 8px; 安全内边距，底部元信息栏混色浓度自 18% 降至 9%，预留 26px 避让内边距。</w:t>
      </w:r>
    </w:p>
    <w:p>
      <w:pPr>
        <w:spacing w:after="150"/>
      </w:pPr>
      <w:r>
        <w:rPr>
          <w:b/>
          <w:bCs/>
        </w:rPr>
        <w:t xml:space="preserve">3. 悬浮 Dock 与输入抽屉组件升级：</w:t>
      </w:r>
      <w:r>
        <w:t xml:space="preserve">展开输入面板（#composer-area）中的原生多选框破坏整体毛玻璃语言。「敏感」文本开关（.checkbox-label）由原生 13×13px 方框重构为 32×18px 紧凑胶囊滑动开关，激活状态采用主题琥珀金光晕（rgba(245, 176, 0, 0.2)），输入抽屉展开时阴影等级由 --shadow-sm 提权至 --shadow-modal。</w:t>
      </w:r>
    </w:p>
    <w:p>
      <w:pPr>
        <w:spacing w:after="200"/>
      </w:pPr>
      <w:r>
        <w:rPr>
          <w:b/>
          <w:bCs/>
        </w:rPr>
        <w:t xml:space="preserve">4. 移动端媒体查询清洗：</w:t>
      </w:r>
      <w:r>
        <w:t xml:space="preserve">合并相互冲突的移动端触屏规则。彻底清理 4742 行声明右下角绝对定位后又在 4837 行强制 display: none 的冲突逻辑，统合为单击复制、双击打开预览的轻量交互；合并 4633 行与 4652 行两处重复声明的 .paste-card-labels 属性，消除重复渲染。</w:t>
      </w:r>
    </w:p>
    <w:p>
      <w:pPr>
        <w:pStyle w:val="Heading1"/>
        <w:spacing w:before="300" w:after="150"/>
      </w:pPr>
      <w:r>
        <w:t xml:space="preserve">三、 弹窗体系（14 模态容器）规范化改造</w:t>
      </w:r>
    </w:p>
    <w:p>
      <w:pPr>
        <w:spacing w:after="150"/>
      </w:pPr>
      <w:r>
        <w:rPr>
          <w:b/>
          <w:bCs/>
        </w:rPr>
        <w:t xml:space="preserve">1. 统一 14 模态容器背景遮罩景深：</w:t>
      </w:r>
      <w:r>
        <w:t xml:space="preserve">系统控制台（安全设置、账户管理、关于）统一采用 rgba(15, 23, 42, 0.45) 配合 blur(8px)；轻量交互（确认、备注、分组等）采用 rgba(15, 23, 42, 0.38) 配合 blur(8px)；沉浸式预览维持 blur(14px)。</w:t>
      </w:r>
    </w:p>
    <w:p>
      <w:pPr>
        <w:spacing w:after="150"/>
      </w:pPr>
      <w:r>
        <w:rPr>
          <w:b/>
          <w:bCs/>
        </w:rPr>
        <w:t xml:space="preserve">2. 标题栏与关闭控件 SVG 标准化：</w:t>
      </w:r>
      <w:r>
        <w:t xml:space="preserve">废弃 #admin-modal、#about-modal 等 4 处纯字符 ×，提取标准 SVG 控件类 .modal-close-btn，统一尺寸 28×28px、悬停背景 rgba(0,0,0,0.06)、圆角 8px；为缺失关闭按钮的 #title-modal 和 #remark-modal 补齐同款组件。</w:t>
      </w:r>
    </w:p>
    <w:p>
      <w:pPr>
        <w:spacing w:after="150"/>
      </w:pPr>
      <w:r>
        <w:rPr>
          <w:b/>
          <w:bCs/>
        </w:rPr>
        <w:t xml:space="preserve">3. 设置面板与会话列表卡片化：</w:t>
      </w:r>
      <w:r>
        <w:t xml:space="preserve">重构 720px 宽的会话列表、审计日志与用户列表，由行内裸文本改造为独立圆角浅底容器（min-height: 48px），两端对齐，左侧显示系统图标与归属地，右侧配置操作按钮组，统一表单输入框高度为 38px。</w:t>
      </w:r>
    </w:p>
    <w:p>
      <w:pPr>
        <w:spacing w:after="200"/>
      </w:pPr>
      <w:r>
        <w:rPr>
          <w:b/>
          <w:bCs/>
        </w:rPr>
        <w:t xml:space="preserve">4. 高频轻量弹窗内联样式剥离：</w:t>
      </w:r>
      <w:r>
        <w:t xml:space="preserve">剥离 #title-modal 中管理分组按钮的行内 flex 样式至 .title-modal-actions 类；为 #remark-modal 原文预览区增加 3px 琥珀色装饰条与 96px 最大高度限制。</w:t>
      </w:r>
    </w:p>
    <w:p>
      <w:pPr>
        <w:pStyle w:val="Heading1"/>
        <w:spacing w:before="300" w:after="150"/>
      </w:pPr>
      <w:r>
        <w:t xml:space="preserve">四、 实施优先级矩阵与交付指标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实施批次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任务清单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风险控制基准</w:t>
            </w:r>
          </w:p>
        </w:tc>
      </w:tr>
      <w:tr>
        <w:tc>
          <w:p>
            <w:r>
              <w:t xml:space="preserve">第一批次（P0 核心可用性）</w:t>
            </w:r>
          </w:p>
        </w:tc>
        <w:tc>
          <w:p>
            <w:r>
              <w:t xml:space="preserve">紧急</w:t>
            </w:r>
          </w:p>
        </w:tc>
        <w:tc>
          <w:p>
            <w:r>
              <w:t xml:space="preserve">修复 #text-viewer 黄色卡片白字对比度；统一 14 弹窗遮罩 blur；替换 4 处纯字符 × 为 SVG</w:t>
            </w:r>
          </w:p>
        </w:tc>
        <w:tc>
          <w:p>
            <w:r>
              <w:t xml:space="preserve">零脚本逻辑改动，纯样式覆写与结构补齐</w:t>
            </w:r>
          </w:p>
        </w:tc>
      </w:tr>
      <w:tr>
        <w:tc>
          <w:p>
            <w:r>
              <w:t xml:space="preserve">第二批次（P1 视觉一致性）</w:t>
            </w:r>
          </w:p>
        </w:tc>
        <w:tc>
          <w:p>
            <w:r>
              <w:t xml:space="preserve">优先</w:t>
            </w:r>
          </w:p>
        </w:tc>
        <w:tc>
          <w:p>
            <w:r>
              <w:t xml:space="preserve">统一顶栏高度至 32px；敏感勾选框改胶囊 Switch；美化设置与管理列表卡片</w:t>
            </w:r>
          </w:p>
        </w:tc>
        <w:tc>
          <w:p>
            <w:r>
              <w:t xml:space="preserve">核对多语言与 375px 小屏文本换行</w:t>
            </w:r>
          </w:p>
        </w:tc>
      </w:tr>
      <w:tr>
        <w:tc>
          <w:p>
            <w:r>
              <w:t xml:space="preserve">第三批次（P2 冗余清理）</w:t>
            </w:r>
          </w:p>
        </w:tc>
        <w:tc>
          <w:p>
            <w:r>
              <w:t xml:space="preserve">常规</w:t>
            </w:r>
          </w:p>
        </w:tc>
        <w:tc>
          <w:p>
            <w:r>
              <w:t xml:space="preserve">清理移动端 actions 冲突规则；合并 about 弹窗 170 行重复 CSS；剥离行内样式</w:t>
            </w:r>
          </w:p>
        </w:tc>
        <w:tc>
          <w:p>
            <w:r>
              <w:t xml:space="preserve">运行接口与样式回归测试确保无断点遗漏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2026-10-23T05:17:55.289Z</dcterms:created>
  <dcterms:modified xsi:type="dcterms:W3CDTF">2026-10-23T05:17:55.293Z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