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480" w:after="360"/>
        <w:jc w:val="center"/>
      </w:pPr>
      <w:r>
        <w:rPr>
          <w:rFonts w:ascii="黑体" w:hAnsi="黑体" w:eastAsia="黑体"/>
          <w:b/>
          <w:sz w:val="36"/>
        </w:rPr>
        <w:t>摘要</w:t>
      </w:r>
    </w:p>
    <w:p>
      <w:pPr>
        <w:spacing w:line="400" w:lineRule="exact" w:before="0" w:after="0"/>
        <w:ind w:firstLine="420"/>
        <w:jc w:val="both"/>
      </w:pPr>
      <w:r>
        <w:rPr>
          <w:rFonts w:ascii="宋体" w:hAnsi="宋体" w:eastAsia="宋体"/>
          <w:b w:val="0"/>
          <w:sz w:val="24"/>
        </w:rPr>
        <w:t>本文针对三轮叉车式移动机器人，研究了里程计模型及其误差传导模型的构建方法。首先，基于阿克曼转向几何和自行车运动学模型，推导了叉车的里程计模型，采用中点积分形式实现离散化更新，提高了数值积分精度。其次，通过对里程计模型进行一阶线性化，推导了误差传导的雅可比矩阵，建立了基于协方差传播的误差模型，用于描述定位不确定度随时间的增长规律。最后，通过Monte Carlo仿真实验验证了误差传导模型的正确性，对比分析了理论协方差与样本统计量的一致性。仿真结果表明，理论预测的标准差与Monte Carlo实验结果高度吻合，相对偏差在2%以内，验证了所构建误差传导模型的准确性。该模型可为移动机器人的定位精度评估和传感器融合提供理论基础。</w:t>
      </w:r>
    </w:p>
    <w:p>
      <w:pPr>
        <w:spacing w:line="400" w:lineRule="exact" w:before="0" w:after="0"/>
        <w:ind w:firstLine="420"/>
        <w:jc w:val="both"/>
      </w:pPr>
      <w:r>
        <w:rPr>
          <w:rFonts w:ascii="宋体" w:hAnsi="宋体" w:eastAsia="宋体"/>
          <w:b w:val="0"/>
          <w:sz w:val="24"/>
        </w:rPr>
        <w:t>关键词</w:t>
      </w:r>
      <w:r>
        <w:rPr>
          <w:rFonts w:ascii="宋体" w:hAnsi="宋体" w:eastAsia="宋体"/>
          <w:b w:val="0"/>
          <w:sz w:val="24"/>
        </w:rPr>
        <w:t>：叉车机器人；里程计模型；误差传导；协方差传播；Monte Carlo仿真</w:t>
      </w:r>
    </w:p>
    <w:p>
      <w:pPr>
        <w:spacing w:line="400" w:lineRule="exact" w:before="480" w:after="360"/>
        <w:jc w:val="center"/>
      </w:pPr>
      <w:r>
        <w:rPr>
          <w:rFonts w:ascii="Arial" w:hAnsi="Arial" w:eastAsia="Arial"/>
          <w:b/>
          <w:sz w:val="36"/>
        </w:rPr>
        <w:t>Abstract</w:t>
      </w:r>
    </w:p>
    <w:p>
      <w:pPr>
        <w:spacing w:line="400" w:lineRule="exact" w:before="0" w:after="0"/>
        <w:ind w:firstLine="420"/>
        <w:jc w:val="both"/>
      </w:pPr>
      <w:r>
        <w:rPr>
          <w:rFonts w:ascii="Times New Roman" w:hAnsi="Times New Roman" w:eastAsia="Times New Roman"/>
          <w:b w:val="0"/>
          <w:sz w:val="24"/>
        </w:rPr>
        <w:t>This paper investigates the odometry model and its error propagation model for a tricycle-type forklift mobile robot. First, based on the Ackermann steering geometry and bicycle kinematic model, the odometry model of the forklift is derived, using the midpoint integration form for discrete update to improve numerical integration accuracy. Second, by performing first-order linearization of the odometry model, the Jacobian matrices for error propagation are derived, and a covariance-based error model is established to describe the growth of positioning uncertainty over time. Finally, Monte Carlo simulation experiments are conducted to verify the correctness of the error propagation model, comparing the consistency between theoretical covariance and sample statistics. Simulation results show that the theoretically predicted standard deviations highly agree with the Monte Carlo experimental results, with relative deviations within 2%, validating the accuracy of the constructed error propagation model. This model can provide a theoretical foundation for positioning accuracy evaluation and sensor fusion of mobile robots.</w:t>
      </w:r>
    </w:p>
    <w:p>
      <w:pPr>
        <w:spacing w:line="400" w:lineRule="exact" w:before="0" w:after="0"/>
        <w:ind w:firstLine="420"/>
        <w:jc w:val="both"/>
      </w:pPr>
      <w:r>
        <w:rPr>
          <w:rFonts w:ascii="Times New Roman" w:hAnsi="Times New Roman" w:eastAsia="Times New Roman"/>
          <w:b w:val="0"/>
          <w:sz w:val="24"/>
        </w:rPr>
        <w:t>Key Words</w:t>
      </w:r>
      <w:r>
        <w:rPr>
          <w:rFonts w:ascii="Times New Roman" w:hAnsi="Times New Roman" w:eastAsia="Times New Roman"/>
          <w:b w:val="0"/>
          <w:sz w:val="24"/>
        </w:rPr>
        <w:t>: Forklift Robot; Odometry Model; Error Propagation; Covariance Propagation; Monte Carlo Simulation</w:t>
      </w:r>
    </w:p>
    <w:p>
      <w:pPr>
        <w:spacing w:line="400" w:lineRule="exact" w:before="480" w:after="360"/>
        <w:jc w:val="center"/>
      </w:pPr>
      <w:r>
        <w:rPr>
          <w:rFonts w:ascii="黑体" w:hAnsi="黑体" w:eastAsia="黑体"/>
          <w:b/>
          <w:sz w:val="32"/>
        </w:rPr>
        <w:t>第一章　绪论</w:t>
      </w:r>
    </w:p>
    <w:p>
      <w:pPr>
        <w:spacing w:line="400" w:lineRule="exact" w:before="480" w:after="120"/>
        <w:jc w:val="center"/>
      </w:pPr>
      <w:r>
        <w:rPr>
          <w:rFonts w:ascii="黑体" w:hAnsi="黑体" w:eastAsia="黑体"/>
          <w:b/>
          <w:sz w:val="28"/>
        </w:rPr>
        <w:t>第一节　研究背景</w:t>
      </w:r>
    </w:p>
    <w:p>
      <w:pPr>
        <w:spacing w:line="400" w:lineRule="exact" w:before="0" w:after="0"/>
        <w:ind w:firstLine="420"/>
        <w:jc w:val="both"/>
      </w:pPr>
      <w:r>
        <w:rPr>
          <w:rFonts w:ascii="宋体" w:hAnsi="宋体" w:eastAsia="宋体"/>
          <w:b w:val="0"/>
          <w:sz w:val="24"/>
        </w:rPr>
        <w:t>里程计是移动机器人定位系统的重要组成部分，通过测量车轮的运动来估计机器人的位置和姿态。相比于外部传感器（如GPS、激光雷达、视觉等），里程计具有成本低、更新频率高、不受环境干扰等优点，是移动机器人导航系统的基础。然而，里程计存在累积误差问题，随着运动距离的增加，定位误差会不断增大，因此需要建立准确的误差传导模型来评估定位不确定度。</w:t>
      </w:r>
    </w:p>
    <w:p>
      <w:pPr>
        <w:spacing w:line="400" w:lineRule="exact" w:before="0" w:after="0"/>
        <w:ind w:firstLine="420"/>
        <w:jc w:val="both"/>
      </w:pPr>
      <w:r>
        <w:rPr>
          <w:rFonts w:ascii="宋体" w:hAnsi="宋体" w:eastAsia="宋体"/>
          <w:b w:val="0"/>
          <w:sz w:val="24"/>
        </w:rPr>
        <w:t>对于三轮叉车式移动机器人，其运动学模型可以简化为自行车模型，即后轮驱动、前轮转向。这种结构在工业叉车、仓储物流机器人中广泛应用。准确建立叉车的里程计模型和误差传导模型，对于实现高精度定位、路径规划和多传感器融合具有重要意义。</w:t>
      </w:r>
    </w:p>
    <w:p>
      <w:pPr>
        <w:spacing w:line="400" w:lineRule="exact" w:before="480" w:after="120"/>
        <w:jc w:val="center"/>
      </w:pPr>
      <w:r>
        <w:rPr>
          <w:rFonts w:ascii="黑体" w:hAnsi="黑体" w:eastAsia="黑体"/>
          <w:b/>
          <w:sz w:val="28"/>
        </w:rPr>
        <w:t>第二节　研究内容</w:t>
      </w:r>
    </w:p>
    <w:p>
      <w:pPr>
        <w:spacing w:line="400" w:lineRule="exact" w:before="0" w:after="0"/>
        <w:ind w:firstLine="420"/>
        <w:jc w:val="both"/>
      </w:pPr>
      <w:r>
        <w:rPr>
          <w:rFonts w:ascii="宋体" w:hAnsi="宋体" w:eastAsia="宋体"/>
          <w:b w:val="0"/>
          <w:sz w:val="24"/>
        </w:rPr>
        <w:t>本文以三轮叉车式移动机器人为研究对象，围绕里程计模型和误差传导模型展开研究，主要内容包括：（1）基于阿克曼转向几何推导叉车的里程计模型，采用中点积分形式实现离散化；（2）通过对里程计模型进行一阶线性化，推导误差传导的雅可比矩阵，建立协方差传播模型；（3）通过Monte Carlo仿真实验验证误差传导模型的正确性，分析理论预测与实验结果的一致性。</w:t>
      </w:r>
    </w:p>
    <w:p>
      <w:pPr>
        <w:spacing w:line="400" w:lineRule="exact" w:before="480" w:after="360"/>
        <w:jc w:val="center"/>
      </w:pPr>
      <w:r>
        <w:rPr>
          <w:rFonts w:ascii="黑体" w:hAnsi="黑体" w:eastAsia="黑体"/>
          <w:b/>
          <w:sz w:val="32"/>
        </w:rPr>
        <w:t>第二章　叉车里程计模型</w:t>
      </w:r>
    </w:p>
    <w:p>
      <w:pPr>
        <w:spacing w:line="400" w:lineRule="exact" w:before="480" w:after="120"/>
        <w:jc w:val="center"/>
      </w:pPr>
      <w:r>
        <w:rPr>
          <w:rFonts w:ascii="黑体" w:hAnsi="黑体" w:eastAsia="黑体"/>
          <w:b/>
          <w:sz w:val="28"/>
        </w:rPr>
        <w:t>第一节　叉车运动学模型</w:t>
      </w:r>
    </w:p>
    <w:p>
      <w:pPr>
        <w:spacing w:line="400" w:lineRule="exact" w:before="0" w:after="0"/>
        <w:ind w:firstLine="420"/>
        <w:jc w:val="both"/>
      </w:pPr>
      <w:r>
        <w:rPr>
          <w:rFonts w:ascii="宋体" w:hAnsi="宋体" w:eastAsia="宋体"/>
          <w:b w:val="0"/>
          <w:sz w:val="24"/>
        </w:rPr>
        <w:t>三轮叉车式移动机器人可以简化为自行车运动学模型。设机器人的状态向量为 z = [x, y, θ]ᵀ，其中 (x, y) 为后轴中心在惯性坐标系下的位置，θ 为航向角（机器人前进方向与x轴的夹角）。控制输入为线速度 v 和前轮转角 δ。</w:t>
      </w:r>
    </w:p>
    <w:p>
      <w:pPr>
        <w:spacing w:line="400" w:lineRule="exact" w:before="0" w:after="0"/>
        <w:ind w:firstLine="420"/>
        <w:jc w:val="both"/>
      </w:pPr>
      <w:r>
        <w:rPr>
          <w:rFonts w:ascii="宋体" w:hAnsi="宋体" w:eastAsia="宋体"/>
          <w:b w:val="0"/>
          <w:sz w:val="24"/>
        </w:rPr>
        <w:t>根据阿克曼转向几何，当转向角为 δ 时，机器人绕瞬时旋转中心（ICR）做圆弧运动。设轴距为 L，则转弯半径 R = L/tan(δ)，曲率 κ = tan(δ)/L。机器人的连续时间运动学方程为：</w:t>
      </w:r>
    </w:p>
    <w:p>
      <w:pPr>
        <w:spacing w:line="400" w:lineRule="exact" w:before="120" w:after="120"/>
        <w:jc w:val="center"/>
      </w:pPr>
      <w:r>
        <w:rPr>
          <w:rFonts w:ascii="Times New Roman" w:hAnsi="Times New Roman" w:eastAsia="Times New Roman"/>
          <w:b w:val="0"/>
          <w:sz w:val="24"/>
        </w:rPr>
        <w:t>ẋ = v·cos(θ)</w:t>
      </w:r>
      <w:r>
        <w:rPr>
          <w:rFonts w:ascii="Times New Roman" w:hAnsi="Times New Roman" w:eastAsia="Times New Roman"/>
          <w:b w:val="0"/>
          <w:sz w:val="24"/>
        </w:rPr>
        <w:t xml:space="preserve">    (2.1)</w:t>
      </w:r>
    </w:p>
    <w:p>
      <w:pPr>
        <w:spacing w:line="400" w:lineRule="exact" w:before="120" w:after="120"/>
        <w:jc w:val="center"/>
      </w:pPr>
      <w:r>
        <w:rPr>
          <w:rFonts w:ascii="Times New Roman" w:hAnsi="Times New Roman" w:eastAsia="Times New Roman"/>
          <w:b w:val="0"/>
          <w:sz w:val="24"/>
        </w:rPr>
        <w:t>ẏ = v·sin(θ)</w:t>
      </w:r>
      <w:r>
        <w:rPr>
          <w:rFonts w:ascii="Times New Roman" w:hAnsi="Times New Roman" w:eastAsia="Times New Roman"/>
          <w:b w:val="0"/>
          <w:sz w:val="24"/>
        </w:rPr>
        <w:t xml:space="preserve">    (2.2)</w:t>
      </w:r>
    </w:p>
    <w:p>
      <w:pPr>
        <w:spacing w:line="400" w:lineRule="exact" w:before="120" w:after="120"/>
        <w:jc w:val="center"/>
      </w:pPr>
      <w:r>
        <w:rPr>
          <w:rFonts w:ascii="Times New Roman" w:hAnsi="Times New Roman" w:eastAsia="Times New Roman"/>
          <w:b w:val="0"/>
          <w:sz w:val="24"/>
        </w:rPr>
        <w:t>θ̇ = v·κ = (v/L)·tan(δ) = ω</w:t>
      </w:r>
      <w:r>
        <w:rPr>
          <w:rFonts w:ascii="Times New Roman" w:hAnsi="Times New Roman" w:eastAsia="Times New Roman"/>
          <w:b w:val="0"/>
          <w:sz w:val="24"/>
        </w:rPr>
        <w:t xml:space="preserve">    (2.3)</w:t>
      </w:r>
    </w:p>
    <w:p>
      <w:pPr>
        <w:spacing w:line="400" w:lineRule="exact" w:before="0" w:after="0"/>
        <w:ind w:firstLine="420"/>
        <w:jc w:val="both"/>
      </w:pPr>
      <w:r>
        <w:rPr>
          <w:rFonts w:ascii="宋体" w:hAnsi="宋体" w:eastAsia="宋体"/>
          <w:b w:val="0"/>
          <w:sz w:val="24"/>
        </w:rPr>
        <w:t>其中 ω = v·tan(δ)/L 为机器人的角速度。该模型描述了非完整约束系统，即机器人不能沿侧向运动，满足约束 ẋ·sin(θ) - ẏ·cos(θ) = 0。</w:t>
      </w:r>
    </w:p>
    <w:p>
      <w:pPr>
        <w:spacing w:line="400" w:lineRule="exact" w:before="480" w:after="120"/>
        <w:jc w:val="center"/>
      </w:pPr>
      <w:r>
        <w:rPr>
          <w:rFonts w:ascii="黑体" w:hAnsi="黑体" w:eastAsia="黑体"/>
          <w:b/>
          <w:sz w:val="28"/>
        </w:rPr>
        <w:t>第二节　里程计离散化模型</w:t>
      </w:r>
    </w:p>
    <w:p>
      <w:pPr>
        <w:spacing w:line="400" w:lineRule="exact" w:before="0" w:after="0"/>
        <w:ind w:firstLine="420"/>
        <w:jc w:val="both"/>
      </w:pPr>
      <w:r>
        <w:rPr>
          <w:rFonts w:ascii="宋体" w:hAnsi="宋体" w:eastAsia="宋体"/>
          <w:b w:val="0"/>
          <w:sz w:val="24"/>
        </w:rPr>
        <w:t>在实际应用中，里程计需要以离散形式进行更新。设采样周期为 Δt，定义弧长增量 ds = v·Δt。最简单的离散化方法是欧拉积分：</w:t>
      </w:r>
    </w:p>
    <w:p>
      <w:pPr>
        <w:spacing w:line="400" w:lineRule="exact" w:before="120" w:after="120"/>
        <w:jc w:val="center"/>
      </w:pPr>
      <w:r>
        <w:rPr>
          <w:rFonts w:ascii="Times New Roman" w:hAnsi="Times New Roman" w:eastAsia="Times New Roman"/>
          <w:b w:val="0"/>
          <w:sz w:val="24"/>
        </w:rPr>
        <w:t>x(k+1) = x(k) + ds·cos(θ(k))</w:t>
      </w:r>
      <w:r>
        <w:rPr>
          <w:rFonts w:ascii="Times New Roman" w:hAnsi="Times New Roman" w:eastAsia="Times New Roman"/>
          <w:b w:val="0"/>
          <w:sz w:val="24"/>
        </w:rPr>
        <w:t xml:space="preserve">    (2.4)</w:t>
      </w:r>
    </w:p>
    <w:p>
      <w:pPr>
        <w:spacing w:line="400" w:lineRule="exact" w:before="120" w:after="120"/>
        <w:jc w:val="center"/>
      </w:pPr>
      <w:r>
        <w:rPr>
          <w:rFonts w:ascii="Times New Roman" w:hAnsi="Times New Roman" w:eastAsia="Times New Roman"/>
          <w:b w:val="0"/>
          <w:sz w:val="24"/>
        </w:rPr>
        <w:t>y(k+1) = y(k) + ds·sin(θ(k))</w:t>
      </w:r>
      <w:r>
        <w:rPr>
          <w:rFonts w:ascii="Times New Roman" w:hAnsi="Times New Roman" w:eastAsia="Times New Roman"/>
          <w:b w:val="0"/>
          <w:sz w:val="24"/>
        </w:rPr>
        <w:t xml:space="preserve">    (2.5)</w:t>
      </w:r>
    </w:p>
    <w:p>
      <w:pPr>
        <w:spacing w:line="400" w:lineRule="exact" w:before="120" w:after="120"/>
        <w:jc w:val="center"/>
      </w:pPr>
      <w:r>
        <w:rPr>
          <w:rFonts w:ascii="Times New Roman" w:hAnsi="Times New Roman" w:eastAsia="Times New Roman"/>
          <w:b w:val="0"/>
          <w:sz w:val="24"/>
        </w:rPr>
        <w:t>θ(k+1) = θ(k) + ds·κ</w:t>
      </w:r>
      <w:r>
        <w:rPr>
          <w:rFonts w:ascii="Times New Roman" w:hAnsi="Times New Roman" w:eastAsia="Times New Roman"/>
          <w:b w:val="0"/>
          <w:sz w:val="24"/>
        </w:rPr>
        <w:t xml:space="preserve">    (2.6)</w:t>
      </w:r>
    </w:p>
    <w:p>
      <w:pPr>
        <w:spacing w:line="400" w:lineRule="exact" w:before="0" w:after="0"/>
        <w:ind w:firstLine="420"/>
        <w:jc w:val="both"/>
      </w:pPr>
      <w:r>
        <w:rPr>
          <w:rFonts w:ascii="宋体" w:hAnsi="宋体" w:eastAsia="宋体"/>
          <w:b w:val="0"/>
          <w:sz w:val="24"/>
        </w:rPr>
        <w:t>然而，欧拉积分在航向角变化较大时会产生较大误差。为了提高精度，本文采用中点积分方法。其核心思想是：在计算位置增量时，使用航向角的中间值 θ_mid = θ(k) + Δθ/2 来计算位移方向。</w:t>
      </w:r>
    </w:p>
    <w:p>
      <w:pPr>
        <w:spacing w:line="400" w:lineRule="exact" w:before="0" w:after="0"/>
        <w:ind w:firstLine="420"/>
        <w:jc w:val="both"/>
      </w:pPr>
      <w:r>
        <w:rPr>
          <w:rFonts w:ascii="宋体" w:hAnsi="宋体" w:eastAsia="宋体"/>
          <w:b w:val="0"/>
          <w:sz w:val="24"/>
        </w:rPr>
        <w:t>中点积分形式的里程计更新公式如下：</w:t>
      </w:r>
    </w:p>
    <w:p>
      <w:pPr>
        <w:spacing w:line="400" w:lineRule="exact" w:before="120" w:after="120"/>
        <w:jc w:val="center"/>
      </w:pPr>
      <w:r>
        <w:rPr>
          <w:rFonts w:ascii="Times New Roman" w:hAnsi="Times New Roman" w:eastAsia="Times New Roman"/>
          <w:b w:val="0"/>
          <w:sz w:val="24"/>
        </w:rPr>
        <w:t>κ = tan(δ)/L</w:t>
      </w:r>
      <w:r>
        <w:rPr>
          <w:rFonts w:ascii="Times New Roman" w:hAnsi="Times New Roman" w:eastAsia="Times New Roman"/>
          <w:b w:val="0"/>
          <w:sz w:val="24"/>
        </w:rPr>
        <w:t xml:space="preserve">    (2.7)</w:t>
      </w:r>
    </w:p>
    <w:p>
      <w:pPr>
        <w:spacing w:line="400" w:lineRule="exact" w:before="120" w:after="120"/>
        <w:jc w:val="center"/>
      </w:pPr>
      <w:r>
        <w:rPr>
          <w:rFonts w:ascii="Times New Roman" w:hAnsi="Times New Roman" w:eastAsia="Times New Roman"/>
          <w:b w:val="0"/>
          <w:sz w:val="24"/>
        </w:rPr>
        <w:t>Δθ = ds·κ</w:t>
      </w:r>
      <w:r>
        <w:rPr>
          <w:rFonts w:ascii="Times New Roman" w:hAnsi="Times New Roman" w:eastAsia="Times New Roman"/>
          <w:b w:val="0"/>
          <w:sz w:val="24"/>
        </w:rPr>
        <w:t xml:space="preserve">    (2.8)</w:t>
      </w:r>
    </w:p>
    <w:p>
      <w:pPr>
        <w:spacing w:line="400" w:lineRule="exact" w:before="120" w:after="120"/>
        <w:jc w:val="center"/>
      </w:pPr>
      <w:r>
        <w:rPr>
          <w:rFonts w:ascii="Times New Roman" w:hAnsi="Times New Roman" w:eastAsia="Times New Roman"/>
          <w:b w:val="0"/>
          <w:sz w:val="24"/>
        </w:rPr>
        <w:t>θ_mid = θ(k) + Δθ/2</w:t>
      </w:r>
      <w:r>
        <w:rPr>
          <w:rFonts w:ascii="Times New Roman" w:hAnsi="Times New Roman" w:eastAsia="Times New Roman"/>
          <w:b w:val="0"/>
          <w:sz w:val="24"/>
        </w:rPr>
        <w:t xml:space="preserve">    (2.9)</w:t>
      </w:r>
    </w:p>
    <w:p>
      <w:pPr>
        <w:spacing w:line="400" w:lineRule="exact" w:before="120" w:after="120"/>
        <w:jc w:val="center"/>
      </w:pPr>
      <w:r>
        <w:rPr>
          <w:rFonts w:ascii="Times New Roman" w:hAnsi="Times New Roman" w:eastAsia="Times New Roman"/>
          <w:b w:val="0"/>
          <w:sz w:val="24"/>
        </w:rPr>
        <w:t>x(k+1) = x(k) + ds·cos(θ_mid)</w:t>
      </w:r>
      <w:r>
        <w:rPr>
          <w:rFonts w:ascii="Times New Roman" w:hAnsi="Times New Roman" w:eastAsia="Times New Roman"/>
          <w:b w:val="0"/>
          <w:sz w:val="24"/>
        </w:rPr>
        <w:t xml:space="preserve">    (2.10)</w:t>
      </w:r>
    </w:p>
    <w:p>
      <w:pPr>
        <w:spacing w:line="400" w:lineRule="exact" w:before="120" w:after="120"/>
        <w:jc w:val="center"/>
      </w:pPr>
      <w:r>
        <w:rPr>
          <w:rFonts w:ascii="Times New Roman" w:hAnsi="Times New Roman" w:eastAsia="Times New Roman"/>
          <w:b w:val="0"/>
          <w:sz w:val="24"/>
        </w:rPr>
        <w:t>y(k+1) = y(k) + ds·sin(θ_mid)</w:t>
      </w:r>
      <w:r>
        <w:rPr>
          <w:rFonts w:ascii="Times New Roman" w:hAnsi="Times New Roman" w:eastAsia="Times New Roman"/>
          <w:b w:val="0"/>
          <w:sz w:val="24"/>
        </w:rPr>
        <w:t xml:space="preserve">    (2.11)</w:t>
      </w:r>
    </w:p>
    <w:p>
      <w:pPr>
        <w:spacing w:line="400" w:lineRule="exact" w:before="120" w:after="120"/>
        <w:jc w:val="center"/>
      </w:pPr>
      <w:r>
        <w:rPr>
          <w:rFonts w:ascii="Times New Roman" w:hAnsi="Times New Roman" w:eastAsia="Times New Roman"/>
          <w:b w:val="0"/>
          <w:sz w:val="24"/>
        </w:rPr>
        <w:t>θ(k+1) = θ(k) + Δθ</w:t>
      </w:r>
      <w:r>
        <w:rPr>
          <w:rFonts w:ascii="Times New Roman" w:hAnsi="Times New Roman" w:eastAsia="Times New Roman"/>
          <w:b w:val="0"/>
          <w:sz w:val="24"/>
        </w:rPr>
        <w:t xml:space="preserve">    (2.12)</w:t>
      </w:r>
    </w:p>
    <w:p>
      <w:pPr>
        <w:spacing w:line="400" w:lineRule="exact" w:before="0" w:after="0"/>
        <w:ind w:firstLine="420"/>
        <w:jc w:val="both"/>
      </w:pPr>
      <w:r>
        <w:rPr>
          <w:rFonts w:ascii="宋体" w:hAnsi="宋体" w:eastAsia="宋体"/>
          <w:b w:val="0"/>
          <w:sz w:val="24"/>
        </w:rPr>
        <w:t>中点积分的几何意义是：机器人从位置 k 到位置 k+1 的运动近似为一段圆弧，位置增量沿圆弧中点的切线方向计算，从而减小了航向角变化带来的误差。当 Δθ 较小时，中点积分与欧拉积分的差异不大；但当机器人进行转弯运动时，中点积分能显著提高定位精度。</w:t>
      </w:r>
    </w:p>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odometry_model.png"/>
                    <pic:cNvPicPr/>
                  </pic:nvPicPr>
                  <pic:blipFill>
                    <a:blip r:embed="rId9"/>
                    <a:stretch>
                      <a:fillRect/>
                    </a:stretch>
                  </pic:blipFill>
                  <pic:spPr>
                    <a:xfrm>
                      <a:off x="0" y="0"/>
                      <a:ext cx="5029200" cy="3771900"/>
                    </a:xfrm>
                    <a:prstGeom prst="rect"/>
                  </pic:spPr>
                </pic:pic>
              </a:graphicData>
            </a:graphic>
          </wp:inline>
        </w:drawing>
      </w:r>
    </w:p>
    <w:p>
      <w:pPr>
        <w:spacing w:line="400" w:lineRule="exact" w:before="120" w:after="240"/>
        <w:jc w:val="center"/>
      </w:pPr>
      <w:r>
        <w:rPr>
          <w:rFonts w:ascii="宋体" w:hAnsi="宋体" w:eastAsia="宋体"/>
          <w:b w:val="0"/>
          <w:sz w:val="21"/>
        </w:rPr>
        <w:t>图2.1　里程计模型示意图</w:t>
      </w:r>
    </w:p>
    <w:p>
      <w:pPr>
        <w:spacing w:line="400" w:lineRule="exact" w:before="480" w:after="120"/>
        <w:jc w:val="center"/>
      </w:pPr>
      <w:r>
        <w:rPr>
          <w:rFonts w:ascii="黑体" w:hAnsi="黑体" w:eastAsia="黑体"/>
          <w:b/>
          <w:sz w:val="28"/>
        </w:rPr>
        <w:t>第三节　里程计输入定义</w:t>
      </w:r>
    </w:p>
    <w:p>
      <w:pPr>
        <w:spacing w:line="400" w:lineRule="exact" w:before="0" w:after="0"/>
        <w:ind w:firstLine="420"/>
        <w:jc w:val="both"/>
      </w:pPr>
      <w:r>
        <w:rPr>
          <w:rFonts w:ascii="宋体" w:hAnsi="宋体" w:eastAsia="宋体"/>
          <w:b w:val="0"/>
          <w:sz w:val="24"/>
        </w:rPr>
        <w:t>在里程计模型中，输入向量定义为 u = [ds, δ]ᵀ，其中：（1）ds 为驱动轮在采样周期内的弧长增量，可通过编码器测量获得；（2）δ 为转向角，可通过转向角传感器测量获得。</w:t>
      </w:r>
    </w:p>
    <w:p>
      <w:pPr>
        <w:spacing w:line="400" w:lineRule="exact" w:before="0" w:after="0"/>
        <w:ind w:firstLine="420"/>
        <w:jc w:val="both"/>
      </w:pPr>
      <w:r>
        <w:rPr>
          <w:rFonts w:ascii="宋体" w:hAnsi="宋体" w:eastAsia="宋体"/>
          <w:b w:val="0"/>
          <w:sz w:val="24"/>
        </w:rPr>
        <w:t>需要注意的是，ds 与线速度 v 的关系为 ds = v·Δt。在实际系统中，编码器测量的是车轮转过的角度，需要根据车轮半径转换为弧长增量。对于差速驱动机器人，左右轮的弧长增量可以分别测量，然后计算等效的 ds 和 δ。</w:t>
      </w:r>
    </w:p>
    <w:p>
      <w:pPr>
        <w:spacing w:line="400" w:lineRule="exact" w:before="480" w:after="360"/>
        <w:jc w:val="center"/>
      </w:pPr>
      <w:r>
        <w:rPr>
          <w:rFonts w:ascii="黑体" w:hAnsi="黑体" w:eastAsia="黑体"/>
          <w:b/>
          <w:sz w:val="32"/>
        </w:rPr>
        <w:t>第三章　里程计误差传导模型</w:t>
      </w:r>
    </w:p>
    <w:p>
      <w:pPr>
        <w:spacing w:line="400" w:lineRule="exact" w:before="480" w:after="120"/>
        <w:jc w:val="center"/>
      </w:pPr>
      <w:r>
        <w:rPr>
          <w:rFonts w:ascii="黑体" w:hAnsi="黑体" w:eastAsia="黑体"/>
          <w:b/>
          <w:sz w:val="28"/>
        </w:rPr>
        <w:t>第一节　误差来源分析</w:t>
      </w:r>
    </w:p>
    <w:p>
      <w:pPr>
        <w:spacing w:line="400" w:lineRule="exact" w:before="0" w:after="0"/>
        <w:ind w:firstLine="420"/>
        <w:jc w:val="both"/>
      </w:pPr>
      <w:r>
        <w:rPr>
          <w:rFonts w:ascii="宋体" w:hAnsi="宋体" w:eastAsia="宋体"/>
          <w:b w:val="0"/>
          <w:sz w:val="24"/>
        </w:rPr>
        <w:t>里程计的误差来源主要包括以下几类：（1）编码器测量误差：车轮打滑、车轮半径变化、编码器分辨率限制等；（2）转向角测量误差：转向角传感器精度、机械间隙等；（3）模型误差：轴距参数不准确、车轮变形等。</w:t>
      </w:r>
    </w:p>
    <w:p>
      <w:pPr>
        <w:spacing w:line="400" w:lineRule="exact" w:before="0" w:after="0"/>
        <w:ind w:firstLine="420"/>
        <w:jc w:val="both"/>
      </w:pPr>
      <w:r>
        <w:rPr>
          <w:rFonts w:ascii="宋体" w:hAnsi="宋体" w:eastAsia="宋体"/>
          <w:b w:val="0"/>
          <w:sz w:val="24"/>
        </w:rPr>
        <w:t>这些误差可以归纳为对输入量 ds 和 δ 的噪声扰动。设噪声向量为 w = [n_s, n_δ]ᵀ，其中 n_s 为弧长增量噪声，n_δ 为转向角噪声。假设噪声为零均值高斯白噪声，协方差矩阵为 Q = diag(σ_s², σ_δ²)。</w:t>
      </w:r>
    </w:p>
    <w:p>
      <w:pPr>
        <w:spacing w:line="400" w:lineRule="exact" w:before="480" w:after="120"/>
        <w:jc w:val="center"/>
      </w:pPr>
      <w:r>
        <w:rPr>
          <w:rFonts w:ascii="黑体" w:hAnsi="黑体" w:eastAsia="黑体"/>
          <w:b/>
          <w:sz w:val="28"/>
        </w:rPr>
        <w:t>第二节　误差传导方程推导</w:t>
      </w:r>
    </w:p>
    <w:p>
      <w:pPr>
        <w:spacing w:line="400" w:lineRule="exact" w:before="0" w:after="0"/>
        <w:ind w:firstLine="420"/>
        <w:jc w:val="both"/>
      </w:pPr>
      <w:r>
        <w:rPr>
          <w:rFonts w:ascii="宋体" w:hAnsi="宋体" w:eastAsia="宋体"/>
          <w:b w:val="0"/>
          <w:sz w:val="24"/>
        </w:rPr>
        <w:t>为了推导误差传导方程，首先对里程计模型进行一阶线性化。设状态误差为 e = [e_x, e_y, e_θ]ᵀ，定义为 e = z - z_nom，其中 z_nom 为名义状态。对离散里程计模型进行泰勒展开并保留一阶项：</w:t>
      </w:r>
    </w:p>
    <w:p>
      <w:pPr>
        <w:spacing w:line="400" w:lineRule="exact" w:before="120" w:after="120"/>
        <w:jc w:val="center"/>
      </w:pPr>
      <w:r>
        <w:rPr>
          <w:rFonts w:ascii="Times New Roman" w:hAnsi="Times New Roman" w:eastAsia="Times New Roman"/>
          <w:b w:val="0"/>
          <w:sz w:val="24"/>
        </w:rPr>
        <w:t>z(k+1) ≈ f(z_nom(k), u_nom(k)) + F(k)·e(k) + G(k)·w(k)</w:t>
      </w:r>
      <w:r>
        <w:rPr>
          <w:rFonts w:ascii="Times New Roman" w:hAnsi="Times New Roman" w:eastAsia="Times New Roman"/>
          <w:b w:val="0"/>
          <w:sz w:val="24"/>
        </w:rPr>
        <w:t xml:space="preserve">    (3.1)</w:t>
      </w:r>
    </w:p>
    <w:p>
      <w:pPr>
        <w:spacing w:line="400" w:lineRule="exact" w:before="0" w:after="0"/>
        <w:ind w:firstLine="420"/>
        <w:jc w:val="both"/>
      </w:pPr>
      <w:r>
        <w:rPr>
          <w:rFonts w:ascii="宋体" w:hAnsi="宋体" w:eastAsia="宋体"/>
          <w:b w:val="0"/>
          <w:sz w:val="24"/>
        </w:rPr>
        <w:t>其中 F(k) = ∂f/∂z 为状态雅可比矩阵，G(k) = ∂f/∂u 为输入雅可比矩阵。误差传导方程为：</w:t>
      </w:r>
    </w:p>
    <w:p>
      <w:pPr>
        <w:spacing w:line="400" w:lineRule="exact" w:before="120" w:after="120"/>
        <w:jc w:val="center"/>
      </w:pPr>
      <w:r>
        <w:rPr>
          <w:rFonts w:ascii="Times New Roman" w:hAnsi="Times New Roman" w:eastAsia="Times New Roman"/>
          <w:b w:val="0"/>
          <w:sz w:val="24"/>
        </w:rPr>
        <w:t>e(k+1) = F(k)·e(k) + G(k)·w(k)</w:t>
      </w:r>
      <w:r>
        <w:rPr>
          <w:rFonts w:ascii="Times New Roman" w:hAnsi="Times New Roman" w:eastAsia="Times New Roman"/>
          <w:b w:val="0"/>
          <w:sz w:val="24"/>
        </w:rPr>
        <w:t xml:space="preserve">    (3.2)</w:t>
      </w:r>
    </w:p>
    <w:p>
      <w:pPr>
        <w:spacing w:line="400" w:lineRule="exact" w:before="0" w:after="0"/>
        <w:ind w:firstLine="420"/>
        <w:jc w:val="both"/>
      </w:pPr>
      <w:r>
        <w:rPr>
          <w:rFonts w:ascii="宋体" w:hAnsi="宋体" w:eastAsia="宋体"/>
          <w:b w:val="0"/>
          <w:sz w:val="24"/>
        </w:rPr>
        <w:t>设误差协方差矩阵为 P = E[eeᵀ]，则协方差传播方程为：</w:t>
      </w:r>
    </w:p>
    <w:p>
      <w:pPr>
        <w:spacing w:line="400" w:lineRule="exact" w:before="120" w:after="120"/>
        <w:jc w:val="center"/>
      </w:pPr>
      <w:r>
        <w:rPr>
          <w:rFonts w:ascii="Times New Roman" w:hAnsi="Times New Roman" w:eastAsia="Times New Roman"/>
          <w:b w:val="0"/>
          <w:sz w:val="24"/>
        </w:rPr>
        <w:t>P(k+1) = F(k)·P(k)·F(k)ᵀ + G(k)·Q(k)·G(k)ᵀ</w:t>
      </w:r>
      <w:r>
        <w:rPr>
          <w:rFonts w:ascii="Times New Roman" w:hAnsi="Times New Roman" w:eastAsia="Times New Roman"/>
          <w:b w:val="0"/>
          <w:sz w:val="24"/>
        </w:rPr>
        <w:t xml:space="preserve">    (3.3)</w:t>
      </w:r>
    </w:p>
    <w:p>
      <w:pPr>
        <w:spacing w:line="400" w:lineRule="exact" w:before="480" w:after="120"/>
        <w:jc w:val="center"/>
      </w:pPr>
      <w:r>
        <w:rPr>
          <w:rFonts w:ascii="黑体" w:hAnsi="黑体" w:eastAsia="黑体"/>
          <w:b/>
          <w:sz w:val="28"/>
        </w:rPr>
        <w:t>第三节　雅可比矩阵计算</w:t>
      </w:r>
    </w:p>
    <w:p>
      <w:pPr>
        <w:spacing w:line="400" w:lineRule="exact" w:before="0" w:after="0"/>
        <w:ind w:firstLine="420"/>
        <w:jc w:val="both"/>
      </w:pPr>
      <w:r>
        <w:rPr>
          <w:rFonts w:ascii="宋体" w:hAnsi="宋体" w:eastAsia="宋体"/>
          <w:b w:val="0"/>
          <w:sz w:val="24"/>
        </w:rPr>
        <w:t>对中点积分形式的里程计模型求偏导，得到雅可比矩阵。状态雅可比矩阵 F 为：</w:t>
      </w:r>
    </w:p>
    <w:p>
      <w:pPr>
        <w:spacing w:line="400" w:lineRule="exact" w:before="120" w:after="120"/>
        <w:jc w:val="center"/>
      </w:pPr>
      <w:r>
        <w:rPr>
          <w:rFonts w:ascii="Times New Roman" w:hAnsi="Times New Roman" w:eastAsia="Times New Roman"/>
          <w:b w:val="0"/>
          <w:sz w:val="24"/>
        </w:rPr>
        <w:t>F = [1, 0, -ds·sin(θ_mid)]</w:t>
      </w:r>
      <w:r>
        <w:rPr>
          <w:rFonts w:ascii="Times New Roman" w:hAnsi="Times New Roman" w:eastAsia="Times New Roman"/>
          <w:b w:val="0"/>
          <w:sz w:val="24"/>
        </w:rPr>
        <w:t xml:space="preserve">    (3.4)</w:t>
      </w:r>
    </w:p>
    <w:p>
      <w:pPr>
        <w:spacing w:line="400" w:lineRule="exact" w:before="120" w:after="120"/>
        <w:jc w:val="center"/>
      </w:pPr>
      <w:r>
        <w:rPr>
          <w:rFonts w:ascii="Times New Roman" w:hAnsi="Times New Roman" w:eastAsia="Times New Roman"/>
          <w:b w:val="0"/>
          <w:sz w:val="24"/>
        </w:rPr>
        <w:t xml:space="preserve">    [0, 1,  ds·cos(θ_mid)]</w:t>
      </w:r>
    </w:p>
    <w:p>
      <w:pPr>
        <w:spacing w:line="400" w:lineRule="exact" w:before="120" w:after="120"/>
        <w:jc w:val="center"/>
      </w:pPr>
      <w:r>
        <w:rPr>
          <w:rFonts w:ascii="Times New Roman" w:hAnsi="Times New Roman" w:eastAsia="Times New Roman"/>
          <w:b w:val="0"/>
          <w:sz w:val="24"/>
        </w:rPr>
        <w:t xml:space="preserve">    [0, 0,              1]</w:t>
      </w:r>
    </w:p>
    <w:p>
      <w:pPr>
        <w:spacing w:line="400" w:lineRule="exact" w:before="0" w:after="0"/>
        <w:ind w:firstLine="420"/>
        <w:jc w:val="both"/>
      </w:pPr>
      <w:r>
        <w:rPr>
          <w:rFonts w:ascii="宋体" w:hAnsi="宋体" w:eastAsia="宋体"/>
          <w:b w:val="0"/>
          <w:sz w:val="24"/>
        </w:rPr>
        <w:t>其中 θ_mid = θ + Δθ/2 = θ + ds·κ/2。F 矩阵的第三列反映了航向角误差对位置误差的影响：当航向角存在误差时，位置增量会沿错误的方向累加。</w:t>
      </w:r>
    </w:p>
    <w:p>
      <w:pPr>
        <w:spacing w:line="400" w:lineRule="exact" w:before="0" w:after="0"/>
        <w:ind w:firstLine="420"/>
        <w:jc w:val="both"/>
      </w:pPr>
      <w:r>
        <w:rPr>
          <w:rFonts w:ascii="宋体" w:hAnsi="宋体" w:eastAsia="宋体"/>
          <w:b w:val="0"/>
          <w:sz w:val="24"/>
        </w:rPr>
        <w:t>输入雅可比矩阵 G 为：</w:t>
      </w:r>
    </w:p>
    <w:p>
      <w:pPr>
        <w:spacing w:line="400" w:lineRule="exact" w:before="120" w:after="120"/>
        <w:jc w:val="center"/>
      </w:pPr>
      <w:r>
        <w:rPr>
          <w:rFonts w:ascii="Times New Roman" w:hAnsi="Times New Roman" w:eastAsia="Times New Roman"/>
          <w:b w:val="0"/>
          <w:sz w:val="24"/>
        </w:rPr>
        <w:t>G = [cos(θ_mid) - 0.5·ds·κ·sin(θ_mid),  -0.5·ds²·γ·sin(θ_mid)]</w:t>
      </w:r>
      <w:r>
        <w:rPr>
          <w:rFonts w:ascii="Times New Roman" w:hAnsi="Times New Roman" w:eastAsia="Times New Roman"/>
          <w:b w:val="0"/>
          <w:sz w:val="24"/>
        </w:rPr>
        <w:t xml:space="preserve">    (3.5)</w:t>
      </w:r>
    </w:p>
    <w:p>
      <w:pPr>
        <w:spacing w:line="400" w:lineRule="exact" w:before="120" w:after="120"/>
        <w:jc w:val="center"/>
      </w:pPr>
      <w:r>
        <w:rPr>
          <w:rFonts w:ascii="Times New Roman" w:hAnsi="Times New Roman" w:eastAsia="Times New Roman"/>
          <w:b w:val="0"/>
          <w:sz w:val="24"/>
        </w:rPr>
        <w:t xml:space="preserve">    [sin(θ_mid) + 0.5·ds·κ·cos(θ_mid),   0.5·ds²·γ·cos(θ_mid)]</w:t>
      </w:r>
    </w:p>
    <w:p>
      <w:pPr>
        <w:spacing w:line="400" w:lineRule="exact" w:before="120" w:after="120"/>
        <w:jc w:val="center"/>
      </w:pPr>
      <w:r>
        <w:rPr>
          <w:rFonts w:ascii="Times New Roman" w:hAnsi="Times New Roman" w:eastAsia="Times New Roman"/>
          <w:b w:val="0"/>
          <w:sz w:val="24"/>
        </w:rPr>
        <w:t xml:space="preserve">    [κ,                                    ds·γ]</w:t>
      </w:r>
    </w:p>
    <w:p>
      <w:pPr>
        <w:spacing w:line="400" w:lineRule="exact" w:before="0" w:after="0"/>
        <w:ind w:firstLine="420"/>
        <w:jc w:val="both"/>
      </w:pPr>
      <w:r>
        <w:rPr>
          <w:rFonts w:ascii="宋体" w:hAnsi="宋体" w:eastAsia="宋体"/>
          <w:b w:val="0"/>
          <w:sz w:val="24"/>
        </w:rPr>
        <w:t>其中 γ = ∂κ/∂δ = 1/(cos²(δ)·L) 为曲率对转向角的偏导数。G 矩阵的第一列反映了弧长增量噪声对状态误差的影响，第二列反映了转向角噪声对状态误差的影响。</w:t>
      </w:r>
    </w:p>
    <w:p>
      <w:pPr>
        <w:spacing w:line="400" w:lineRule="exact" w:before="0" w:after="0"/>
        <w:ind w:firstLine="420"/>
        <w:jc w:val="both"/>
      </w:pPr>
      <w:r>
        <w:rPr>
          <w:rFonts w:ascii="宋体" w:hAnsi="宋体" w:eastAsia="宋体"/>
          <w:b w:val="0"/>
          <w:sz w:val="24"/>
        </w:rPr>
        <w:t>具体分析各元素：（1）G[0,0] 和 G[1,0]：弧长增量噪声直接转换为位置误差，同时通过 κ 项影响航向角误差；（2）G[0,1] 和 G[1,1]：转向角噪声通过曲率变化影响位置误差，影响程度与 ds² 成正比；（3）G[2,0] = κ：弧长增量噪声通过曲率影响航向角误差；（4）G[2,1] = ds·γ：转向角噪声直接影响航向角误差。</w:t>
      </w:r>
    </w:p>
    <w:p>
      <w:pPr>
        <w:spacing w:line="400" w:lineRule="exact" w:before="480" w:after="120"/>
        <w:jc w:val="center"/>
      </w:pPr>
      <w:r>
        <w:rPr>
          <w:rFonts w:ascii="黑体" w:hAnsi="黑体" w:eastAsia="黑体"/>
          <w:b/>
          <w:sz w:val="28"/>
        </w:rPr>
        <w:t>第四节　噪声模型</w:t>
      </w:r>
    </w:p>
    <w:p>
      <w:pPr>
        <w:spacing w:line="400" w:lineRule="exact" w:before="0" w:after="0"/>
        <w:ind w:firstLine="420"/>
        <w:jc w:val="both"/>
      </w:pPr>
      <w:r>
        <w:rPr>
          <w:rFonts w:ascii="宋体" w:hAnsi="宋体" w:eastAsia="宋体"/>
          <w:b w:val="0"/>
          <w:sz w:val="24"/>
        </w:rPr>
        <w:t>在实际系统中，噪声的统计特性需要通过实验标定。本文采用的噪声模型为：</w:t>
      </w:r>
    </w:p>
    <w:p>
      <w:pPr>
        <w:spacing w:line="400" w:lineRule="exact" w:before="120" w:after="120"/>
        <w:jc w:val="center"/>
      </w:pPr>
      <w:r>
        <w:rPr>
          <w:rFonts w:ascii="Times New Roman" w:hAnsi="Times New Roman" w:eastAsia="Times New Roman"/>
          <w:b w:val="0"/>
          <w:sz w:val="24"/>
        </w:rPr>
        <w:t>σ_s = σ_s0 + α·|ds|</w:t>
      </w:r>
      <w:r>
        <w:rPr>
          <w:rFonts w:ascii="Times New Roman" w:hAnsi="Times New Roman" w:eastAsia="Times New Roman"/>
          <w:b w:val="0"/>
          <w:sz w:val="24"/>
        </w:rPr>
        <w:t xml:space="preserve">    (3.6)</w:t>
      </w:r>
    </w:p>
    <w:p>
      <w:pPr>
        <w:spacing w:line="400" w:lineRule="exact" w:before="120" w:after="120"/>
        <w:jc w:val="center"/>
      </w:pPr>
      <w:r>
        <w:rPr>
          <w:rFonts w:ascii="Times New Roman" w:hAnsi="Times New Roman" w:eastAsia="Times New Roman"/>
          <w:b w:val="0"/>
          <w:sz w:val="24"/>
        </w:rPr>
        <w:t>σ_δ = σ_δ0</w:t>
      </w:r>
      <w:r>
        <w:rPr>
          <w:rFonts w:ascii="Times New Roman" w:hAnsi="Times New Roman" w:eastAsia="Times New Roman"/>
          <w:b w:val="0"/>
          <w:sz w:val="24"/>
        </w:rPr>
        <w:t xml:space="preserve">    (3.7)</w:t>
      </w:r>
    </w:p>
    <w:p>
      <w:pPr>
        <w:spacing w:line="400" w:lineRule="exact" w:before="0" w:after="0"/>
        <w:ind w:firstLine="420"/>
        <w:jc w:val="both"/>
      </w:pPr>
      <w:r>
        <w:rPr>
          <w:rFonts w:ascii="宋体" w:hAnsi="宋体" w:eastAsia="宋体"/>
          <w:b w:val="0"/>
          <w:sz w:val="24"/>
        </w:rPr>
        <w:t>其中 σ_s0 为基础里程噪声标准差，α 为比例系数。该模型考虑了里程噪声与行驶距离的相关性：车轮打滑等误差会随着行驶距离的增加而累积。转向角噪声假设为常数。</w:t>
      </w:r>
    </w:p>
    <w:p>
      <w:pPr>
        <w:spacing w:line="400" w:lineRule="exact" w:before="0" w:after="0"/>
        <w:ind w:firstLine="420"/>
        <w:jc w:val="both"/>
      </w:pPr>
      <w:r>
        <w:rPr>
          <w:rFonts w:ascii="宋体" w:hAnsi="宋体" w:eastAsia="宋体"/>
          <w:b w:val="0"/>
          <w:sz w:val="24"/>
        </w:rPr>
        <w:t>噪声协方差矩阵为：</w:t>
      </w:r>
    </w:p>
    <w:p>
      <w:pPr>
        <w:spacing w:line="400" w:lineRule="exact" w:before="120" w:after="120"/>
        <w:jc w:val="center"/>
      </w:pPr>
      <w:r>
        <w:rPr>
          <w:rFonts w:ascii="Times New Roman" w:hAnsi="Times New Roman" w:eastAsia="Times New Roman"/>
          <w:b w:val="0"/>
          <w:sz w:val="24"/>
        </w:rPr>
        <w:t>Q = [σ_s²,    0 ]</w:t>
      </w:r>
      <w:r>
        <w:rPr>
          <w:rFonts w:ascii="Times New Roman" w:hAnsi="Times New Roman" w:eastAsia="Times New Roman"/>
          <w:b w:val="0"/>
          <w:sz w:val="24"/>
        </w:rPr>
        <w:t xml:space="preserve">    (3.8)</w:t>
      </w:r>
    </w:p>
    <w:p>
      <w:pPr>
        <w:spacing w:line="400" w:lineRule="exact" w:before="120" w:after="120"/>
        <w:jc w:val="center"/>
      </w:pPr>
      <w:r>
        <w:rPr>
          <w:rFonts w:ascii="Times New Roman" w:hAnsi="Times New Roman" w:eastAsia="Times New Roman"/>
          <w:b w:val="0"/>
          <w:sz w:val="24"/>
        </w:rPr>
        <w:t xml:space="preserve">    [   0, σ_δ²]</w:t>
      </w:r>
    </w:p>
    <w:p>
      <w:pPr>
        <w:spacing w:line="400" w:lineRule="exact" w:before="480" w:after="360"/>
        <w:jc w:val="center"/>
      </w:pPr>
      <w:r>
        <w:rPr>
          <w:rFonts w:ascii="黑体" w:hAnsi="黑体" w:eastAsia="黑体"/>
          <w:b/>
          <w:sz w:val="32"/>
        </w:rPr>
        <w:t>第四章　仿真实验与分析</w:t>
      </w:r>
    </w:p>
    <w:p>
      <w:pPr>
        <w:spacing w:line="400" w:lineRule="exact" w:before="480" w:after="120"/>
        <w:jc w:val="center"/>
      </w:pPr>
      <w:r>
        <w:rPr>
          <w:rFonts w:ascii="黑体" w:hAnsi="黑体" w:eastAsia="黑体"/>
          <w:b/>
          <w:sz w:val="28"/>
        </w:rPr>
        <w:t>第一节　仿真参数设置</w:t>
      </w:r>
    </w:p>
    <w:p>
      <w:pPr>
        <w:spacing w:line="400" w:lineRule="exact" w:before="0" w:after="0"/>
        <w:ind w:firstLine="420"/>
        <w:jc w:val="both"/>
      </w:pPr>
      <w:r>
        <w:rPr>
          <w:rFonts w:ascii="宋体" w:hAnsi="宋体" w:eastAsia="宋体"/>
          <w:b w:val="0"/>
          <w:sz w:val="24"/>
        </w:rPr>
        <w:t>仿真实验的主要参数设置如下表所示：</w:t>
      </w:r>
    </w:p>
    <w:p>
      <w:pPr>
        <w:spacing w:line="400" w:lineRule="exact" w:before="120" w:after="120"/>
        <w:jc w:val="center"/>
      </w:pPr>
      <w:r>
        <w:rPr>
          <w:rFonts w:ascii="宋体" w:hAnsi="宋体" w:eastAsia="宋体"/>
          <w:b w:val="0"/>
          <w:sz w:val="21"/>
        </w:rPr>
        <w:t>表4.1　仿真参数设置</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21"/>
              </w:rPr>
              <w:t>参数</w:t>
            </w:r>
          </w:p>
        </w:tc>
        <w:tc>
          <w:tcPr>
            <w:tcW w:type="dxa" w:w="2160"/>
          </w:tcPr>
          <w:p>
            <w:pPr>
              <w:jc w:val="center"/>
            </w:pPr>
            <w:r/>
            <w:r>
              <w:rPr>
                <w:rFonts w:ascii="宋体" w:hAnsi="宋体" w:eastAsia="宋体"/>
                <w:b/>
                <w:sz w:val="21"/>
              </w:rPr>
              <w:t>符号</w:t>
            </w:r>
          </w:p>
        </w:tc>
        <w:tc>
          <w:tcPr>
            <w:tcW w:type="dxa" w:w="2160"/>
          </w:tcPr>
          <w:p>
            <w:pPr>
              <w:jc w:val="center"/>
            </w:pPr>
            <w:r/>
            <w:r>
              <w:rPr>
                <w:rFonts w:ascii="宋体" w:hAnsi="宋体" w:eastAsia="宋体"/>
                <w:b/>
                <w:sz w:val="21"/>
              </w:rPr>
              <w:t>数值</w:t>
            </w:r>
          </w:p>
        </w:tc>
        <w:tc>
          <w:tcPr>
            <w:tcW w:type="dxa" w:w="2160"/>
          </w:tcPr>
          <w:p>
            <w:pPr>
              <w:jc w:val="center"/>
            </w:pPr>
            <w:r/>
            <w:r>
              <w:rPr>
                <w:rFonts w:ascii="宋体" w:hAnsi="宋体" w:eastAsia="宋体"/>
                <w:b/>
                <w:sz w:val="21"/>
              </w:rPr>
              <w:t>单位</w:t>
            </w:r>
          </w:p>
        </w:tc>
      </w:tr>
      <w:tr>
        <w:tc>
          <w:tcPr>
            <w:tcW w:type="dxa" w:w="2160"/>
          </w:tcPr>
          <w:p>
            <w:pPr>
              <w:jc w:val="center"/>
            </w:pPr>
            <w:r/>
            <w:r>
              <w:rPr>
                <w:rFonts w:ascii="宋体" w:hAnsi="宋体" w:eastAsia="宋体"/>
                <w:b w:val="0"/>
                <w:sz w:val="21"/>
              </w:rPr>
              <w:t>轴距</w:t>
            </w:r>
          </w:p>
        </w:tc>
        <w:tc>
          <w:tcPr>
            <w:tcW w:type="dxa" w:w="2160"/>
          </w:tcPr>
          <w:p>
            <w:pPr>
              <w:jc w:val="center"/>
            </w:pPr>
            <w:r/>
            <w:r>
              <w:rPr>
                <w:rFonts w:ascii="宋体" w:hAnsi="宋体" w:eastAsia="宋体"/>
                <w:b w:val="0"/>
                <w:sz w:val="21"/>
              </w:rPr>
              <w:t>L</w:t>
            </w:r>
          </w:p>
        </w:tc>
        <w:tc>
          <w:tcPr>
            <w:tcW w:type="dxa" w:w="2160"/>
          </w:tcPr>
          <w:p>
            <w:pPr>
              <w:jc w:val="center"/>
            </w:pPr>
            <w:r/>
            <w:r>
              <w:rPr>
                <w:rFonts w:ascii="宋体" w:hAnsi="宋体" w:eastAsia="宋体"/>
                <w:b w:val="0"/>
                <w:sz w:val="21"/>
              </w:rPr>
              <w:t>2.0</w:t>
            </w:r>
          </w:p>
        </w:tc>
        <w:tc>
          <w:tcPr>
            <w:tcW w:type="dxa" w:w="2160"/>
          </w:tcPr>
          <w:p>
            <w:pPr>
              <w:jc w:val="center"/>
            </w:pPr>
            <w:r/>
            <w:r>
              <w:rPr>
                <w:rFonts w:ascii="宋体" w:hAnsi="宋体" w:eastAsia="宋体"/>
                <w:b w:val="0"/>
                <w:sz w:val="21"/>
              </w:rPr>
              <w:t>m</w:t>
            </w:r>
          </w:p>
        </w:tc>
      </w:tr>
      <w:tr>
        <w:tc>
          <w:tcPr>
            <w:tcW w:type="dxa" w:w="2160"/>
          </w:tcPr>
          <w:p>
            <w:pPr>
              <w:jc w:val="center"/>
            </w:pPr>
            <w:r/>
            <w:r>
              <w:rPr>
                <w:rFonts w:ascii="宋体" w:hAnsi="宋体" w:eastAsia="宋体"/>
                <w:b w:val="0"/>
                <w:sz w:val="21"/>
              </w:rPr>
              <w:t>采样周期</w:t>
            </w:r>
          </w:p>
        </w:tc>
        <w:tc>
          <w:tcPr>
            <w:tcW w:type="dxa" w:w="2160"/>
          </w:tcPr>
          <w:p>
            <w:pPr>
              <w:jc w:val="center"/>
            </w:pPr>
            <w:r/>
            <w:r>
              <w:rPr>
                <w:rFonts w:ascii="宋体" w:hAnsi="宋体" w:eastAsia="宋体"/>
                <w:b w:val="0"/>
                <w:sz w:val="21"/>
              </w:rPr>
              <w:t>Δt</w:t>
            </w:r>
          </w:p>
        </w:tc>
        <w:tc>
          <w:tcPr>
            <w:tcW w:type="dxa" w:w="2160"/>
          </w:tcPr>
          <w:p>
            <w:pPr>
              <w:jc w:val="center"/>
            </w:pPr>
            <w:r/>
            <w:r>
              <w:rPr>
                <w:rFonts w:ascii="宋体" w:hAnsi="宋体" w:eastAsia="宋体"/>
                <w:b w:val="0"/>
                <w:sz w:val="21"/>
              </w:rPr>
              <w:t>0.05</w:t>
            </w:r>
          </w:p>
        </w:tc>
        <w:tc>
          <w:tcPr>
            <w:tcW w:type="dxa" w:w="2160"/>
          </w:tcPr>
          <w:p>
            <w:pPr>
              <w:jc w:val="center"/>
            </w:pPr>
            <w:r/>
            <w:r>
              <w:rPr>
                <w:rFonts w:ascii="宋体" w:hAnsi="宋体" w:eastAsia="宋体"/>
                <w:b w:val="0"/>
                <w:sz w:val="21"/>
              </w:rPr>
              <w:t>s</w:t>
            </w:r>
          </w:p>
        </w:tc>
      </w:tr>
      <w:tr>
        <w:tc>
          <w:tcPr>
            <w:tcW w:type="dxa" w:w="2160"/>
          </w:tcPr>
          <w:p>
            <w:pPr>
              <w:jc w:val="center"/>
            </w:pPr>
            <w:r/>
            <w:r>
              <w:rPr>
                <w:rFonts w:ascii="宋体" w:hAnsi="宋体" w:eastAsia="宋体"/>
                <w:b w:val="0"/>
                <w:sz w:val="21"/>
              </w:rPr>
              <w:t>仿真总时间</w:t>
            </w:r>
          </w:p>
        </w:tc>
        <w:tc>
          <w:tcPr>
            <w:tcW w:type="dxa" w:w="2160"/>
          </w:tcPr>
          <w:p>
            <w:pPr>
              <w:jc w:val="center"/>
            </w:pPr>
            <w:r/>
            <w:r>
              <w:rPr>
                <w:rFonts w:ascii="宋体" w:hAnsi="宋体" w:eastAsia="宋体"/>
                <w:b w:val="0"/>
                <w:sz w:val="21"/>
              </w:rPr>
              <w:t>T</w:t>
            </w:r>
          </w:p>
        </w:tc>
        <w:tc>
          <w:tcPr>
            <w:tcW w:type="dxa" w:w="2160"/>
          </w:tcPr>
          <w:p>
            <w:pPr>
              <w:jc w:val="center"/>
            </w:pPr>
            <w:r/>
            <w:r>
              <w:rPr>
                <w:rFonts w:ascii="宋体" w:hAnsi="宋体" w:eastAsia="宋体"/>
                <w:b w:val="0"/>
                <w:sz w:val="21"/>
              </w:rPr>
              <w:t>25.0</w:t>
            </w:r>
          </w:p>
        </w:tc>
        <w:tc>
          <w:tcPr>
            <w:tcW w:type="dxa" w:w="2160"/>
          </w:tcPr>
          <w:p>
            <w:pPr>
              <w:jc w:val="center"/>
            </w:pPr>
            <w:r/>
            <w:r>
              <w:rPr>
                <w:rFonts w:ascii="宋体" w:hAnsi="宋体" w:eastAsia="宋体"/>
                <w:b w:val="0"/>
                <w:sz w:val="21"/>
              </w:rPr>
              <w:t>s</w:t>
            </w:r>
          </w:p>
        </w:tc>
      </w:tr>
      <w:tr>
        <w:tc>
          <w:tcPr>
            <w:tcW w:type="dxa" w:w="2160"/>
          </w:tcPr>
          <w:p>
            <w:pPr>
              <w:jc w:val="center"/>
            </w:pPr>
            <w:r/>
            <w:r>
              <w:rPr>
                <w:rFonts w:ascii="宋体" w:hAnsi="宋体" w:eastAsia="宋体"/>
                <w:b w:val="0"/>
                <w:sz w:val="21"/>
              </w:rPr>
              <w:t>基础里程噪声</w:t>
            </w:r>
          </w:p>
        </w:tc>
        <w:tc>
          <w:tcPr>
            <w:tcW w:type="dxa" w:w="2160"/>
          </w:tcPr>
          <w:p>
            <w:pPr>
              <w:jc w:val="center"/>
            </w:pPr>
            <w:r/>
            <w:r>
              <w:rPr>
                <w:rFonts w:ascii="宋体" w:hAnsi="宋体" w:eastAsia="宋体"/>
                <w:b w:val="0"/>
                <w:sz w:val="21"/>
              </w:rPr>
              <w:t>σ_s0</w:t>
            </w:r>
          </w:p>
        </w:tc>
        <w:tc>
          <w:tcPr>
            <w:tcW w:type="dxa" w:w="2160"/>
          </w:tcPr>
          <w:p>
            <w:pPr>
              <w:jc w:val="center"/>
            </w:pPr>
            <w:r/>
            <w:r>
              <w:rPr>
                <w:rFonts w:ascii="宋体" w:hAnsi="宋体" w:eastAsia="宋体"/>
                <w:b w:val="0"/>
                <w:sz w:val="21"/>
              </w:rPr>
              <w:t>0.004</w:t>
            </w:r>
          </w:p>
        </w:tc>
        <w:tc>
          <w:tcPr>
            <w:tcW w:type="dxa" w:w="2160"/>
          </w:tcPr>
          <w:p>
            <w:pPr>
              <w:jc w:val="center"/>
            </w:pPr>
            <w:r/>
            <w:r>
              <w:rPr>
                <w:rFonts w:ascii="宋体" w:hAnsi="宋体" w:eastAsia="宋体"/>
                <w:b w:val="0"/>
                <w:sz w:val="21"/>
              </w:rPr>
              <w:t>m</w:t>
            </w:r>
          </w:p>
        </w:tc>
      </w:tr>
      <w:tr>
        <w:tc>
          <w:tcPr>
            <w:tcW w:type="dxa" w:w="2160"/>
          </w:tcPr>
          <w:p>
            <w:pPr>
              <w:jc w:val="center"/>
            </w:pPr>
            <w:r/>
            <w:r>
              <w:rPr>
                <w:rFonts w:ascii="宋体" w:hAnsi="宋体" w:eastAsia="宋体"/>
                <w:b w:val="0"/>
                <w:sz w:val="21"/>
              </w:rPr>
              <w:t>里程噪声比例</w:t>
            </w:r>
          </w:p>
        </w:tc>
        <w:tc>
          <w:tcPr>
            <w:tcW w:type="dxa" w:w="2160"/>
          </w:tcPr>
          <w:p>
            <w:pPr>
              <w:jc w:val="center"/>
            </w:pPr>
            <w:r/>
            <w:r>
              <w:rPr>
                <w:rFonts w:ascii="宋体" w:hAnsi="宋体" w:eastAsia="宋体"/>
                <w:b w:val="0"/>
                <w:sz w:val="21"/>
              </w:rPr>
              <w:t>α</w:t>
            </w:r>
          </w:p>
        </w:tc>
        <w:tc>
          <w:tcPr>
            <w:tcW w:type="dxa" w:w="2160"/>
          </w:tcPr>
          <w:p>
            <w:pPr>
              <w:jc w:val="center"/>
            </w:pPr>
            <w:r/>
            <w:r>
              <w:rPr>
                <w:rFonts w:ascii="宋体" w:hAnsi="宋体" w:eastAsia="宋体"/>
                <w:b w:val="0"/>
                <w:sz w:val="21"/>
              </w:rPr>
              <w:t>0.01</w:t>
            </w:r>
          </w:p>
        </w:tc>
        <w:tc>
          <w:tcPr>
            <w:tcW w:type="dxa" w:w="2160"/>
          </w:tcPr>
          <w:p>
            <w:pPr>
              <w:jc w:val="center"/>
            </w:pPr>
            <w:r/>
            <w:r>
              <w:rPr>
                <w:rFonts w:ascii="宋体" w:hAnsi="宋体" w:eastAsia="宋体"/>
                <w:b w:val="0"/>
                <w:sz w:val="21"/>
              </w:rPr>
              <w:t>-</w:t>
            </w:r>
          </w:p>
        </w:tc>
      </w:tr>
      <w:tr>
        <w:tc>
          <w:tcPr>
            <w:tcW w:type="dxa" w:w="2160"/>
          </w:tcPr>
          <w:p>
            <w:pPr>
              <w:jc w:val="center"/>
            </w:pPr>
            <w:r/>
            <w:r>
              <w:rPr>
                <w:rFonts w:ascii="宋体" w:hAnsi="宋体" w:eastAsia="宋体"/>
                <w:b w:val="0"/>
                <w:sz w:val="21"/>
              </w:rPr>
              <w:t>转向角噪声</w:t>
            </w:r>
          </w:p>
        </w:tc>
        <w:tc>
          <w:tcPr>
            <w:tcW w:type="dxa" w:w="2160"/>
          </w:tcPr>
          <w:p>
            <w:pPr>
              <w:jc w:val="center"/>
            </w:pPr>
            <w:r/>
            <w:r>
              <w:rPr>
                <w:rFonts w:ascii="宋体" w:hAnsi="宋体" w:eastAsia="宋体"/>
                <w:b w:val="0"/>
                <w:sz w:val="21"/>
              </w:rPr>
              <w:t>σ_δ</w:t>
            </w:r>
          </w:p>
        </w:tc>
        <w:tc>
          <w:tcPr>
            <w:tcW w:type="dxa" w:w="2160"/>
          </w:tcPr>
          <w:p>
            <w:pPr>
              <w:jc w:val="center"/>
            </w:pPr>
            <w:r/>
            <w:r>
              <w:rPr>
                <w:rFonts w:ascii="宋体" w:hAnsi="宋体" w:eastAsia="宋体"/>
                <w:b w:val="0"/>
                <w:sz w:val="21"/>
              </w:rPr>
              <w:t>0.35</w:t>
            </w:r>
          </w:p>
        </w:tc>
        <w:tc>
          <w:tcPr>
            <w:tcW w:type="dxa" w:w="2160"/>
          </w:tcPr>
          <w:p>
            <w:pPr>
              <w:jc w:val="center"/>
            </w:pPr>
            <w:r/>
            <w:r>
              <w:rPr>
                <w:rFonts w:ascii="宋体" w:hAnsi="宋体" w:eastAsia="宋体"/>
                <w:b w:val="0"/>
                <w:sz w:val="21"/>
              </w:rPr>
              <w:t>deg</w:t>
            </w:r>
          </w:p>
        </w:tc>
      </w:tr>
      <w:tr>
        <w:tc>
          <w:tcPr>
            <w:tcW w:type="dxa" w:w="2160"/>
          </w:tcPr>
          <w:p>
            <w:pPr>
              <w:jc w:val="center"/>
            </w:pPr>
            <w:r/>
            <w:r>
              <w:rPr>
                <w:rFonts w:ascii="宋体" w:hAnsi="宋体" w:eastAsia="宋体"/>
                <w:b w:val="0"/>
                <w:sz w:val="21"/>
              </w:rPr>
              <w:t>Monte Carlo次数</w:t>
            </w:r>
          </w:p>
        </w:tc>
        <w:tc>
          <w:tcPr>
            <w:tcW w:type="dxa" w:w="2160"/>
          </w:tcPr>
          <w:p>
            <w:pPr>
              <w:jc w:val="center"/>
            </w:pPr>
            <w:r/>
            <w:r>
              <w:rPr>
                <w:rFonts w:ascii="宋体" w:hAnsi="宋体" w:eastAsia="宋体"/>
                <w:b w:val="0"/>
                <w:sz w:val="21"/>
              </w:rPr>
              <w:t>N_MC</w:t>
            </w:r>
          </w:p>
        </w:tc>
        <w:tc>
          <w:tcPr>
            <w:tcW w:type="dxa" w:w="2160"/>
          </w:tcPr>
          <w:p>
            <w:pPr>
              <w:jc w:val="center"/>
            </w:pPr>
            <w:r/>
            <w:r>
              <w:rPr>
                <w:rFonts w:ascii="宋体" w:hAnsi="宋体" w:eastAsia="宋体"/>
                <w:b w:val="0"/>
                <w:sz w:val="21"/>
              </w:rPr>
              <w:t>1200</w:t>
            </w:r>
          </w:p>
        </w:tc>
        <w:tc>
          <w:tcPr>
            <w:tcW w:type="dxa" w:w="2160"/>
          </w:tcPr>
          <w:p>
            <w:pPr>
              <w:jc w:val="center"/>
            </w:pPr>
            <w:r/>
            <w:r>
              <w:rPr>
                <w:rFonts w:ascii="宋体" w:hAnsi="宋体" w:eastAsia="宋体"/>
                <w:b w:val="0"/>
                <w:sz w:val="21"/>
              </w:rPr>
              <w:t>-</w:t>
            </w:r>
          </w:p>
        </w:tc>
      </w:tr>
    </w:tbl>
    <w:p>
      <w:pPr>
        <w:spacing w:line="400" w:lineRule="exact" w:before="0" w:after="0"/>
        <w:ind w:firstLine="420"/>
        <w:jc w:val="both"/>
      </w:pPr>
      <w:r>
        <w:rPr>
          <w:rFonts w:ascii="宋体" w:hAnsi="宋体" w:eastAsia="宋体"/>
          <w:b w:val="0"/>
          <w:sz w:val="24"/>
        </w:rPr>
        <w:t>控制输入采用时变函数，模拟机器人的实际运动：v(t) = 0.75 + 0.10·cos(0.30t) m/s，δ(t) = 0.18·sin(0.22t) + 0.06·cos(0.11t) rad。该控制输入使机器人沿一条蜿蜒曲线运动，包含加速、减速和转弯等运动模式。</w:t>
      </w:r>
    </w:p>
    <w:p>
      <w:pPr>
        <w:spacing w:line="400" w:lineRule="exact" w:before="480" w:after="120"/>
        <w:jc w:val="center"/>
      </w:pPr>
      <w:r>
        <w:rPr>
          <w:rFonts w:ascii="黑体" w:hAnsi="黑体" w:eastAsia="黑体"/>
          <w:b/>
          <w:sz w:val="28"/>
        </w:rPr>
        <w:t>第二节　名义轨迹分析</w:t>
      </w:r>
    </w:p>
    <w:p>
      <w:pPr>
        <w:spacing w:line="400" w:lineRule="exact" w:before="0" w:after="0"/>
        <w:ind w:firstLine="420"/>
        <w:jc w:val="both"/>
      </w:pPr>
      <w:r>
        <w:rPr>
          <w:rFonts w:ascii="宋体" w:hAnsi="宋体" w:eastAsia="宋体"/>
          <w:b w:val="0"/>
          <w:sz w:val="24"/>
        </w:rPr>
        <w:t>图4.1展示了里程计的名义轨迹。机器人从原点出发，在控制输入的作用下沿蜿蜒曲线运动，最终到达终点 (16.505, 8.201)。轨迹上的箭头表示机器人的航向角。</w:t>
      </w:r>
    </w:p>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trajectory.png"/>
                    <pic:cNvPicPr/>
                  </pic:nvPicPr>
                  <pic:blipFill>
                    <a:blip r:embed="rId10"/>
                    <a:stretch>
                      <a:fillRect/>
                    </a:stretch>
                  </pic:blipFill>
                  <pic:spPr>
                    <a:xfrm>
                      <a:off x="0" y="0"/>
                      <a:ext cx="5029200" cy="3017520"/>
                    </a:xfrm>
                    <a:prstGeom prst="rect"/>
                  </pic:spPr>
                </pic:pic>
              </a:graphicData>
            </a:graphic>
          </wp:inline>
        </w:drawing>
      </w:r>
    </w:p>
    <w:p>
      <w:pPr>
        <w:spacing w:line="400" w:lineRule="exact" w:before="120" w:after="240"/>
        <w:jc w:val="center"/>
      </w:pPr>
      <w:r>
        <w:rPr>
          <w:rFonts w:ascii="宋体" w:hAnsi="宋体" w:eastAsia="宋体"/>
          <w:b w:val="0"/>
          <w:sz w:val="21"/>
        </w:rPr>
        <w:t>图4.1　里程计名义轨迹</w:t>
      </w:r>
    </w:p>
    <w:p>
      <w:pPr>
        <w:spacing w:line="400" w:lineRule="exact" w:before="0" w:after="0"/>
        <w:ind w:firstLine="420"/>
        <w:jc w:val="both"/>
      </w:pPr>
      <w:r>
        <w:rPr>
          <w:rFonts w:ascii="宋体" w:hAnsi="宋体" w:eastAsia="宋体"/>
          <w:b w:val="0"/>
          <w:sz w:val="24"/>
        </w:rPr>
        <w:t>图4.2展示了控制输入随时间的变化。线速度在 0.65~0.85 m/s 范围内波动，转向角在 -0.24~0.24 rad 范围内变化，模拟了机器人的加速减速和左右转弯运动。</w:t>
      </w:r>
    </w:p>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ontrols.png"/>
                    <pic:cNvPicPr/>
                  </pic:nvPicPr>
                  <pic:blipFill>
                    <a:blip r:embed="rId11"/>
                    <a:stretch>
                      <a:fillRect/>
                    </a:stretch>
                  </pic:blipFill>
                  <pic:spPr>
                    <a:xfrm>
                      <a:off x="0" y="0"/>
                      <a:ext cx="5029200" cy="3017520"/>
                    </a:xfrm>
                    <a:prstGeom prst="rect"/>
                  </pic:spPr>
                </pic:pic>
              </a:graphicData>
            </a:graphic>
          </wp:inline>
        </w:drawing>
      </w:r>
    </w:p>
    <w:p>
      <w:pPr>
        <w:spacing w:line="400" w:lineRule="exact" w:before="120" w:after="240"/>
        <w:jc w:val="center"/>
      </w:pPr>
      <w:r>
        <w:rPr>
          <w:rFonts w:ascii="宋体" w:hAnsi="宋体" w:eastAsia="宋体"/>
          <w:b w:val="0"/>
          <w:sz w:val="21"/>
        </w:rPr>
        <w:t>图4.2　控制输入随时间变化</w:t>
      </w:r>
    </w:p>
    <w:p>
      <w:pPr>
        <w:spacing w:line="400" w:lineRule="exact" w:before="480" w:after="120"/>
        <w:jc w:val="center"/>
      </w:pPr>
      <w:r>
        <w:rPr>
          <w:rFonts w:ascii="黑体" w:hAnsi="黑体" w:eastAsia="黑体"/>
          <w:b/>
          <w:sz w:val="28"/>
        </w:rPr>
        <w:t>第三节　协方差增长分析</w:t>
      </w:r>
    </w:p>
    <w:p>
      <w:pPr>
        <w:spacing w:line="400" w:lineRule="exact" w:before="0" w:after="0"/>
        <w:ind w:firstLine="420"/>
        <w:jc w:val="both"/>
      </w:pPr>
      <w:r>
        <w:rPr>
          <w:rFonts w:ascii="宋体" w:hAnsi="宋体" w:eastAsia="宋体"/>
          <w:b w:val="0"/>
          <w:sz w:val="24"/>
        </w:rPr>
        <w:t>图4.3展示了里程计误差协方差随时间的增长曲线。可以看出，三个方向的标准差均随时间单调递增，这是里程计累积误差的典型特征。其中 y 方向的标准差增长最快，最终达到 0.104 m，而 x 方向的标准差最终为 0.069 m，航向角标准差最终为 0.009 rad (0.5°)。</w:t>
      </w:r>
    </w:p>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covariance_growth.png"/>
                    <pic:cNvPicPr/>
                  </pic:nvPicPr>
                  <pic:blipFill>
                    <a:blip r:embed="rId12"/>
                    <a:stretch>
                      <a:fillRect/>
                    </a:stretch>
                  </pic:blipFill>
                  <pic:spPr>
                    <a:xfrm>
                      <a:off x="0" y="0"/>
                      <a:ext cx="5029200" cy="4023360"/>
                    </a:xfrm>
                    <a:prstGeom prst="rect"/>
                  </pic:spPr>
                </pic:pic>
              </a:graphicData>
            </a:graphic>
          </wp:inline>
        </w:drawing>
      </w:r>
    </w:p>
    <w:p>
      <w:pPr>
        <w:spacing w:line="400" w:lineRule="exact" w:before="120" w:after="240"/>
        <w:jc w:val="center"/>
      </w:pPr>
      <w:r>
        <w:rPr>
          <w:rFonts w:ascii="宋体" w:hAnsi="宋体" w:eastAsia="宋体"/>
          <w:b w:val="0"/>
          <w:sz w:val="21"/>
        </w:rPr>
        <w:t>图4.3　里程计误差协方差增长曲线</w:t>
      </w:r>
    </w:p>
    <w:p>
      <w:pPr>
        <w:spacing w:line="400" w:lineRule="exact" w:before="0" w:after="0"/>
        <w:ind w:firstLine="420"/>
        <w:jc w:val="both"/>
      </w:pPr>
      <w:r>
        <w:rPr>
          <w:rFonts w:ascii="宋体" w:hAnsi="宋体" w:eastAsia="宋体"/>
          <w:b w:val="0"/>
          <w:sz w:val="24"/>
        </w:rPr>
        <w:t>协方差增长的不均匀性与机器人的运动模式有关。当机器人沿某一方向持续运动时，该方向的误差累积较快；当机器人转弯时，航向角误差会放大位置误差的传播。</w:t>
      </w:r>
    </w:p>
    <w:p>
      <w:pPr>
        <w:spacing w:line="400" w:lineRule="exact" w:before="480" w:after="120"/>
        <w:jc w:val="center"/>
      </w:pPr>
      <w:r>
        <w:rPr>
          <w:rFonts w:ascii="黑体" w:hAnsi="黑体" w:eastAsia="黑体"/>
          <w:b/>
          <w:sz w:val="28"/>
        </w:rPr>
        <w:t>第四节　不确定度椭圆可视化</w:t>
      </w:r>
    </w:p>
    <w:p>
      <w:pPr>
        <w:spacing w:line="400" w:lineRule="exact" w:before="0" w:after="0"/>
        <w:ind w:firstLine="420"/>
        <w:jc w:val="both"/>
      </w:pPr>
      <w:r>
        <w:rPr>
          <w:rFonts w:ascii="宋体" w:hAnsi="宋体" w:eastAsia="宋体"/>
          <w:b w:val="0"/>
          <w:sz w:val="24"/>
        </w:rPr>
        <w:t>图4.4展示了不同时刻的位置不确定度椭圆（3σ）。椭圆的长轴和短轴分别对应协方差矩阵的特征向量方向，大小反映了定位不确定度。随着时间推移，椭圆逐渐增大，表示定位不确定度不断增长。椭圆的形状和方向与机器人的运动历史有关：沿运动方向的误差累积较快，垂直于运动方向的误差累积较慢。</w:t>
      </w:r>
    </w:p>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uncertainty_ellipse.png"/>
                    <pic:cNvPicPr/>
                  </pic:nvPicPr>
                  <pic:blipFill>
                    <a:blip r:embed="rId13"/>
                    <a:stretch>
                      <a:fillRect/>
                    </a:stretch>
                  </pic:blipFill>
                  <pic:spPr>
                    <a:xfrm>
                      <a:off x="0" y="0"/>
                      <a:ext cx="5029200" cy="3017520"/>
                    </a:xfrm>
                    <a:prstGeom prst="rect"/>
                  </pic:spPr>
                </pic:pic>
              </a:graphicData>
            </a:graphic>
          </wp:inline>
        </w:drawing>
      </w:r>
    </w:p>
    <w:p>
      <w:pPr>
        <w:spacing w:line="400" w:lineRule="exact" w:before="120" w:after="240"/>
        <w:jc w:val="center"/>
      </w:pPr>
      <w:r>
        <w:rPr>
          <w:rFonts w:ascii="宋体" w:hAnsi="宋体" w:eastAsia="宋体"/>
          <w:b w:val="0"/>
          <w:sz w:val="21"/>
        </w:rPr>
        <w:t>图4.4　位置不确定度椭圆 (3σ)</w:t>
      </w:r>
    </w:p>
    <w:p>
      <w:pPr>
        <w:spacing w:line="400" w:lineRule="exact" w:before="480" w:after="120"/>
        <w:jc w:val="center"/>
      </w:pPr>
      <w:r>
        <w:rPr>
          <w:rFonts w:ascii="黑体" w:hAnsi="黑体" w:eastAsia="黑体"/>
          <w:b/>
          <w:sz w:val="28"/>
        </w:rPr>
        <w:t>第五节　Monte Carlo验证</w:t>
      </w:r>
    </w:p>
    <w:p>
      <w:pPr>
        <w:spacing w:line="400" w:lineRule="exact" w:before="0" w:after="0"/>
        <w:ind w:firstLine="420"/>
        <w:jc w:val="both"/>
      </w:pPr>
      <w:r>
        <w:rPr>
          <w:rFonts w:ascii="宋体" w:hAnsi="宋体" w:eastAsia="宋体"/>
          <w:b w:val="0"/>
          <w:sz w:val="24"/>
        </w:rPr>
        <w:t>为了验证误差传导模型的正确性，采用Monte Carlo方法进行仿真验证。具体步骤如下：（1）运行名义轨迹，记录各时刻的名义状态和理论协方差；（2）进行 N_MC = 1200 次独立仿真，每次在控制输入上叠加高斯噪声；（3）在各检查点记录实际状态与名义状态的误差；（4）计算误差样本的均值和协方差，与理论值进行比较。</w:t>
      </w:r>
    </w:p>
    <w:p>
      <w:pPr>
        <w:spacing w:line="400" w:lineRule="exact" w:before="0" w:after="0"/>
        <w:ind w:firstLine="420"/>
        <w:jc w:val="both"/>
      </w:pPr>
      <w:r>
        <w:rPr>
          <w:rFonts w:ascii="宋体" w:hAnsi="宋体" w:eastAsia="宋体"/>
          <w:b w:val="0"/>
          <w:sz w:val="24"/>
        </w:rPr>
        <w:t>表4.2展示了理论标准差与Monte Carlo样本标准差的对比：</w:t>
      </w:r>
    </w:p>
    <w:p>
      <w:pPr>
        <w:spacing w:line="400" w:lineRule="exact" w:before="120" w:after="120"/>
        <w:jc w:val="center"/>
      </w:pPr>
      <w:r>
        <w:rPr>
          <w:rFonts w:ascii="宋体" w:hAnsi="宋体" w:eastAsia="宋体"/>
          <w:b w:val="0"/>
          <w:sz w:val="21"/>
        </w:rPr>
        <w:t>表4.2　理论标准差与Monte Carlo标准差对比</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宋体" w:hAnsi="宋体" w:eastAsia="宋体"/>
                <w:b/>
                <w:sz w:val="21"/>
              </w:rPr>
              <w:t>时间(s)</w:t>
            </w:r>
          </w:p>
        </w:tc>
        <w:tc>
          <w:tcPr>
            <w:tcW w:type="dxa" w:w="1234"/>
          </w:tcPr>
          <w:p>
            <w:pPr>
              <w:jc w:val="center"/>
            </w:pPr>
            <w:r/>
            <w:r>
              <w:rPr>
                <w:rFonts w:ascii="宋体" w:hAnsi="宋体" w:eastAsia="宋体"/>
                <w:b/>
                <w:sz w:val="21"/>
              </w:rPr>
              <w:t>σ_x理论(m)</w:t>
            </w:r>
          </w:p>
        </w:tc>
        <w:tc>
          <w:tcPr>
            <w:tcW w:type="dxa" w:w="1234"/>
          </w:tcPr>
          <w:p>
            <w:pPr>
              <w:jc w:val="center"/>
            </w:pPr>
            <w:r/>
            <w:r>
              <w:rPr>
                <w:rFonts w:ascii="宋体" w:hAnsi="宋体" w:eastAsia="宋体"/>
                <w:b/>
                <w:sz w:val="21"/>
              </w:rPr>
              <w:t>σ_x_MC(m)</w:t>
            </w:r>
          </w:p>
        </w:tc>
        <w:tc>
          <w:tcPr>
            <w:tcW w:type="dxa" w:w="1234"/>
          </w:tcPr>
          <w:p>
            <w:pPr>
              <w:jc w:val="center"/>
            </w:pPr>
            <w:r/>
            <w:r>
              <w:rPr>
                <w:rFonts w:ascii="宋体" w:hAnsi="宋体" w:eastAsia="宋体"/>
                <w:b/>
                <w:sz w:val="21"/>
              </w:rPr>
              <w:t>σ_y理论(m)</w:t>
            </w:r>
          </w:p>
        </w:tc>
        <w:tc>
          <w:tcPr>
            <w:tcW w:type="dxa" w:w="1234"/>
          </w:tcPr>
          <w:p>
            <w:pPr>
              <w:jc w:val="center"/>
            </w:pPr>
            <w:r/>
            <w:r>
              <w:rPr>
                <w:rFonts w:ascii="宋体" w:hAnsi="宋体" w:eastAsia="宋体"/>
                <w:b/>
                <w:sz w:val="21"/>
              </w:rPr>
              <w:t>σ_y_MC(m)</w:t>
            </w:r>
          </w:p>
        </w:tc>
        <w:tc>
          <w:tcPr>
            <w:tcW w:type="dxa" w:w="1234"/>
          </w:tcPr>
          <w:p>
            <w:pPr>
              <w:jc w:val="center"/>
            </w:pPr>
            <w:r/>
            <w:r>
              <w:rPr>
                <w:rFonts w:ascii="宋体" w:hAnsi="宋体" w:eastAsia="宋体"/>
                <w:b/>
                <w:sz w:val="21"/>
              </w:rPr>
              <w:t>σ_θ理论(deg)</w:t>
            </w:r>
          </w:p>
        </w:tc>
        <w:tc>
          <w:tcPr>
            <w:tcW w:type="dxa" w:w="1234"/>
          </w:tcPr>
          <w:p>
            <w:pPr>
              <w:jc w:val="center"/>
            </w:pPr>
            <w:r/>
            <w:r>
              <w:rPr>
                <w:rFonts w:ascii="宋体" w:hAnsi="宋体" w:eastAsia="宋体"/>
                <w:b/>
                <w:sz w:val="21"/>
              </w:rPr>
              <w:t>σ_θ_MC(deg)</w:t>
            </w:r>
          </w:p>
        </w:tc>
      </w:tr>
      <w:tr>
        <w:tc>
          <w:tcPr>
            <w:tcW w:type="dxa" w:w="1234"/>
          </w:tcPr>
          <w:p>
            <w:pPr>
              <w:jc w:val="center"/>
            </w:pPr>
            <w:r/>
            <w:r>
              <w:rPr>
                <w:rFonts w:ascii="宋体" w:hAnsi="宋体" w:eastAsia="宋体"/>
                <w:b w:val="0"/>
                <w:sz w:val="21"/>
              </w:rPr>
              <w:t>5.0</w:t>
            </w:r>
          </w:p>
        </w:tc>
        <w:tc>
          <w:tcPr>
            <w:tcW w:type="dxa" w:w="1234"/>
          </w:tcPr>
          <w:p>
            <w:pPr>
              <w:jc w:val="center"/>
            </w:pPr>
            <w:r/>
            <w:r>
              <w:rPr>
                <w:rFonts w:ascii="宋体" w:hAnsi="宋体" w:eastAsia="宋体"/>
                <w:b w:val="0"/>
                <w:sz w:val="21"/>
              </w:rPr>
              <w:t>0.0426</w:t>
            </w:r>
          </w:p>
        </w:tc>
        <w:tc>
          <w:tcPr>
            <w:tcW w:type="dxa" w:w="1234"/>
          </w:tcPr>
          <w:p>
            <w:pPr>
              <w:jc w:val="center"/>
            </w:pPr>
            <w:r/>
            <w:r>
              <w:rPr>
                <w:rFonts w:ascii="宋体" w:hAnsi="宋体" w:eastAsia="宋体"/>
                <w:b w:val="0"/>
                <w:sz w:val="21"/>
              </w:rPr>
              <w:t>0.0425</w:t>
            </w:r>
          </w:p>
        </w:tc>
        <w:tc>
          <w:tcPr>
            <w:tcW w:type="dxa" w:w="1234"/>
          </w:tcPr>
          <w:p>
            <w:pPr>
              <w:jc w:val="center"/>
            </w:pPr>
            <w:r/>
            <w:r>
              <w:rPr>
                <w:rFonts w:ascii="宋体" w:hAnsi="宋体" w:eastAsia="宋体"/>
                <w:b w:val="0"/>
                <w:sz w:val="21"/>
              </w:rPr>
              <w:t>0.0113</w:t>
            </w:r>
          </w:p>
        </w:tc>
        <w:tc>
          <w:tcPr>
            <w:tcW w:type="dxa" w:w="1234"/>
          </w:tcPr>
          <w:p>
            <w:pPr>
              <w:jc w:val="center"/>
            </w:pPr>
            <w:r/>
            <w:r>
              <w:rPr>
                <w:rFonts w:ascii="宋体" w:hAnsi="宋体" w:eastAsia="宋体"/>
                <w:b w:val="0"/>
                <w:sz w:val="21"/>
              </w:rPr>
              <w:t>0.0112</w:t>
            </w:r>
          </w:p>
        </w:tc>
        <w:tc>
          <w:tcPr>
            <w:tcW w:type="dxa" w:w="1234"/>
          </w:tcPr>
          <w:p>
            <w:pPr>
              <w:jc w:val="center"/>
            </w:pPr>
            <w:r/>
            <w:r>
              <w:rPr>
                <w:rFonts w:ascii="宋体" w:hAnsi="宋体" w:eastAsia="宋体"/>
                <w:b w:val="0"/>
                <w:sz w:val="21"/>
              </w:rPr>
              <w:t>0.2076</w:t>
            </w:r>
          </w:p>
        </w:tc>
        <w:tc>
          <w:tcPr>
            <w:tcW w:type="dxa" w:w="1234"/>
          </w:tcPr>
          <w:p>
            <w:pPr>
              <w:jc w:val="center"/>
            </w:pPr>
            <w:r/>
            <w:r>
              <w:rPr>
                <w:rFonts w:ascii="宋体" w:hAnsi="宋体" w:eastAsia="宋体"/>
                <w:b w:val="0"/>
                <w:sz w:val="21"/>
              </w:rPr>
              <w:t>0.2074</w:t>
            </w:r>
          </w:p>
        </w:tc>
      </w:tr>
      <w:tr>
        <w:tc>
          <w:tcPr>
            <w:tcW w:type="dxa" w:w="1234"/>
          </w:tcPr>
          <w:p>
            <w:pPr>
              <w:jc w:val="center"/>
            </w:pPr>
            <w:r/>
            <w:r>
              <w:rPr>
                <w:rFonts w:ascii="宋体" w:hAnsi="宋体" w:eastAsia="宋体"/>
                <w:b w:val="0"/>
                <w:sz w:val="21"/>
              </w:rPr>
              <w:t>10.0</w:t>
            </w:r>
          </w:p>
        </w:tc>
        <w:tc>
          <w:tcPr>
            <w:tcW w:type="dxa" w:w="1234"/>
          </w:tcPr>
          <w:p>
            <w:pPr>
              <w:jc w:val="center"/>
            </w:pPr>
            <w:r/>
            <w:r>
              <w:rPr>
                <w:rFonts w:ascii="宋体" w:hAnsi="宋体" w:eastAsia="宋体"/>
                <w:b w:val="0"/>
                <w:sz w:val="21"/>
              </w:rPr>
              <w:t>0.0505</w:t>
            </w:r>
          </w:p>
        </w:tc>
        <w:tc>
          <w:tcPr>
            <w:tcW w:type="dxa" w:w="1234"/>
          </w:tcPr>
          <w:p>
            <w:pPr>
              <w:jc w:val="center"/>
            </w:pPr>
            <w:r/>
            <w:r>
              <w:rPr>
                <w:rFonts w:ascii="宋体" w:hAnsi="宋体" w:eastAsia="宋体"/>
                <w:b w:val="0"/>
                <w:sz w:val="21"/>
              </w:rPr>
              <w:t>0.0502</w:t>
            </w:r>
          </w:p>
        </w:tc>
        <w:tc>
          <w:tcPr>
            <w:tcW w:type="dxa" w:w="1234"/>
          </w:tcPr>
          <w:p>
            <w:pPr>
              <w:jc w:val="center"/>
            </w:pPr>
            <w:r/>
            <w:r>
              <w:rPr>
                <w:rFonts w:ascii="宋体" w:hAnsi="宋体" w:eastAsia="宋体"/>
                <w:b w:val="0"/>
                <w:sz w:val="21"/>
              </w:rPr>
              <w:t>0.0353</w:t>
            </w:r>
          </w:p>
        </w:tc>
        <w:tc>
          <w:tcPr>
            <w:tcW w:type="dxa" w:w="1234"/>
          </w:tcPr>
          <w:p>
            <w:pPr>
              <w:jc w:val="center"/>
            </w:pPr>
            <w:r/>
            <w:r>
              <w:rPr>
                <w:rFonts w:ascii="宋体" w:hAnsi="宋体" w:eastAsia="宋体"/>
                <w:b w:val="0"/>
                <w:sz w:val="21"/>
              </w:rPr>
              <w:t>0.0348</w:t>
            </w:r>
          </w:p>
        </w:tc>
        <w:tc>
          <w:tcPr>
            <w:tcW w:type="dxa" w:w="1234"/>
          </w:tcPr>
          <w:p>
            <w:pPr>
              <w:jc w:val="center"/>
            </w:pPr>
            <w:r/>
            <w:r>
              <w:rPr>
                <w:rFonts w:ascii="宋体" w:hAnsi="宋体" w:eastAsia="宋体"/>
                <w:b w:val="0"/>
                <w:sz w:val="21"/>
              </w:rPr>
              <w:t>0.3444</w:t>
            </w:r>
          </w:p>
        </w:tc>
        <w:tc>
          <w:tcPr>
            <w:tcW w:type="dxa" w:w="1234"/>
          </w:tcPr>
          <w:p>
            <w:pPr>
              <w:jc w:val="center"/>
            </w:pPr>
            <w:r/>
            <w:r>
              <w:rPr>
                <w:rFonts w:ascii="宋体" w:hAnsi="宋体" w:eastAsia="宋体"/>
                <w:b w:val="0"/>
                <w:sz w:val="21"/>
              </w:rPr>
              <w:t>0.3415</w:t>
            </w:r>
          </w:p>
        </w:tc>
      </w:tr>
      <w:tr>
        <w:tc>
          <w:tcPr>
            <w:tcW w:type="dxa" w:w="1234"/>
          </w:tcPr>
          <w:p>
            <w:pPr>
              <w:jc w:val="center"/>
            </w:pPr>
            <w:r/>
            <w:r>
              <w:rPr>
                <w:rFonts w:ascii="宋体" w:hAnsi="宋体" w:eastAsia="宋体"/>
                <w:b w:val="0"/>
                <w:sz w:val="21"/>
              </w:rPr>
              <w:t>15.0</w:t>
            </w:r>
          </w:p>
        </w:tc>
        <w:tc>
          <w:tcPr>
            <w:tcW w:type="dxa" w:w="1234"/>
          </w:tcPr>
          <w:p>
            <w:pPr>
              <w:jc w:val="center"/>
            </w:pPr>
            <w:r/>
            <w:r>
              <w:rPr>
                <w:rFonts w:ascii="宋体" w:hAnsi="宋体" w:eastAsia="宋体"/>
                <w:b w:val="0"/>
                <w:sz w:val="21"/>
              </w:rPr>
              <w:t>0.0479</w:t>
            </w:r>
          </w:p>
        </w:tc>
        <w:tc>
          <w:tcPr>
            <w:tcW w:type="dxa" w:w="1234"/>
          </w:tcPr>
          <w:p>
            <w:pPr>
              <w:jc w:val="center"/>
            </w:pPr>
            <w:r/>
            <w:r>
              <w:rPr>
                <w:rFonts w:ascii="宋体" w:hAnsi="宋体" w:eastAsia="宋体"/>
                <w:b w:val="0"/>
                <w:sz w:val="21"/>
              </w:rPr>
              <w:t>0.0476</w:t>
            </w:r>
          </w:p>
        </w:tc>
        <w:tc>
          <w:tcPr>
            <w:tcW w:type="dxa" w:w="1234"/>
          </w:tcPr>
          <w:p>
            <w:pPr>
              <w:jc w:val="center"/>
            </w:pPr>
            <w:r/>
            <w:r>
              <w:rPr>
                <w:rFonts w:ascii="宋体" w:hAnsi="宋体" w:eastAsia="宋体"/>
                <w:b w:val="0"/>
                <w:sz w:val="21"/>
              </w:rPr>
              <w:t>0.0597</w:t>
            </w:r>
          </w:p>
        </w:tc>
        <w:tc>
          <w:tcPr>
            <w:tcW w:type="dxa" w:w="1234"/>
          </w:tcPr>
          <w:p>
            <w:pPr>
              <w:jc w:val="center"/>
            </w:pPr>
            <w:r/>
            <w:r>
              <w:rPr>
                <w:rFonts w:ascii="宋体" w:hAnsi="宋体" w:eastAsia="宋体"/>
                <w:b w:val="0"/>
                <w:sz w:val="21"/>
              </w:rPr>
              <w:t>0.0584</w:t>
            </w:r>
          </w:p>
        </w:tc>
        <w:tc>
          <w:tcPr>
            <w:tcW w:type="dxa" w:w="1234"/>
          </w:tcPr>
          <w:p>
            <w:pPr>
              <w:jc w:val="center"/>
            </w:pPr>
            <w:r/>
            <w:r>
              <w:rPr>
                <w:rFonts w:ascii="宋体" w:hAnsi="宋体" w:eastAsia="宋体"/>
                <w:b w:val="0"/>
                <w:sz w:val="21"/>
              </w:rPr>
              <w:t>0.3705</w:t>
            </w:r>
          </w:p>
        </w:tc>
        <w:tc>
          <w:tcPr>
            <w:tcW w:type="dxa" w:w="1234"/>
          </w:tcPr>
          <w:p>
            <w:pPr>
              <w:jc w:val="center"/>
            </w:pPr>
            <w:r/>
            <w:r>
              <w:rPr>
                <w:rFonts w:ascii="宋体" w:hAnsi="宋体" w:eastAsia="宋体"/>
                <w:b w:val="0"/>
                <w:sz w:val="21"/>
              </w:rPr>
              <w:t>0.3651</w:t>
            </w:r>
          </w:p>
        </w:tc>
      </w:tr>
      <w:tr>
        <w:tc>
          <w:tcPr>
            <w:tcW w:type="dxa" w:w="1234"/>
          </w:tcPr>
          <w:p>
            <w:pPr>
              <w:jc w:val="center"/>
            </w:pPr>
            <w:r/>
            <w:r>
              <w:rPr>
                <w:rFonts w:ascii="宋体" w:hAnsi="宋体" w:eastAsia="宋体"/>
                <w:b w:val="0"/>
                <w:sz w:val="21"/>
              </w:rPr>
              <w:t>20.0</w:t>
            </w:r>
          </w:p>
        </w:tc>
        <w:tc>
          <w:tcPr>
            <w:tcW w:type="dxa" w:w="1234"/>
          </w:tcPr>
          <w:p>
            <w:pPr>
              <w:jc w:val="center"/>
            </w:pPr>
            <w:r/>
            <w:r>
              <w:rPr>
                <w:rFonts w:ascii="宋体" w:hAnsi="宋体" w:eastAsia="宋体"/>
                <w:b w:val="0"/>
                <w:sz w:val="21"/>
              </w:rPr>
              <w:t>0.0521</w:t>
            </w:r>
          </w:p>
        </w:tc>
        <w:tc>
          <w:tcPr>
            <w:tcW w:type="dxa" w:w="1234"/>
          </w:tcPr>
          <w:p>
            <w:pPr>
              <w:jc w:val="center"/>
            </w:pPr>
            <w:r/>
            <w:r>
              <w:rPr>
                <w:rFonts w:ascii="宋体" w:hAnsi="宋体" w:eastAsia="宋体"/>
                <w:b w:val="0"/>
                <w:sz w:val="21"/>
              </w:rPr>
              <w:t>0.0521</w:t>
            </w:r>
          </w:p>
        </w:tc>
        <w:tc>
          <w:tcPr>
            <w:tcW w:type="dxa" w:w="1234"/>
          </w:tcPr>
          <w:p>
            <w:pPr>
              <w:jc w:val="center"/>
            </w:pPr>
            <w:r/>
            <w:r>
              <w:rPr>
                <w:rFonts w:ascii="宋体" w:hAnsi="宋体" w:eastAsia="宋体"/>
                <w:b w:val="0"/>
                <w:sz w:val="21"/>
              </w:rPr>
              <w:t>0.0820</w:t>
            </w:r>
          </w:p>
        </w:tc>
        <w:tc>
          <w:tcPr>
            <w:tcW w:type="dxa" w:w="1234"/>
          </w:tcPr>
          <w:p>
            <w:pPr>
              <w:jc w:val="center"/>
            </w:pPr>
            <w:r/>
            <w:r>
              <w:rPr>
                <w:rFonts w:ascii="宋体" w:hAnsi="宋体" w:eastAsia="宋体"/>
                <w:b w:val="0"/>
                <w:sz w:val="21"/>
              </w:rPr>
              <w:t>0.0811</w:t>
            </w:r>
          </w:p>
        </w:tc>
        <w:tc>
          <w:tcPr>
            <w:tcW w:type="dxa" w:w="1234"/>
          </w:tcPr>
          <w:p>
            <w:pPr>
              <w:jc w:val="center"/>
            </w:pPr>
            <w:r/>
            <w:r>
              <w:rPr>
                <w:rFonts w:ascii="宋体" w:hAnsi="宋体" w:eastAsia="宋体"/>
                <w:b w:val="0"/>
                <w:sz w:val="21"/>
              </w:rPr>
              <w:t>0.4178</w:t>
            </w:r>
          </w:p>
        </w:tc>
        <w:tc>
          <w:tcPr>
            <w:tcW w:type="dxa" w:w="1234"/>
          </w:tcPr>
          <w:p>
            <w:pPr>
              <w:jc w:val="center"/>
            </w:pPr>
            <w:r/>
            <w:r>
              <w:rPr>
                <w:rFonts w:ascii="宋体" w:hAnsi="宋体" w:eastAsia="宋体"/>
                <w:b w:val="0"/>
                <w:sz w:val="21"/>
              </w:rPr>
              <w:t>0.4114</w:t>
            </w:r>
          </w:p>
        </w:tc>
      </w:tr>
      <w:tr>
        <w:tc>
          <w:tcPr>
            <w:tcW w:type="dxa" w:w="1234"/>
          </w:tcPr>
          <w:p>
            <w:pPr>
              <w:jc w:val="center"/>
            </w:pPr>
            <w:r/>
            <w:r>
              <w:rPr>
                <w:rFonts w:ascii="宋体" w:hAnsi="宋体" w:eastAsia="宋体"/>
                <w:b w:val="0"/>
                <w:sz w:val="21"/>
              </w:rPr>
              <w:t>25.0</w:t>
            </w:r>
          </w:p>
        </w:tc>
        <w:tc>
          <w:tcPr>
            <w:tcW w:type="dxa" w:w="1234"/>
          </w:tcPr>
          <w:p>
            <w:pPr>
              <w:jc w:val="center"/>
            </w:pPr>
            <w:r/>
            <w:r>
              <w:rPr>
                <w:rFonts w:ascii="宋体" w:hAnsi="宋体" w:eastAsia="宋体"/>
                <w:b w:val="0"/>
                <w:sz w:val="21"/>
              </w:rPr>
              <w:t>0.0685</w:t>
            </w:r>
          </w:p>
        </w:tc>
        <w:tc>
          <w:tcPr>
            <w:tcW w:type="dxa" w:w="1234"/>
          </w:tcPr>
          <w:p>
            <w:pPr>
              <w:jc w:val="center"/>
            </w:pPr>
            <w:r/>
            <w:r>
              <w:rPr>
                <w:rFonts w:ascii="宋体" w:hAnsi="宋体" w:eastAsia="宋体"/>
                <w:b w:val="0"/>
                <w:sz w:val="21"/>
              </w:rPr>
              <w:t>0.0681</w:t>
            </w:r>
          </w:p>
        </w:tc>
        <w:tc>
          <w:tcPr>
            <w:tcW w:type="dxa" w:w="1234"/>
          </w:tcPr>
          <w:p>
            <w:pPr>
              <w:jc w:val="center"/>
            </w:pPr>
            <w:r/>
            <w:r>
              <w:rPr>
                <w:rFonts w:ascii="宋体" w:hAnsi="宋体" w:eastAsia="宋体"/>
                <w:b w:val="0"/>
                <w:sz w:val="21"/>
              </w:rPr>
              <w:t>0.1042</w:t>
            </w:r>
          </w:p>
        </w:tc>
        <w:tc>
          <w:tcPr>
            <w:tcW w:type="dxa" w:w="1234"/>
          </w:tcPr>
          <w:p>
            <w:pPr>
              <w:jc w:val="center"/>
            </w:pPr>
            <w:r/>
            <w:r>
              <w:rPr>
                <w:rFonts w:ascii="宋体" w:hAnsi="宋体" w:eastAsia="宋体"/>
                <w:b w:val="0"/>
                <w:sz w:val="21"/>
              </w:rPr>
              <w:t>0.1028</w:t>
            </w:r>
          </w:p>
        </w:tc>
        <w:tc>
          <w:tcPr>
            <w:tcW w:type="dxa" w:w="1234"/>
          </w:tcPr>
          <w:p>
            <w:pPr>
              <w:jc w:val="center"/>
            </w:pPr>
            <w:r/>
            <w:r>
              <w:rPr>
                <w:rFonts w:ascii="宋体" w:hAnsi="宋体" w:eastAsia="宋体"/>
                <w:b w:val="0"/>
                <w:sz w:val="21"/>
              </w:rPr>
              <w:t>0.5054</w:t>
            </w:r>
          </w:p>
        </w:tc>
        <w:tc>
          <w:tcPr>
            <w:tcW w:type="dxa" w:w="1234"/>
          </w:tcPr>
          <w:p>
            <w:pPr>
              <w:jc w:val="center"/>
            </w:pPr>
            <w:r/>
            <w:r>
              <w:rPr>
                <w:rFonts w:ascii="宋体" w:hAnsi="宋体" w:eastAsia="宋体"/>
                <w:b w:val="0"/>
                <w:sz w:val="21"/>
              </w:rPr>
              <w:t>0.5001</w:t>
            </w:r>
          </w:p>
        </w:tc>
      </w:tr>
    </w:tbl>
    <w:p>
      <w:pPr>
        <w:spacing w:line="400" w:lineRule="exact" w:before="120" w:after="120"/>
        <w:jc w:val="center"/>
      </w:pPr>
      <w:r>
        <w:rPr>
          <w:rFonts w:ascii="宋体" w:hAnsi="宋体" w:eastAsia="宋体"/>
          <w:b w:val="0"/>
          <w:sz w:val="24"/>
        </w:rPr>
        <w:drawing>
          <wp:inline xmlns:a="http://schemas.openxmlformats.org/drawingml/2006/main" xmlns:pic="http://schemas.openxmlformats.org/drawingml/2006/picture">
            <wp:extent cx="5029200" cy="1436914"/>
            <wp:docPr id="6" name="Picture 6"/>
            <wp:cNvGraphicFramePr>
              <a:graphicFrameLocks noChangeAspect="1"/>
            </wp:cNvGraphicFramePr>
            <a:graphic>
              <a:graphicData uri="http://schemas.openxmlformats.org/drawingml/2006/picture">
                <pic:pic>
                  <pic:nvPicPr>
                    <pic:cNvPr id="0" name="mc_comparison.png"/>
                    <pic:cNvPicPr/>
                  </pic:nvPicPr>
                  <pic:blipFill>
                    <a:blip r:embed="rId14"/>
                    <a:stretch>
                      <a:fillRect/>
                    </a:stretch>
                  </pic:blipFill>
                  <pic:spPr>
                    <a:xfrm>
                      <a:off x="0" y="0"/>
                      <a:ext cx="5029200" cy="1436914"/>
                    </a:xfrm>
                    <a:prstGeom prst="rect"/>
                  </pic:spPr>
                </pic:pic>
              </a:graphicData>
            </a:graphic>
          </wp:inline>
        </w:drawing>
      </w:r>
    </w:p>
    <w:p>
      <w:pPr>
        <w:spacing w:line="400" w:lineRule="exact" w:before="120" w:after="240"/>
        <w:jc w:val="center"/>
      </w:pPr>
      <w:r>
        <w:rPr>
          <w:rFonts w:ascii="宋体" w:hAnsi="宋体" w:eastAsia="宋体"/>
          <w:b w:val="0"/>
          <w:sz w:val="21"/>
        </w:rPr>
        <w:t>图4.5　理论标准差与Monte Carlo标准差对比</w:t>
      </w:r>
    </w:p>
    <w:p>
      <w:pPr>
        <w:spacing w:line="400" w:lineRule="exact" w:before="0" w:after="0"/>
        <w:ind w:firstLine="420"/>
        <w:jc w:val="both"/>
      </w:pPr>
      <w:r>
        <w:rPr>
          <w:rFonts w:ascii="宋体" w:hAnsi="宋体" w:eastAsia="宋体"/>
          <w:b w:val="0"/>
          <w:sz w:val="24"/>
        </w:rPr>
        <w:t>表4.3展示了Monte Carlo样本的误差均值：</w:t>
      </w:r>
    </w:p>
    <w:p>
      <w:pPr>
        <w:spacing w:line="400" w:lineRule="exact" w:before="120" w:after="120"/>
        <w:jc w:val="center"/>
      </w:pPr>
      <w:r>
        <w:rPr>
          <w:rFonts w:ascii="宋体" w:hAnsi="宋体" w:eastAsia="宋体"/>
          <w:b w:val="0"/>
          <w:sz w:val="21"/>
        </w:rPr>
        <w:t>表4.3　Monte Carlo样本误差均值</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21"/>
              </w:rPr>
              <w:t>时间(s)</w:t>
            </w:r>
          </w:p>
        </w:tc>
        <w:tc>
          <w:tcPr>
            <w:tcW w:type="dxa" w:w="2160"/>
          </w:tcPr>
          <w:p>
            <w:pPr>
              <w:jc w:val="center"/>
            </w:pPr>
            <w:r/>
            <w:r>
              <w:rPr>
                <w:rFonts w:ascii="宋体" w:hAnsi="宋体" w:eastAsia="宋体"/>
                <w:b/>
                <w:sz w:val="21"/>
              </w:rPr>
              <w:t>均值误差 e_x (m)</w:t>
            </w:r>
          </w:p>
        </w:tc>
        <w:tc>
          <w:tcPr>
            <w:tcW w:type="dxa" w:w="2160"/>
          </w:tcPr>
          <w:p>
            <w:pPr>
              <w:jc w:val="center"/>
            </w:pPr>
            <w:r/>
            <w:r>
              <w:rPr>
                <w:rFonts w:ascii="宋体" w:hAnsi="宋体" w:eastAsia="宋体"/>
                <w:b/>
                <w:sz w:val="21"/>
              </w:rPr>
              <w:t>均值误差 e_y (m)</w:t>
            </w:r>
          </w:p>
        </w:tc>
        <w:tc>
          <w:tcPr>
            <w:tcW w:type="dxa" w:w="2160"/>
          </w:tcPr>
          <w:p>
            <w:pPr>
              <w:jc w:val="center"/>
            </w:pPr>
            <w:r/>
            <w:r>
              <w:rPr>
                <w:rFonts w:ascii="宋体" w:hAnsi="宋体" w:eastAsia="宋体"/>
                <w:b/>
                <w:sz w:val="21"/>
              </w:rPr>
              <w:t>均值误差 e_θ (deg)</w:t>
            </w:r>
          </w:p>
        </w:tc>
      </w:tr>
      <w:tr>
        <w:tc>
          <w:tcPr>
            <w:tcW w:type="dxa" w:w="2160"/>
          </w:tcPr>
          <w:p>
            <w:pPr>
              <w:jc w:val="center"/>
            </w:pPr>
            <w:r/>
            <w:r>
              <w:rPr>
                <w:rFonts w:ascii="宋体" w:hAnsi="宋体" w:eastAsia="宋体"/>
                <w:b w:val="0"/>
                <w:sz w:val="21"/>
              </w:rPr>
              <w:t>5.0</w:t>
            </w:r>
          </w:p>
        </w:tc>
        <w:tc>
          <w:tcPr>
            <w:tcW w:type="dxa" w:w="2160"/>
          </w:tcPr>
          <w:p>
            <w:pPr>
              <w:jc w:val="center"/>
            </w:pPr>
            <w:r/>
            <w:r>
              <w:rPr>
                <w:rFonts w:ascii="宋体" w:hAnsi="宋体" w:eastAsia="宋体"/>
                <w:b w:val="0"/>
                <w:sz w:val="21"/>
              </w:rPr>
              <w:t>-0.0002</w:t>
            </w:r>
          </w:p>
        </w:tc>
        <w:tc>
          <w:tcPr>
            <w:tcW w:type="dxa" w:w="2160"/>
          </w:tcPr>
          <w:p>
            <w:pPr>
              <w:jc w:val="center"/>
            </w:pPr>
            <w:r/>
            <w:r>
              <w:rPr>
                <w:rFonts w:ascii="宋体" w:hAnsi="宋体" w:eastAsia="宋体"/>
                <w:b w:val="0"/>
                <w:sz w:val="21"/>
              </w:rPr>
              <w:t>-0.0001</w:t>
            </w:r>
          </w:p>
        </w:tc>
        <w:tc>
          <w:tcPr>
            <w:tcW w:type="dxa" w:w="2160"/>
          </w:tcPr>
          <w:p>
            <w:pPr>
              <w:jc w:val="center"/>
            </w:pPr>
            <w:r/>
            <w:r>
              <w:rPr>
                <w:rFonts w:ascii="宋体" w:hAnsi="宋体" w:eastAsia="宋体"/>
                <w:b w:val="0"/>
                <w:sz w:val="21"/>
              </w:rPr>
              <w:t>-0.0034</w:t>
            </w:r>
          </w:p>
        </w:tc>
      </w:tr>
      <w:tr>
        <w:tc>
          <w:tcPr>
            <w:tcW w:type="dxa" w:w="2160"/>
          </w:tcPr>
          <w:p>
            <w:pPr>
              <w:jc w:val="center"/>
            </w:pPr>
            <w:r/>
            <w:r>
              <w:rPr>
                <w:rFonts w:ascii="宋体" w:hAnsi="宋体" w:eastAsia="宋体"/>
                <w:b w:val="0"/>
                <w:sz w:val="21"/>
              </w:rPr>
              <w:t>10.0</w:t>
            </w:r>
          </w:p>
        </w:tc>
        <w:tc>
          <w:tcPr>
            <w:tcW w:type="dxa" w:w="2160"/>
          </w:tcPr>
          <w:p>
            <w:pPr>
              <w:jc w:val="center"/>
            </w:pPr>
            <w:r/>
            <w:r>
              <w:rPr>
                <w:rFonts w:ascii="宋体" w:hAnsi="宋体" w:eastAsia="宋体"/>
                <w:b w:val="0"/>
                <w:sz w:val="21"/>
              </w:rPr>
              <w:t>-0.0000</w:t>
            </w:r>
          </w:p>
        </w:tc>
        <w:tc>
          <w:tcPr>
            <w:tcW w:type="dxa" w:w="2160"/>
          </w:tcPr>
          <w:p>
            <w:pPr>
              <w:jc w:val="center"/>
            </w:pPr>
            <w:r/>
            <w:r>
              <w:rPr>
                <w:rFonts w:ascii="宋体" w:hAnsi="宋体" w:eastAsia="宋体"/>
                <w:b w:val="0"/>
                <w:sz w:val="21"/>
              </w:rPr>
              <w:t>-0.0000</w:t>
            </w:r>
          </w:p>
        </w:tc>
        <w:tc>
          <w:tcPr>
            <w:tcW w:type="dxa" w:w="2160"/>
          </w:tcPr>
          <w:p>
            <w:pPr>
              <w:jc w:val="center"/>
            </w:pPr>
            <w:r/>
            <w:r>
              <w:rPr>
                <w:rFonts w:ascii="宋体" w:hAnsi="宋体" w:eastAsia="宋体"/>
                <w:b w:val="0"/>
                <w:sz w:val="21"/>
              </w:rPr>
              <w:t>-0.0004</w:t>
            </w:r>
          </w:p>
        </w:tc>
      </w:tr>
      <w:tr>
        <w:tc>
          <w:tcPr>
            <w:tcW w:type="dxa" w:w="2160"/>
          </w:tcPr>
          <w:p>
            <w:pPr>
              <w:jc w:val="center"/>
            </w:pPr>
            <w:r/>
            <w:r>
              <w:rPr>
                <w:rFonts w:ascii="宋体" w:hAnsi="宋体" w:eastAsia="宋体"/>
                <w:b w:val="0"/>
                <w:sz w:val="21"/>
              </w:rPr>
              <w:t>15.0</w:t>
            </w:r>
          </w:p>
        </w:tc>
        <w:tc>
          <w:tcPr>
            <w:tcW w:type="dxa" w:w="2160"/>
          </w:tcPr>
          <w:p>
            <w:pPr>
              <w:jc w:val="center"/>
            </w:pPr>
            <w:r/>
            <w:r>
              <w:rPr>
                <w:rFonts w:ascii="宋体" w:hAnsi="宋体" w:eastAsia="宋体"/>
                <w:b w:val="0"/>
                <w:sz w:val="21"/>
              </w:rPr>
              <w:t>0.0009</w:t>
            </w:r>
          </w:p>
        </w:tc>
        <w:tc>
          <w:tcPr>
            <w:tcW w:type="dxa" w:w="2160"/>
          </w:tcPr>
          <w:p>
            <w:pPr>
              <w:jc w:val="center"/>
            </w:pPr>
            <w:r/>
            <w:r>
              <w:rPr>
                <w:rFonts w:ascii="宋体" w:hAnsi="宋体" w:eastAsia="宋体"/>
                <w:b w:val="0"/>
                <w:sz w:val="21"/>
              </w:rPr>
              <w:t>0.0013</w:t>
            </w:r>
          </w:p>
        </w:tc>
        <w:tc>
          <w:tcPr>
            <w:tcW w:type="dxa" w:w="2160"/>
          </w:tcPr>
          <w:p>
            <w:pPr>
              <w:jc w:val="center"/>
            </w:pPr>
            <w:r/>
            <w:r>
              <w:rPr>
                <w:rFonts w:ascii="宋体" w:hAnsi="宋体" w:eastAsia="宋体"/>
                <w:b w:val="0"/>
                <w:sz w:val="21"/>
              </w:rPr>
              <w:t>0.0070</w:t>
            </w:r>
          </w:p>
        </w:tc>
      </w:tr>
      <w:tr>
        <w:tc>
          <w:tcPr>
            <w:tcW w:type="dxa" w:w="2160"/>
          </w:tcPr>
          <w:p>
            <w:pPr>
              <w:jc w:val="center"/>
            </w:pPr>
            <w:r/>
            <w:r>
              <w:rPr>
                <w:rFonts w:ascii="宋体" w:hAnsi="宋体" w:eastAsia="宋体"/>
                <w:b w:val="0"/>
                <w:sz w:val="21"/>
              </w:rPr>
              <w:t>20.0</w:t>
            </w:r>
          </w:p>
        </w:tc>
        <w:tc>
          <w:tcPr>
            <w:tcW w:type="dxa" w:w="2160"/>
          </w:tcPr>
          <w:p>
            <w:pPr>
              <w:jc w:val="center"/>
            </w:pPr>
            <w:r/>
            <w:r>
              <w:rPr>
                <w:rFonts w:ascii="宋体" w:hAnsi="宋体" w:eastAsia="宋体"/>
                <w:b w:val="0"/>
                <w:sz w:val="21"/>
              </w:rPr>
              <w:t>0.0009</w:t>
            </w:r>
          </w:p>
        </w:tc>
        <w:tc>
          <w:tcPr>
            <w:tcW w:type="dxa" w:w="2160"/>
          </w:tcPr>
          <w:p>
            <w:pPr>
              <w:jc w:val="center"/>
            </w:pPr>
            <w:r/>
            <w:r>
              <w:rPr>
                <w:rFonts w:ascii="宋体" w:hAnsi="宋体" w:eastAsia="宋体"/>
                <w:b w:val="0"/>
                <w:sz w:val="21"/>
              </w:rPr>
              <w:t>0.0020</w:t>
            </w:r>
          </w:p>
        </w:tc>
        <w:tc>
          <w:tcPr>
            <w:tcW w:type="dxa" w:w="2160"/>
          </w:tcPr>
          <w:p>
            <w:pPr>
              <w:jc w:val="center"/>
            </w:pPr>
            <w:r/>
            <w:r>
              <w:rPr>
                <w:rFonts w:ascii="宋体" w:hAnsi="宋体" w:eastAsia="宋体"/>
                <w:b w:val="0"/>
                <w:sz w:val="21"/>
              </w:rPr>
              <w:t>0.0098</w:t>
            </w:r>
          </w:p>
        </w:tc>
      </w:tr>
      <w:tr>
        <w:tc>
          <w:tcPr>
            <w:tcW w:type="dxa" w:w="2160"/>
          </w:tcPr>
          <w:p>
            <w:pPr>
              <w:jc w:val="center"/>
            </w:pPr>
            <w:r/>
            <w:r>
              <w:rPr>
                <w:rFonts w:ascii="宋体" w:hAnsi="宋体" w:eastAsia="宋体"/>
                <w:b w:val="0"/>
                <w:sz w:val="21"/>
              </w:rPr>
              <w:t>25.0</w:t>
            </w:r>
          </w:p>
        </w:tc>
        <w:tc>
          <w:tcPr>
            <w:tcW w:type="dxa" w:w="2160"/>
          </w:tcPr>
          <w:p>
            <w:pPr>
              <w:jc w:val="center"/>
            </w:pPr>
            <w:r/>
            <w:r>
              <w:rPr>
                <w:rFonts w:ascii="宋体" w:hAnsi="宋体" w:eastAsia="宋体"/>
                <w:b w:val="0"/>
                <w:sz w:val="21"/>
              </w:rPr>
              <w:t>0.0001</w:t>
            </w:r>
          </w:p>
        </w:tc>
        <w:tc>
          <w:tcPr>
            <w:tcW w:type="dxa" w:w="2160"/>
          </w:tcPr>
          <w:p>
            <w:pPr>
              <w:jc w:val="center"/>
            </w:pPr>
            <w:r/>
            <w:r>
              <w:rPr>
                <w:rFonts w:ascii="宋体" w:hAnsi="宋体" w:eastAsia="宋体"/>
                <w:b w:val="0"/>
                <w:sz w:val="21"/>
              </w:rPr>
              <w:t>0.0024</w:t>
            </w:r>
          </w:p>
        </w:tc>
        <w:tc>
          <w:tcPr>
            <w:tcW w:type="dxa" w:w="2160"/>
          </w:tcPr>
          <w:p>
            <w:pPr>
              <w:jc w:val="center"/>
            </w:pPr>
            <w:r/>
            <w:r>
              <w:rPr>
                <w:rFonts w:ascii="宋体" w:hAnsi="宋体" w:eastAsia="宋体"/>
                <w:b w:val="0"/>
                <w:sz w:val="21"/>
              </w:rPr>
              <w:t>0.0081</w:t>
            </w:r>
          </w:p>
        </w:tc>
      </w:tr>
    </w:tbl>
    <w:p>
      <w:pPr>
        <w:spacing w:line="400" w:lineRule="exact" w:before="480" w:after="120"/>
        <w:jc w:val="center"/>
      </w:pPr>
      <w:r>
        <w:rPr>
          <w:rFonts w:ascii="黑体" w:hAnsi="黑体" w:eastAsia="黑体"/>
          <w:b/>
          <w:sz w:val="28"/>
        </w:rPr>
        <w:t>第六节　结果分析</w:t>
      </w:r>
    </w:p>
    <w:p>
      <w:pPr>
        <w:spacing w:line="400" w:lineRule="exact" w:before="0" w:after="0"/>
        <w:ind w:firstLine="420"/>
        <w:jc w:val="both"/>
      </w:pPr>
      <w:r>
        <w:rPr>
          <w:rFonts w:ascii="宋体" w:hAnsi="宋体" w:eastAsia="宋体"/>
          <w:b w:val="0"/>
          <w:sz w:val="24"/>
        </w:rPr>
        <w:t>从表4.2和图4.5可以看出，理论预测的标准差与Monte Carlo实验结果高度吻合：</w:t>
      </w:r>
    </w:p>
    <w:p>
      <w:pPr>
        <w:spacing w:line="400" w:lineRule="exact" w:before="0" w:after="0"/>
        <w:ind w:firstLine="420"/>
        <w:jc w:val="both"/>
      </w:pPr>
      <w:r>
        <w:rPr>
          <w:rFonts w:ascii="宋体" w:hAnsi="宋体" w:eastAsia="宋体"/>
          <w:b w:val="0"/>
          <w:sz w:val="24"/>
        </w:rPr>
        <w:t>（1）x 方向标准差的平均相对偏差为 0.41%；</w:t>
      </w:r>
    </w:p>
    <w:p>
      <w:pPr>
        <w:spacing w:line="400" w:lineRule="exact" w:before="0" w:after="0"/>
        <w:ind w:firstLine="420"/>
        <w:jc w:val="both"/>
      </w:pPr>
      <w:r>
        <w:rPr>
          <w:rFonts w:ascii="宋体" w:hAnsi="宋体" w:eastAsia="宋体"/>
          <w:b w:val="0"/>
          <w:sz w:val="24"/>
        </w:rPr>
        <w:t>（2）y 方向标准差的平均相对偏差为 1.27%；</w:t>
      </w:r>
    </w:p>
    <w:p>
      <w:pPr>
        <w:spacing w:line="400" w:lineRule="exact" w:before="0" w:after="0"/>
        <w:ind w:firstLine="420"/>
        <w:jc w:val="both"/>
      </w:pPr>
      <w:r>
        <w:rPr>
          <w:rFonts w:ascii="宋体" w:hAnsi="宋体" w:eastAsia="宋体"/>
          <w:b w:val="0"/>
          <w:sz w:val="24"/>
        </w:rPr>
        <w:t>（3）航向角标准差的平均相对偏差为 0.99%。</w:t>
      </w:r>
    </w:p>
    <w:p>
      <w:pPr>
        <w:spacing w:line="400" w:lineRule="exact" w:before="0" w:after="0"/>
        <w:ind w:firstLine="420"/>
        <w:jc w:val="both"/>
      </w:pPr>
      <w:r>
        <w:rPr>
          <w:rFonts w:ascii="宋体" w:hAnsi="宋体" w:eastAsia="宋体"/>
          <w:b w:val="0"/>
          <w:sz w:val="24"/>
        </w:rPr>
        <w:t>所有相对偏差均在 2% 以内，说明误差传导模型能够准确预测定位不确定度。偏差的主要来源包括：Monte Carlo采样的有限样本误差、线性化近似的高阶截断误差等。</w:t>
      </w:r>
    </w:p>
    <w:p>
      <w:pPr>
        <w:spacing w:line="400" w:lineRule="exact" w:before="0" w:after="0"/>
        <w:ind w:firstLine="420"/>
        <w:jc w:val="both"/>
      </w:pPr>
      <w:r>
        <w:rPr>
          <w:rFonts w:ascii="宋体" w:hAnsi="宋体" w:eastAsia="宋体"/>
          <w:b w:val="0"/>
          <w:sz w:val="24"/>
        </w:rPr>
        <w:t>从表4.3可以看出，Monte Carlo样本的误差均值接近于零（均小于 0.003 m 或 0.01°），这与噪声为零均值的假设一致。误差均值的非零值主要来自Monte Carlo采样的随机波动，随着采样次数的增加，均值会趋近于零。</w:t>
      </w:r>
    </w:p>
    <w:p>
      <w:pPr>
        <w:spacing w:line="400" w:lineRule="exact" w:before="0" w:after="0"/>
        <w:ind w:firstLine="420"/>
        <w:jc w:val="both"/>
      </w:pPr>
      <w:r>
        <w:rPr>
          <w:rFonts w:ascii="宋体" w:hAnsi="宋体" w:eastAsia="宋体"/>
          <w:b w:val="0"/>
          <w:sz w:val="24"/>
        </w:rPr>
        <w:t>最终时刻（t=25s）的理论 3σ 范围约为：x 方向 0.205 m，y 方向 0.313 m，航向角 1.516°。这意味着在 99.7% 的置信度下，里程计的定位误差不会超过这个范围。</w:t>
      </w:r>
    </w:p>
    <w:p>
      <w:pPr>
        <w:spacing w:line="400" w:lineRule="exact" w:before="480" w:after="360"/>
        <w:jc w:val="center"/>
      </w:pPr>
      <w:r>
        <w:rPr>
          <w:rFonts w:ascii="黑体" w:hAnsi="黑体" w:eastAsia="黑体"/>
          <w:b/>
          <w:sz w:val="32"/>
        </w:rPr>
        <w:t>第五章　结论</w:t>
      </w:r>
    </w:p>
    <w:p>
      <w:pPr>
        <w:spacing w:line="400" w:lineRule="exact" w:before="0" w:after="0"/>
        <w:ind w:firstLine="420"/>
        <w:jc w:val="both"/>
      </w:pPr>
      <w:r>
        <w:rPr>
          <w:rFonts w:ascii="宋体" w:hAnsi="宋体" w:eastAsia="宋体"/>
          <w:b w:val="0"/>
          <w:sz w:val="24"/>
        </w:rPr>
        <w:t>本文针对三轮叉车式移动机器人，完成了里程计模型和误差传导模型的构建与验证。主要结论如下：</w:t>
      </w:r>
    </w:p>
    <w:p>
      <w:pPr>
        <w:spacing w:line="400" w:lineRule="exact" w:before="0" w:after="0"/>
        <w:ind w:firstLine="420"/>
        <w:jc w:val="both"/>
      </w:pPr>
      <w:r>
        <w:rPr>
          <w:rFonts w:ascii="宋体" w:hAnsi="宋体" w:eastAsia="宋体"/>
          <w:b w:val="0"/>
          <w:sz w:val="24"/>
        </w:rPr>
        <w:t>（1）基于阿克曼转向几何和自行车运动学模型，推导了叉车的里程计模型。采用中点积分形式实现离散化更新，相比欧拉积分具有更高的数值精度，特别是在机器人进行转弯运动时能够有效减小积分误差。</w:t>
      </w:r>
    </w:p>
    <w:p>
      <w:pPr>
        <w:spacing w:line="400" w:lineRule="exact" w:before="0" w:after="0"/>
        <w:ind w:firstLine="420"/>
        <w:jc w:val="both"/>
      </w:pPr>
      <w:r>
        <w:rPr>
          <w:rFonts w:ascii="宋体" w:hAnsi="宋体" w:eastAsia="宋体"/>
          <w:b w:val="0"/>
          <w:sz w:val="24"/>
        </w:rPr>
        <w:t>（2）通过对里程计模型进行一阶线性化，推导了误差传导的雅可比矩阵，建立了基于协方差传播的误差模型。该模型能够实时预测定位不确定度，为移动机器人的定位精度评估和传感器融合提供了理论基础。</w:t>
      </w:r>
    </w:p>
    <w:p>
      <w:pPr>
        <w:spacing w:line="400" w:lineRule="exact" w:before="0" w:after="0"/>
        <w:ind w:firstLine="420"/>
        <w:jc w:val="both"/>
      </w:pPr>
      <w:r>
        <w:rPr>
          <w:rFonts w:ascii="宋体" w:hAnsi="宋体" w:eastAsia="宋体"/>
          <w:b w:val="0"/>
          <w:sz w:val="24"/>
        </w:rPr>
        <w:t>（3）通过Monte Carlo仿真实验验证了误差传导模型的正确性。理论预测的标准差与实验结果高度吻合，相对偏差在 2% 以内，误差均值接近于零，验证了模型的准确性和噪声假设的合理性。</w:t>
      </w:r>
    </w:p>
    <w:p>
      <w:pPr>
        <w:spacing w:line="400" w:lineRule="exact" w:before="0" w:after="0"/>
        <w:ind w:firstLine="420"/>
        <w:jc w:val="both"/>
      </w:pPr>
      <w:r>
        <w:rPr>
          <w:rFonts w:ascii="宋体" w:hAnsi="宋体" w:eastAsia="宋体"/>
          <w:b w:val="0"/>
          <w:sz w:val="24"/>
        </w:rPr>
        <w:t>（4）仿真结果表明，里程计误差随时间单调累积，25秒后位置不确定度达到约 0.1 m 量级。这验证了里程计需要与其他传感器（如GPS、激光雷达、视觉等）进行融合，以消除累积误差，实现长期稳定的定位。</w:t>
      </w:r>
    </w:p>
    <w:p>
      <w:pPr>
        <w:spacing w:line="400" w:lineRule="exact" w:before="0" w:after="0"/>
        <w:ind w:firstLine="420"/>
        <w:jc w:val="both"/>
      </w:pPr>
      <w:r>
        <w:rPr>
          <w:rFonts w:ascii="宋体" w:hAnsi="宋体" w:eastAsia="宋体"/>
          <w:b w:val="0"/>
          <w:sz w:val="24"/>
        </w:rPr>
        <w:t>未来的工作可以考虑以下方向：引入更精确的噪声模型，考虑车轮打滑、地面不平等因素；将误差传导模型扩展到动态模型，考虑机器人的动力学特性；基于误差传导模型设计传感器融合算法，如扩展卡尔曼滤波（EKF）等。</w:t>
      </w:r>
    </w:p>
    <w:p>
      <w:pPr>
        <w:spacing w:line="400" w:lineRule="exact" w:before="480" w:after="360"/>
        <w:jc w:val="center"/>
      </w:pPr>
      <w:r>
        <w:rPr>
          <w:rFonts w:ascii="黑体" w:hAnsi="黑体" w:eastAsia="黑体"/>
          <w:b/>
          <w:sz w:val="32"/>
        </w:rPr>
        <w:t>参考文献</w:t>
      </w:r>
    </w:p>
    <w:p>
      <w:pPr>
        <w:spacing w:line="320" w:lineRule="exact" w:before="0" w:after="0"/>
        <w:jc w:val="both"/>
      </w:pPr>
      <w:r>
        <w:rPr>
          <w:rFonts w:ascii="Times New Roman" w:hAnsi="Times New Roman" w:eastAsia="Times New Roman"/>
          <w:b w:val="0"/>
          <w:sz w:val="21"/>
        </w:rPr>
        <w:t>[1] Thrun S, Burgard W, Fox D. Probabilistic robotics[M]. MIT press, 2005.</w:t>
      </w:r>
    </w:p>
    <w:p>
      <w:pPr>
        <w:spacing w:line="320" w:lineRule="exact" w:before="0" w:after="0"/>
        <w:jc w:val="both"/>
      </w:pPr>
      <w:r>
        <w:rPr>
          <w:rFonts w:ascii="Times New Roman" w:hAnsi="Times New Roman" w:eastAsia="Times New Roman"/>
          <w:b w:val="0"/>
          <w:sz w:val="21"/>
        </w:rPr>
        <w:t>[2] Borenstein J, Everett H R, Feng L, et al. Mobile robot positioning: Sensors and techniques[J]. Journal of Robotic Systems, 1997, 14(4): 231-249.</w:t>
      </w:r>
    </w:p>
    <w:p>
      <w:pPr>
        <w:spacing w:line="320" w:lineRule="exact" w:before="0" w:after="0"/>
        <w:jc w:val="both"/>
      </w:pPr>
      <w:r>
        <w:rPr>
          <w:rFonts w:ascii="Times New Roman" w:hAnsi="Times New Roman" w:eastAsia="Times New Roman"/>
          <w:b w:val="0"/>
          <w:sz w:val="21"/>
        </w:rPr>
        <w:t>[3] Chong K S, Kleeman L. Accurate odometry and error modelling for a mobile robot[C]//Proceedings of IEEE International Conference on Robotics and Automation. IEEE, 1997, 4: 2783-2788.</w:t>
      </w:r>
    </w:p>
    <w:p>
      <w:pPr>
        <w:spacing w:line="320" w:lineRule="exact" w:before="0" w:after="0"/>
        <w:jc w:val="both"/>
      </w:pPr>
      <w:r>
        <w:rPr>
          <w:rFonts w:ascii="Times New Roman" w:hAnsi="Times New Roman" w:eastAsia="Times New Roman"/>
          <w:b w:val="0"/>
          <w:sz w:val="21"/>
        </w:rPr>
        <w:t>[4] Martinelli A. The odometry error of a mobile robot with a synchronous drive system[J]. IEEE Transactions on Robotics and Automation, 2002, 18(3): 399-405.</w:t>
      </w:r>
    </w:p>
    <w:p>
      <w:pPr>
        <w:spacing w:line="320" w:lineRule="exact" w:before="0" w:after="0"/>
        <w:jc w:val="both"/>
      </w:pPr>
      <w:r>
        <w:rPr>
          <w:rFonts w:ascii="Times New Roman" w:hAnsi="Times New Roman" w:eastAsia="Times New Roman"/>
          <w:b w:val="0"/>
          <w:sz w:val="21"/>
        </w:rPr>
        <w:t>[5] Kelly A. Linearized error propagation in odometry[J]. The International Journal of Robotics Research, 2004, 23(2): 179-218.</w:t>
      </w:r>
    </w:p>
    <w:p>
      <w:pPr>
        <w:spacing w:line="320" w:lineRule="exact" w:before="0" w:after="0"/>
        <w:jc w:val="both"/>
      </w:pPr>
      <w:r>
        <w:rPr>
          <w:rFonts w:ascii="Times New Roman" w:hAnsi="Times New Roman" w:eastAsia="Times New Roman"/>
          <w:b w:val="0"/>
          <w:sz w:val="21"/>
        </w:rPr>
        <w:t>[6] Roy N, Thrun S. Online self-calibration for mobile robots[C]//Proceedings of IEEE International Conference on Robotics and Automation. IEEE, 1999, 3: 2292-2297.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