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37A8" w14:textId="78F42C70" w:rsidR="00DF6B83" w:rsidRDefault="000C672B" w:rsidP="000C672B">
      <w:pPr>
        <w:pStyle w:val="FirstParagraph"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控制</w:t>
      </w:r>
      <w:r w:rsidRPr="000C672B">
        <w:rPr>
          <w:rFonts w:ascii="Times New Roman" w:eastAsia="宋体" w:hAnsi="Times New Roman" w:hint="eastAsia"/>
          <w:b/>
          <w:bCs/>
          <w:sz w:val="32"/>
          <w:szCs w:val="32"/>
        </w:rPr>
        <w:t>视角分析</w:t>
      </w:r>
      <w:r w:rsidR="00000000" w:rsidRPr="000C672B">
        <w:rPr>
          <w:rFonts w:ascii="Times New Roman" w:eastAsia="宋体" w:hAnsi="Times New Roman" w:hint="eastAsia"/>
          <w:b/>
          <w:bCs/>
          <w:sz w:val="32"/>
          <w:szCs w:val="32"/>
        </w:rPr>
        <w:t>生产网络中的系统脆弱性</w:t>
      </w:r>
    </w:p>
    <w:p w14:paraId="00D46AB2" w14:textId="4CD4F0A0" w:rsidR="00516D32" w:rsidRPr="00516D32" w:rsidRDefault="00136382" w:rsidP="00516D32">
      <w:pPr>
        <w:pStyle w:val="a0"/>
        <w:jc w:val="center"/>
        <w:rPr>
          <w:rFonts w:ascii="黑体" w:eastAsia="黑体" w:hAnsi="黑体" w:hint="eastAsia"/>
          <w:sz w:val="21"/>
          <w:szCs w:val="21"/>
        </w:rPr>
      </w:pPr>
      <w:r w:rsidRPr="00516D32">
        <w:rPr>
          <w:rFonts w:ascii="黑体" w:eastAsia="黑体" w:hAnsi="黑体" w:hint="eastAsia"/>
          <w:sz w:val="21"/>
          <w:szCs w:val="21"/>
        </w:rPr>
        <w:t>2312167</w:t>
      </w:r>
      <w:r>
        <w:rPr>
          <w:rFonts w:ascii="黑体" w:eastAsia="黑体" w:hAnsi="黑体" w:hint="eastAsia"/>
          <w:sz w:val="21"/>
          <w:szCs w:val="21"/>
        </w:rPr>
        <w:t>_</w:t>
      </w:r>
      <w:r w:rsidR="00516D32" w:rsidRPr="00516D32">
        <w:rPr>
          <w:rFonts w:ascii="黑体" w:eastAsia="黑体" w:hAnsi="黑体" w:hint="eastAsia"/>
          <w:sz w:val="21"/>
          <w:szCs w:val="21"/>
        </w:rPr>
        <w:t>刘振毫</w:t>
      </w:r>
    </w:p>
    <w:p w14:paraId="22650744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现代经济的运行方式，已不再是由若干相对独立的企业线性叠加而成。伴随深度专业化分工和全球化扩展，生产活动被拆解为大量高度专用的中间环节，并通过企业间贸易关系重新组合，最终形成结构复杂、层级分明且高度耦合的生产网络。正是在这一背景下，局部冲击为何能够迅速演化为宏观波动，成为理解当代经济不稳定性的关键问题。</w:t>
      </w:r>
    </w:p>
    <w:p w14:paraId="18D49060" w14:textId="7F9A11E4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材料中关于全球芯片短缺与汽车产业停摆的分析，提供了一个极具代表性的现实案例。值得注意的是，这一现象并非单纯由供需失衡或突发事件引起，而是与生产网络本身的结构特征密切相关。若从</w:t>
      </w:r>
      <w:r w:rsidR="00516D32">
        <w:rPr>
          <w:rFonts w:ascii="Times New Roman" w:eastAsia="宋体" w:hAnsi="Times New Roman" w:hint="eastAsia"/>
        </w:rPr>
        <w:t>控制</w:t>
      </w:r>
      <w:r w:rsidRPr="000C672B">
        <w:rPr>
          <w:rFonts w:ascii="Times New Roman" w:eastAsia="宋体" w:hAnsi="Times New Roman" w:hint="eastAsia"/>
        </w:rPr>
        <w:t>专业的视角加以审视，可以发现其中所体现的逻辑，与复杂工程系统中“高效率系统在极端扰动下更易失稳”的规律高度一致。</w:t>
      </w:r>
    </w:p>
    <w:p w14:paraId="2DB37018" w14:textId="77777777" w:rsidR="00DF6B83" w:rsidRPr="000C672B" w:rsidRDefault="00000000" w:rsidP="00E424F8">
      <w:pPr>
        <w:pStyle w:val="a0"/>
        <w:spacing w:line="360" w:lineRule="auto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一、当生产网络被视为系统：效率与脆弱性的并生关系</w:t>
      </w:r>
    </w:p>
    <w:p w14:paraId="57E00B8E" w14:textId="7443C148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在</w:t>
      </w:r>
      <w:r w:rsidR="00516D32">
        <w:rPr>
          <w:rFonts w:ascii="Times New Roman" w:eastAsia="宋体" w:hAnsi="Times New Roman" w:hint="eastAsia"/>
        </w:rPr>
        <w:t>控制</w:t>
      </w:r>
      <w:r w:rsidRPr="000C672B">
        <w:rPr>
          <w:rFonts w:ascii="Times New Roman" w:eastAsia="宋体" w:hAnsi="Times New Roman" w:hint="eastAsia"/>
        </w:rPr>
        <w:t>理论中，任何一个由多个子系统构成的整体，其动态行为都不仅取决于单个模块的性能，更取决于模块之间的连接方式。将这一思想映射到经济系统中，企业便可被视为节点，中间投入品流动构成边，由此形成一个加权有向网络。</w:t>
      </w:r>
    </w:p>
    <w:p w14:paraId="49282153" w14:textId="774CB18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在经济繁荣时期，企业倾向于选择成本最低、质量最稳定的供应商，这种决策在微观层面显著提高了生产效率，也推动了生产网络在空间上的集聚。然而，当越来越多企业围绕少数关键节点进行布局时，网络的度分布与中心度结构便发生了系统性变化。</w:t>
      </w:r>
    </w:p>
    <w:p w14:paraId="239345B8" w14:textId="191C2BCE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在形式上，这一结构可以简化表示为：</w:t>
      </w:r>
    </w:p>
    <w:p w14:paraId="63E67224" w14:textId="004D0B55" w:rsidR="00DF6B83" w:rsidRPr="000C672B" w:rsidRDefault="00166F8E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Y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⋅</m:t>
          </m:r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j</m:t>
              </m:r>
            </m:sub>
            <m:sup>
              <m:r>
                <w:rPr>
                  <w:rFonts w:ascii="Cambria Math" w:eastAsia="宋体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j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1AB5C82A" w14:textId="77777777" w:rsidR="00DF6B83" w:rsidRPr="000C672B" w:rsidRDefault="00000000" w:rsidP="00E424F8">
      <w:pPr>
        <w:pStyle w:val="FirstParagraph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lastRenderedPageBreak/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表示企业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i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的产出，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j</m:t>
            </m:r>
          </m:sub>
        </m:sSub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为来自上游企业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j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的中间投入，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ω</m:t>
            </m:r>
          </m:e>
          <m:sub>
            <m:r>
              <w:rPr>
                <w:rFonts w:ascii="Cambria Math" w:eastAsia="宋体" w:hAnsi="Cambria Math"/>
              </w:rPr>
              <m:t>ij</m:t>
            </m:r>
          </m:sub>
        </m:sSub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则刻画了投入依赖强度。当</w:t>
      </w:r>
      <w:r w:rsidRPr="000C672B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ω</m:t>
            </m:r>
          </m:e>
          <m:sub>
            <m:r>
              <w:rPr>
                <w:rFonts w:ascii="Cambria Math" w:eastAsia="宋体" w:hAnsi="Cambria Math"/>
              </w:rPr>
              <m:t>ij</m:t>
            </m:r>
          </m:sub>
        </m:sSub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在少数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j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上高度集中时，系统对这些节点的扰动敏感性将急剧上升。</w:t>
      </w:r>
    </w:p>
    <w:p w14:paraId="4ACCBB1D" w14:textId="54AD5003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从系统角度看，这相当于将多个子系统的控制输入绑定在同一信号源上。一旦该信号源失效，原本局部的问题便会演变为系统级失稳。</w:t>
      </w:r>
    </w:p>
    <w:p w14:paraId="2B3328CB" w14:textId="669F55D8" w:rsidR="00DF6B83" w:rsidRPr="000C672B" w:rsidRDefault="00000000" w:rsidP="00E424F8">
      <w:pPr>
        <w:pStyle w:val="a0"/>
        <w:spacing w:line="360" w:lineRule="auto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二、零库存逻辑与动态系统</w:t>
      </w:r>
    </w:p>
    <w:p w14:paraId="64B0C4BE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在分析丰田汽车等企业所面临的生产中断时，零库存（</w:t>
      </w:r>
      <w:r w:rsidRPr="000C672B">
        <w:rPr>
          <w:rFonts w:ascii="Times New Roman" w:eastAsia="宋体" w:hAnsi="Times New Roman" w:hint="eastAsia"/>
        </w:rPr>
        <w:t>Just-in-Time</w:t>
      </w:r>
      <w:r w:rsidRPr="000C672B">
        <w:rPr>
          <w:rFonts w:ascii="Times New Roman" w:eastAsia="宋体" w:hAnsi="Times New Roman" w:hint="eastAsia"/>
        </w:rPr>
        <w:t>）机制是一个无法回避的关键因素。该模式的核心目标在于压缩库存成本，使生产系统运行在接近理论最优效率的区间。然而，这一设计也意味着系统中用于吸收外部扰动的缓冲变量被大幅削弱。</w:t>
      </w:r>
    </w:p>
    <w:p w14:paraId="6C78946C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若将生产系统类比为一个连续时间动态系统，其简化形式可写为：</w:t>
      </w:r>
    </w:p>
    <w:p w14:paraId="68E2E68C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eastAsia="宋体" w:hAnsi="Cambria Math"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Ax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Bu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3B377AD" w14:textId="77777777" w:rsidR="00DF6B83" w:rsidRPr="000C672B" w:rsidRDefault="00000000" w:rsidP="00E424F8">
      <w:pPr>
        <w:pStyle w:val="FirstParagraph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其中，状态变量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可理解为库存与在制品水平，控制输入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u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对应外部供应。当库存趋近于零时，系统等效阻尼下降，任何来自</w:t>
      </w:r>
      <w:r w:rsidRPr="000C672B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u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C672B">
        <w:rPr>
          <w:rFonts w:ascii="Times New Roman" w:eastAsia="宋体" w:hAnsi="Times New Roman"/>
        </w:rPr>
        <w:t xml:space="preserve"> </w:t>
      </w:r>
      <w:r w:rsidRPr="000C672B">
        <w:rPr>
          <w:rFonts w:ascii="Times New Roman" w:eastAsia="宋体" w:hAnsi="Times New Roman" w:hint="eastAsia"/>
        </w:rPr>
        <w:t>的冲击都会被几乎无衰减地传递至输出端。</w:t>
      </w:r>
    </w:p>
    <w:p w14:paraId="77031A7C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新冠大流行期间，消费者需求结构从服务业迅速转向电子产品、健身器材和玩具等实体商品，这一变化并非渐进调整，而更接近于一次突发的阶跃输入。在缺乏库存缓冲的情况下，该需求冲击并未被局部行业消化，而是通过共享芯片供应这一隐性耦合通道，扩散至汽车产业等看似“无关”的领域。</w:t>
      </w:r>
    </w:p>
    <w:p w14:paraId="56D83AB6" w14:textId="34AC3624" w:rsidR="000C672B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这一过程可用下图加以概括：</w:t>
      </w:r>
    </w:p>
    <w:p w14:paraId="36F84CF1" w14:textId="77777777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外生需求冲击（疫情、居家办公、隔离）</w:t>
      </w:r>
    </w:p>
    <w:p w14:paraId="1AB65BC3" w14:textId="23982F0D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↓</w:t>
      </w:r>
    </w:p>
    <w:p w14:paraId="66D2E13F" w14:textId="77777777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消费结构发生变化</w:t>
      </w:r>
      <w:r w:rsidRPr="000C672B">
        <w:rPr>
          <w:rFonts w:ascii="Times New Roman" w:eastAsia="宋体" w:hAnsi="Times New Roman" w:hint="eastAsia"/>
        </w:rPr>
        <w:t>（</w:t>
      </w:r>
      <w:r w:rsidRPr="000C672B">
        <w:rPr>
          <w:rFonts w:ascii="Times New Roman" w:eastAsia="宋体" w:hAnsi="Times New Roman" w:hint="eastAsia"/>
        </w:rPr>
        <w:t>服务消费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↓消费电子产品需求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↑</w:t>
      </w:r>
    </w:p>
    <w:p w14:paraId="313F6988" w14:textId="7F848E48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lastRenderedPageBreak/>
        <w:t>↓</w:t>
      </w:r>
    </w:p>
    <w:p w14:paraId="5CAD512A" w14:textId="77777777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（共享中间投入品）</w:t>
      </w:r>
    </w:p>
    <w:p w14:paraId="2333064C" w14:textId="77777777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芯片需求激增</w:t>
      </w:r>
      <w:r w:rsidRPr="000C672B">
        <w:rPr>
          <w:rFonts w:ascii="Times New Roman" w:eastAsia="宋体" w:hAnsi="Times New Roman" w:hint="eastAsia"/>
        </w:rPr>
        <w:t>（</w:t>
      </w:r>
      <w:r w:rsidRPr="000C672B">
        <w:rPr>
          <w:rFonts w:ascii="Times New Roman" w:eastAsia="宋体" w:hAnsi="Times New Roman" w:hint="eastAsia"/>
        </w:rPr>
        <w:t>消费电子用芯片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↑汽车电子用芯片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↑产能短期刚性</w:t>
      </w:r>
      <w:r w:rsidRPr="000C672B">
        <w:rPr>
          <w:rFonts w:ascii="Times New Roman" w:eastAsia="宋体" w:hAnsi="Times New Roman" w:hint="eastAsia"/>
        </w:rPr>
        <w:t>）</w:t>
      </w:r>
    </w:p>
    <w:p w14:paraId="345943AB" w14:textId="1B536F6C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↓</w:t>
      </w:r>
    </w:p>
    <w:p w14:paraId="51702391" w14:textId="62728804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芯片供应瓶颈</w:t>
      </w:r>
      <w:r w:rsidRPr="000C672B">
        <w:rPr>
          <w:rFonts w:ascii="Times New Roman" w:eastAsia="宋体" w:hAnsi="Times New Roman" w:hint="eastAsia"/>
        </w:rPr>
        <w:t>（</w:t>
      </w:r>
      <w:r w:rsidRPr="000C672B">
        <w:rPr>
          <w:rFonts w:ascii="Times New Roman" w:eastAsia="宋体" w:hAnsi="Times New Roman" w:hint="eastAsia"/>
        </w:rPr>
        <w:t>产能集中</w:t>
      </w:r>
      <w:r w:rsidRPr="000C672B">
        <w:rPr>
          <w:rFonts w:ascii="Times New Roman" w:eastAsia="宋体" w:hAnsi="Times New Roman" w:hint="eastAsia"/>
        </w:rPr>
        <w:t>、</w:t>
      </w:r>
      <w:r w:rsidRPr="000C672B">
        <w:rPr>
          <w:rFonts w:ascii="Times New Roman" w:eastAsia="宋体" w:hAnsi="Times New Roman" w:hint="eastAsia"/>
        </w:rPr>
        <w:t>扩产周期长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）</w:t>
      </w:r>
    </w:p>
    <w:p w14:paraId="28BD20ED" w14:textId="6AE64119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↓</w:t>
      </w:r>
    </w:p>
    <w:p w14:paraId="224F885D" w14:textId="61AAC0DD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一级汽车零部件供应商</w:t>
      </w:r>
      <w:r w:rsidRPr="000C672B">
        <w:rPr>
          <w:rFonts w:ascii="Times New Roman" w:eastAsia="宋体" w:hAnsi="Times New Roman" w:hint="eastAsia"/>
        </w:rPr>
        <w:t>（</w:t>
      </w:r>
      <w:r w:rsidRPr="000C672B">
        <w:rPr>
          <w:rFonts w:ascii="Times New Roman" w:eastAsia="宋体" w:hAnsi="Times New Roman" w:hint="eastAsia"/>
        </w:rPr>
        <w:t>无法获取芯片</w:t>
      </w:r>
      <w:r w:rsidRPr="000C672B">
        <w:rPr>
          <w:rFonts w:ascii="Times New Roman" w:eastAsia="宋体" w:hAnsi="Times New Roman" w:hint="eastAsia"/>
        </w:rPr>
        <w:t>、</w:t>
      </w:r>
      <w:r w:rsidRPr="000C672B">
        <w:rPr>
          <w:rFonts w:ascii="Times New Roman" w:eastAsia="宋体" w:hAnsi="Times New Roman" w:hint="eastAsia"/>
        </w:rPr>
        <w:t>模块无法交付</w:t>
      </w:r>
      <w:r w:rsidRPr="000C672B">
        <w:rPr>
          <w:rFonts w:ascii="Times New Roman" w:eastAsia="宋体" w:hAnsi="Times New Roman" w:hint="eastAsia"/>
        </w:rPr>
        <w:t>）</w:t>
      </w:r>
    </w:p>
    <w:p w14:paraId="3E82741D" w14:textId="2DAD60DE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↓</w:t>
      </w:r>
    </w:p>
    <w:p w14:paraId="2A73DD73" w14:textId="0D226EB3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整车制造系统失稳</w:t>
      </w:r>
      <w:r w:rsidRPr="000C672B">
        <w:rPr>
          <w:rFonts w:ascii="Times New Roman" w:eastAsia="宋体" w:hAnsi="Times New Roman" w:hint="eastAsia"/>
        </w:rPr>
        <w:t>（</w:t>
      </w:r>
      <w:r w:rsidRPr="000C672B">
        <w:rPr>
          <w:rFonts w:ascii="Times New Roman" w:eastAsia="宋体" w:hAnsi="Times New Roman" w:hint="eastAsia"/>
        </w:rPr>
        <w:t>产线无法启动</w:t>
      </w:r>
      <w:r w:rsidRPr="000C672B">
        <w:rPr>
          <w:rFonts w:ascii="Times New Roman" w:eastAsia="宋体" w:hAnsi="Times New Roman" w:hint="eastAsia"/>
        </w:rPr>
        <w:t>、</w:t>
      </w:r>
      <w:r w:rsidRPr="000C672B">
        <w:rPr>
          <w:rFonts w:ascii="Times New Roman" w:eastAsia="宋体" w:hAnsi="Times New Roman" w:hint="eastAsia"/>
        </w:rPr>
        <w:t>关键件缺失</w:t>
      </w:r>
      <w:r w:rsidRPr="000C672B">
        <w:rPr>
          <w:rFonts w:ascii="Times New Roman" w:eastAsia="宋体" w:hAnsi="Times New Roman" w:hint="eastAsia"/>
        </w:rPr>
        <w:t>、</w:t>
      </w:r>
      <w:r w:rsidRPr="000C672B">
        <w:rPr>
          <w:rFonts w:ascii="Times New Roman" w:eastAsia="宋体" w:hAnsi="Times New Roman" w:hint="eastAsia"/>
        </w:rPr>
        <w:t>零库存无法缓冲</w:t>
      </w:r>
      <w:r w:rsidRPr="000C672B">
        <w:rPr>
          <w:rFonts w:ascii="Times New Roman" w:eastAsia="宋体" w:hAnsi="Times New Roman" w:hint="eastAsia"/>
        </w:rPr>
        <w:t xml:space="preserve"> </w:t>
      </w:r>
      <w:r w:rsidRPr="000C672B">
        <w:rPr>
          <w:rFonts w:ascii="Times New Roman" w:eastAsia="宋体" w:hAnsi="Times New Roman" w:hint="eastAsia"/>
        </w:rPr>
        <w:t>）</w:t>
      </w:r>
    </w:p>
    <w:p w14:paraId="4BD426F1" w14:textId="24E6C7F0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t>↓</w:t>
      </w:r>
    </w:p>
    <w:p w14:paraId="4072DD24" w14:textId="7A5D86A0" w:rsidR="000C672B" w:rsidRPr="000C672B" w:rsidRDefault="000C672B" w:rsidP="00E424F8">
      <w:pPr>
        <w:pStyle w:val="a0"/>
        <w:spacing w:line="360" w:lineRule="auto"/>
        <w:ind w:firstLineChars="200" w:firstLine="480"/>
        <w:jc w:val="center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整车制造停摆（减产</w:t>
      </w:r>
      <w:r w:rsidRPr="000C672B">
        <w:rPr>
          <w:rFonts w:ascii="Times New Roman" w:eastAsia="宋体" w:hAnsi="Times New Roman" w:hint="eastAsia"/>
        </w:rPr>
        <w:t xml:space="preserve"> / </w:t>
      </w:r>
      <w:r w:rsidRPr="000C672B">
        <w:rPr>
          <w:rFonts w:ascii="Times New Roman" w:eastAsia="宋体" w:hAnsi="Times New Roman" w:hint="eastAsia"/>
        </w:rPr>
        <w:t>停工</w:t>
      </w:r>
      <w:r w:rsidRPr="000C672B">
        <w:rPr>
          <w:rFonts w:ascii="Times New Roman" w:eastAsia="宋体" w:hAnsi="Times New Roman" w:hint="eastAsia"/>
        </w:rPr>
        <w:t xml:space="preserve"> / </w:t>
      </w:r>
      <w:r w:rsidRPr="000C672B">
        <w:rPr>
          <w:rFonts w:ascii="Times New Roman" w:eastAsia="宋体" w:hAnsi="Times New Roman" w:hint="eastAsia"/>
        </w:rPr>
        <w:t>延期交付</w:t>
      </w:r>
      <w:r w:rsidRPr="000C672B">
        <w:rPr>
          <w:rFonts w:ascii="Times New Roman" w:eastAsia="宋体" w:hAnsi="Times New Roman" w:hint="eastAsia"/>
        </w:rPr>
        <w:t>）</w:t>
      </w:r>
    </w:p>
    <w:p w14:paraId="0B123218" w14:textId="7CFD87E4" w:rsidR="000C672B" w:rsidRPr="000C672B" w:rsidRDefault="000C672B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/>
        </w:rPr>
        <w:t>现代生产网络中的冲击并不依赖直接的上下游关系，而是通过共享中间投入品形成隐性耦合，其效果类似于系统中公共控制输入的扰动，在高耦合、低冗余条件下被迅速放大，最终引发系统级失稳。</w:t>
      </w:r>
    </w:p>
    <w:p w14:paraId="6A4C5706" w14:textId="5ED8DBBD" w:rsidR="00DF6B83" w:rsidRPr="000C672B" w:rsidRDefault="00000000" w:rsidP="00E424F8">
      <w:pPr>
        <w:pStyle w:val="a0"/>
        <w:spacing w:line="360" w:lineRule="auto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三、微观理性如何演化为宏观非理性结果</w:t>
      </w:r>
    </w:p>
    <w:p w14:paraId="0DB3606B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从微观经济学角度看，企业在既定制度与市场环境下做出的决策是完全理性的。选择单一低成本供应商、压缩库存、强化关系特定性投入，均有助于提升短期利润率。然而，这些决策并未将其对整个生产网络稳定性的影响纳入考量。</w:t>
      </w:r>
    </w:p>
    <w:p w14:paraId="3586972E" w14:textId="7F66283B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这一现象在</w:t>
      </w:r>
      <w:r w:rsidR="00516D32">
        <w:rPr>
          <w:rFonts w:ascii="Times New Roman" w:eastAsia="宋体" w:hAnsi="Times New Roman" w:hint="eastAsia"/>
        </w:rPr>
        <w:t>控制论</w:t>
      </w:r>
      <w:r w:rsidRPr="000C672B">
        <w:rPr>
          <w:rFonts w:ascii="Times New Roman" w:eastAsia="宋体" w:hAnsi="Times New Roman" w:hint="eastAsia"/>
        </w:rPr>
        <w:t>中有着清晰的对应：各子系统仅对局部性能指标进行优化，却忽略了全系统的稳定性约束。当系统规模扩大、耦合增强时，原本可忽略的外部性开始主导整体行为。</w:t>
      </w:r>
    </w:p>
    <w:p w14:paraId="07627CEE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lastRenderedPageBreak/>
        <w:t>在芯片供应链中，这一问题尤为突出。芯片不仅具有高度技术专用性，而且短期内几乎不存在可行替代路径。这意味着，一旦关键节点发生故障，系统无法通过“切换控制结构”实现快速自我修复，从而导致产出出现非线性下滑。</w:t>
      </w:r>
    </w:p>
    <w:p w14:paraId="685F794B" w14:textId="77777777" w:rsidR="00DF6B83" w:rsidRPr="000C672B" w:rsidRDefault="00000000" w:rsidP="00516D32">
      <w:pPr>
        <w:pStyle w:val="a0"/>
        <w:spacing w:line="360" w:lineRule="auto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四、冲击为何会被放大：网络结构的宏观含义</w:t>
      </w:r>
    </w:p>
    <w:p w14:paraId="31BD3359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材料中提及的多米诺效应，本质上是一种典型的级联失效机制。在具有高中心度或瓶颈节点的网络中，局部冲击往往不会线性传递，而是呈现出放大效应。</w:t>
      </w:r>
    </w:p>
    <w:p w14:paraId="7A80DC02" w14:textId="10F585E1" w:rsidR="00DF6B83" w:rsidRPr="000C672B" w:rsidRDefault="00000000" w:rsidP="00516D32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宏观层面的结果包括但不限于：工业产出波动显著放大；就业与投资同步下行；中间品价格上涨向终端价格传导，引发通胀压力。</w:t>
      </w:r>
    </w:p>
    <w:p w14:paraId="3C854059" w14:textId="77777777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更为重要的是，频繁发生的供应链中断会改变企业与居民的预期，使经济系统从低波动稳态转向高不确定性状态。在这一状态下，即便外部冲击减弱，系统也难以迅速回到原有均衡。</w:t>
      </w:r>
    </w:p>
    <w:p w14:paraId="5F02677A" w14:textId="20D1DCAD" w:rsidR="00DF6B83" w:rsidRPr="000C672B" w:rsidRDefault="00000000" w:rsidP="00E424F8">
      <w:pPr>
        <w:pStyle w:val="a0"/>
        <w:spacing w:line="360" w:lineRule="auto"/>
        <w:ind w:firstLineChars="200" w:firstLine="482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五、方法论对经济系统设计的启示</w:t>
      </w:r>
    </w:p>
    <w:p w14:paraId="7A48A8A8" w14:textId="40DAB155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若将生产网络视为一个需要长期稳定运行的复杂系统，那么单纯追求效率显然并不足够。系统设计中的若干核心思想，为缓解经济脆弱性提供了重要启示。</w:t>
      </w:r>
    </w:p>
    <w:p w14:paraId="6714DFAF" w14:textId="303A1F97" w:rsidR="00DF6B83" w:rsidRPr="000C672B" w:rsidRDefault="00000000" w:rsidP="00516D32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其一，在系统层面引入鲁棒性约束，通过多源供应、区域分散与关键节点冗余，降低单点失效风险。其二，借助数字孪生与工业互联网技术，提高生产网络的可观测性与可预测性，使潜在中断能够在真正发生前被识别。其三，在宏观层面，通过政策协调与制度设计，纠正分散决策所带来的系统性风险，相当于为经济系统配置一个“外部监督与调节控制器”。</w:t>
      </w:r>
    </w:p>
    <w:p w14:paraId="26D6367C" w14:textId="77777777" w:rsidR="00DF6B83" w:rsidRPr="000C672B" w:rsidRDefault="00000000" w:rsidP="00E424F8">
      <w:pPr>
        <w:pStyle w:val="a0"/>
        <w:spacing w:line="360" w:lineRule="auto"/>
        <w:ind w:firstLineChars="200" w:firstLine="482"/>
        <w:rPr>
          <w:rFonts w:ascii="Times New Roman" w:eastAsia="宋体" w:hAnsi="Times New Roman"/>
          <w:b/>
          <w:bCs/>
        </w:rPr>
      </w:pPr>
      <w:r w:rsidRPr="000C672B">
        <w:rPr>
          <w:rFonts w:ascii="Times New Roman" w:eastAsia="宋体" w:hAnsi="Times New Roman" w:hint="eastAsia"/>
          <w:b/>
          <w:bCs/>
        </w:rPr>
        <w:t>六、结语：在效率与稳定之间重构平衡</w:t>
      </w:r>
    </w:p>
    <w:p w14:paraId="02F4FAD5" w14:textId="3618D622" w:rsidR="00DF6B83" w:rsidRPr="000C672B" w:rsidRDefault="00000000" w:rsidP="00E424F8">
      <w:pPr>
        <w:pStyle w:val="a0"/>
        <w:spacing w:line="360" w:lineRule="auto"/>
        <w:ind w:firstLineChars="200" w:firstLine="480"/>
        <w:rPr>
          <w:rFonts w:ascii="Times New Roman" w:eastAsia="宋体" w:hAnsi="Times New Roman"/>
        </w:rPr>
      </w:pPr>
      <w:r w:rsidRPr="000C672B">
        <w:rPr>
          <w:rFonts w:ascii="Times New Roman" w:eastAsia="宋体" w:hAnsi="Times New Roman" w:hint="eastAsia"/>
        </w:rPr>
        <w:t>综合来看，新冠疫情期间暴露出的供应链危机，并非偶然事件，而是高度专业化生产网络在极端冲击下的必然表现。从</w:t>
      </w:r>
      <w:r w:rsidR="00516D32">
        <w:rPr>
          <w:rFonts w:ascii="Times New Roman" w:eastAsia="宋体" w:hAnsi="Times New Roman" w:hint="eastAsia"/>
        </w:rPr>
        <w:t>系统</w:t>
      </w:r>
      <w:r w:rsidRPr="000C672B">
        <w:rPr>
          <w:rFonts w:ascii="Times New Roman" w:eastAsia="宋体" w:hAnsi="Times New Roman" w:hint="eastAsia"/>
        </w:rPr>
        <w:t>的角度理解这一问题，有助于跳出“单一行业或单一事件”的分析框架，转而关注系统结构本身的运行逻辑。</w:t>
      </w:r>
    </w:p>
    <w:p w14:paraId="09AD2633" w14:textId="10236618" w:rsidR="00E424F8" w:rsidRPr="000C672B" w:rsidRDefault="00000000" w:rsidP="00516D32">
      <w:pPr>
        <w:pStyle w:val="a0"/>
        <w:spacing w:line="360" w:lineRule="auto"/>
        <w:ind w:firstLineChars="200" w:firstLine="480"/>
        <w:rPr>
          <w:rFonts w:ascii="Times New Roman" w:eastAsia="宋体" w:hAnsi="Times New Roman" w:hint="eastAsia"/>
        </w:rPr>
      </w:pPr>
      <w:r w:rsidRPr="000C672B">
        <w:rPr>
          <w:rFonts w:ascii="Times New Roman" w:eastAsia="宋体" w:hAnsi="Times New Roman" w:hint="eastAsia"/>
        </w:rPr>
        <w:lastRenderedPageBreak/>
        <w:t>未来经济体系的关键挑战，不在于是否继续专业化，而在于如何在专业化的同时引入足够的系统弹性，使局部冲击不再轻易演化为宏观危机。</w:t>
      </w:r>
    </w:p>
    <w:sectPr w:rsidR="00E424F8" w:rsidRPr="000C672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7034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345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B83"/>
    <w:rsid w:val="00094B36"/>
    <w:rsid w:val="000C672B"/>
    <w:rsid w:val="00136382"/>
    <w:rsid w:val="00166F8E"/>
    <w:rsid w:val="00516D32"/>
    <w:rsid w:val="00DF6B83"/>
    <w:rsid w:val="00E4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38544"/>
  <w15:docId w15:val="{29340C73-B569-4116-B146-6F44B944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1103</Words>
  <Characters>1391</Characters>
  <Application>Microsoft Office Word</Application>
  <DocSecurity>0</DocSecurity>
  <Lines>39</Lines>
  <Paragraphs>11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4</cp:revision>
  <dcterms:created xsi:type="dcterms:W3CDTF">2026-01-06T05:24:00Z</dcterms:created>
  <dcterms:modified xsi:type="dcterms:W3CDTF">2026-01-06T05:52:00Z</dcterms:modified>
</cp:coreProperties>
</file>