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80E6" w14:textId="77777777" w:rsidR="00D17500" w:rsidRPr="00A763BC" w:rsidRDefault="00000000">
      <w:pPr>
        <w:pStyle w:val="1"/>
        <w:rPr>
          <w:color w:val="000000" w:themeColor="text1"/>
        </w:rPr>
      </w:pPr>
      <w:bookmarkStart w:id="0" w:name="跨学科视野下的系统工程从经济供需平衡到机器人微纳操纵技术"/>
      <w:r w:rsidRPr="00A763BC">
        <w:rPr>
          <w:rFonts w:hint="eastAsia"/>
          <w:color w:val="000000" w:themeColor="text1"/>
        </w:rPr>
        <w:t>跨学科视野下的系统工程：从经济供需平衡到</w:t>
      </w:r>
      <w:proofErr w:type="gramStart"/>
      <w:r w:rsidRPr="00A763BC">
        <w:rPr>
          <w:rFonts w:hint="eastAsia"/>
          <w:color w:val="000000" w:themeColor="text1"/>
        </w:rPr>
        <w:t>机器人微纳操纵</w:t>
      </w:r>
      <w:proofErr w:type="gramEnd"/>
      <w:r w:rsidRPr="00A763BC">
        <w:rPr>
          <w:rFonts w:hint="eastAsia"/>
          <w:color w:val="000000" w:themeColor="text1"/>
        </w:rPr>
        <w:t>技术</w:t>
      </w:r>
    </w:p>
    <w:p w14:paraId="3667E061" w14:textId="77777777" w:rsidR="00D17500" w:rsidRPr="00A763BC" w:rsidRDefault="00000000">
      <w:pPr>
        <w:pStyle w:val="FirstParagraph"/>
        <w:rPr>
          <w:color w:val="000000" w:themeColor="text1"/>
        </w:rPr>
      </w:pPr>
      <w:r w:rsidRPr="00A763BC">
        <w:rPr>
          <w:rFonts w:hint="eastAsia"/>
          <w:b/>
          <w:bCs/>
          <w:color w:val="000000" w:themeColor="text1"/>
        </w:rPr>
        <w:t>姓名</w:t>
      </w:r>
      <w:r w:rsidRPr="00A763BC">
        <w:rPr>
          <w:color w:val="000000" w:themeColor="text1"/>
        </w:rPr>
        <w:t xml:space="preserve"> </w:t>
      </w:r>
      <w:r w:rsidRPr="00A763BC">
        <w:rPr>
          <w:rFonts w:hint="eastAsia"/>
          <w:b/>
          <w:bCs/>
          <w:color w:val="000000" w:themeColor="text1"/>
        </w:rPr>
        <w:t>学号</w:t>
      </w:r>
      <w:r w:rsidRPr="00A763BC">
        <w:rPr>
          <w:color w:val="000000" w:themeColor="text1"/>
        </w:rPr>
        <w:t xml:space="preserve"> </w:t>
      </w:r>
      <w:r w:rsidRPr="00A763BC">
        <w:rPr>
          <w:rFonts w:hint="eastAsia"/>
          <w:b/>
          <w:bCs/>
          <w:color w:val="000000" w:themeColor="text1"/>
        </w:rPr>
        <w:t>专业</w:t>
      </w:r>
      <w:r w:rsidRPr="00A763BC">
        <w:rPr>
          <w:color w:val="000000" w:themeColor="text1"/>
        </w:rPr>
        <w:t xml:space="preserve"> </w:t>
      </w:r>
      <w:r w:rsidRPr="00A763BC">
        <w:rPr>
          <w:rFonts w:hint="eastAsia"/>
          <w:b/>
          <w:bCs/>
          <w:color w:val="000000" w:themeColor="text1"/>
        </w:rPr>
        <w:t>班级</w:t>
      </w:r>
    </w:p>
    <w:p w14:paraId="4A17C77F" w14:textId="77777777" w:rsidR="00D17500" w:rsidRPr="00A763BC" w:rsidRDefault="00000000">
      <w:pPr>
        <w:pStyle w:val="2"/>
        <w:rPr>
          <w:color w:val="000000" w:themeColor="text1"/>
        </w:rPr>
      </w:pPr>
      <w:bookmarkStart w:id="1" w:name="摘-要"/>
      <w:r w:rsidRPr="00A763BC">
        <w:rPr>
          <w:rFonts w:hint="eastAsia"/>
          <w:color w:val="000000" w:themeColor="text1"/>
        </w:rPr>
        <w:t>摘</w:t>
      </w:r>
      <w:r w:rsidRPr="00A763BC">
        <w:rPr>
          <w:color w:val="000000" w:themeColor="text1"/>
        </w:rPr>
        <w:t xml:space="preserve"> </w:t>
      </w:r>
      <w:r w:rsidRPr="00A763BC">
        <w:rPr>
          <w:rFonts w:hint="eastAsia"/>
          <w:color w:val="000000" w:themeColor="text1"/>
        </w:rPr>
        <w:t>要</w:t>
      </w:r>
    </w:p>
    <w:p w14:paraId="0D4D4050" w14:textId="77777777" w:rsidR="00D17500" w:rsidRPr="00A763BC" w:rsidRDefault="00000000">
      <w:pPr>
        <w:pStyle w:val="FirstParagraph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本文根据南开大学人工智能学院相关学术报告整理。报告通过宏观经济转型逻辑与</w:t>
      </w:r>
      <w:proofErr w:type="gramStart"/>
      <w:r w:rsidRPr="00A763BC">
        <w:rPr>
          <w:rFonts w:hint="eastAsia"/>
          <w:color w:val="000000" w:themeColor="text1"/>
        </w:rPr>
        <w:t>微操作</w:t>
      </w:r>
      <w:proofErr w:type="gramEnd"/>
      <w:r w:rsidRPr="00A763BC">
        <w:rPr>
          <w:rFonts w:hint="eastAsia"/>
          <w:color w:val="000000" w:themeColor="text1"/>
        </w:rPr>
        <w:t>机器人科研实践的双重维度，阐述了中国经济的内生动力与战略性新兴产业的突破路径。重点探讨了在生物医学工程领域，如何通过数理建模与自动化控制解决体细胞克隆中的低成功率瓶颈，并实现科研成果向国家农业种质资源安全领域的战略转化。</w:t>
      </w:r>
    </w:p>
    <w:p w14:paraId="67A8E320" w14:textId="77777777" w:rsidR="00D17500" w:rsidRPr="00A763BC" w:rsidRDefault="00000000">
      <w:pPr>
        <w:pStyle w:val="a0"/>
        <w:rPr>
          <w:color w:val="000000" w:themeColor="text1"/>
        </w:rPr>
      </w:pPr>
      <w:r w:rsidRPr="00A763BC">
        <w:rPr>
          <w:rFonts w:hint="eastAsia"/>
          <w:b/>
          <w:bCs/>
          <w:color w:val="000000" w:themeColor="text1"/>
        </w:rPr>
        <w:t>关键词</w:t>
      </w:r>
      <w:r w:rsidRPr="00A763BC">
        <w:rPr>
          <w:rFonts w:hint="eastAsia"/>
          <w:color w:val="000000" w:themeColor="text1"/>
        </w:rPr>
        <w:t>：系统工程，</w:t>
      </w:r>
      <w:proofErr w:type="gramStart"/>
      <w:r w:rsidRPr="00A763BC">
        <w:rPr>
          <w:rFonts w:hint="eastAsia"/>
          <w:color w:val="000000" w:themeColor="text1"/>
        </w:rPr>
        <w:t>微操作</w:t>
      </w:r>
      <w:proofErr w:type="gramEnd"/>
      <w:r w:rsidRPr="00A763BC">
        <w:rPr>
          <w:rFonts w:hint="eastAsia"/>
          <w:color w:val="000000" w:themeColor="text1"/>
        </w:rPr>
        <w:t>机器人，体细胞克隆，种质资源安全</w:t>
      </w:r>
    </w:p>
    <w:p w14:paraId="551E26F4" w14:textId="77777777" w:rsidR="00D17500" w:rsidRPr="00A763BC" w:rsidRDefault="00000000">
      <w:pPr>
        <w:pStyle w:val="2"/>
        <w:rPr>
          <w:color w:val="000000" w:themeColor="text1"/>
        </w:rPr>
      </w:pPr>
      <w:bookmarkStart w:id="2" w:name="一宏观经济逻辑供需错配下的动态平衡分析"/>
      <w:bookmarkEnd w:id="1"/>
      <w:r w:rsidRPr="00A763BC">
        <w:rPr>
          <w:rFonts w:hint="eastAsia"/>
          <w:color w:val="000000" w:themeColor="text1"/>
        </w:rPr>
        <w:t>一、宏观经济逻辑：供需错配下的动态平衡分析</w:t>
      </w:r>
    </w:p>
    <w:p w14:paraId="00C940CD" w14:textId="77777777" w:rsidR="00D17500" w:rsidRPr="00A763BC" w:rsidRDefault="00000000">
      <w:pPr>
        <w:pStyle w:val="FirstParagraph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报告首先从宏观经济学角度审视了中国应对外部冲击的韧性来源。其核心论点在于：</w:t>
      </w:r>
      <w:r w:rsidRPr="00A763BC">
        <w:rPr>
          <w:rFonts w:hint="eastAsia"/>
          <w:color w:val="000000" w:themeColor="text1"/>
        </w:rPr>
        <w:t>14</w:t>
      </w:r>
      <w:r w:rsidRPr="00A763BC">
        <w:rPr>
          <w:rFonts w:hint="eastAsia"/>
          <w:color w:val="000000" w:themeColor="text1"/>
        </w:rPr>
        <w:t>亿人口对高品质生活的追求构成了全球最大的潜在需求市场，而当前的经济压力本质上是全球供应链驱动的供给侧与内生性需求</w:t>
      </w:r>
      <w:proofErr w:type="gramStart"/>
      <w:r w:rsidRPr="00A763BC">
        <w:rPr>
          <w:rFonts w:hint="eastAsia"/>
          <w:color w:val="000000" w:themeColor="text1"/>
        </w:rPr>
        <w:t>侧之间</w:t>
      </w:r>
      <w:proofErr w:type="gramEnd"/>
      <w:r w:rsidRPr="00A763BC">
        <w:rPr>
          <w:rFonts w:hint="eastAsia"/>
          <w:color w:val="000000" w:themeColor="text1"/>
        </w:rPr>
        <w:t>的“空间错配”。</w:t>
      </w:r>
    </w:p>
    <w:p w14:paraId="43C7AA00" w14:textId="77777777" w:rsidR="00D17500" w:rsidRPr="00A763BC" w:rsidRDefault="00000000">
      <w:pPr>
        <w:pStyle w:val="a0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供给侧结构性改革的必要性：类比生物系统与社会关系的复杂性（如亲子关系的低适配度），经济体系中的供给与需求亦存在天然的信息不对称。民营经济在其中扮演了“长尾市场”的弥补者角色，其竞争机制有效解决了计划体制下无法覆盖的个性化、高品质需求。</w:t>
      </w:r>
    </w:p>
    <w:p w14:paraId="5DD19E50" w14:textId="77777777" w:rsidR="00D17500" w:rsidRPr="00A763BC" w:rsidRDefault="00000000">
      <w:pPr>
        <w:pStyle w:val="a0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双循环格局的底层逻辑：经济基础决定上层建筑。在国际贸易摩擦背景下，强化国内大循环并非封闭，而是通过提升本土劳动生产率（</w:t>
      </w:r>
      <m:oMath>
        <m:r>
          <w:rPr>
            <w:rFonts w:ascii="Cambria Math" w:hAnsi="Cambria Math"/>
            <w:color w:val="000000" w:themeColor="text1"/>
          </w:rPr>
          <m:t>LP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Output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Labor Input</m:t>
            </m:r>
          </m:den>
        </m:f>
      </m:oMath>
      <w:r w:rsidRPr="00A763BC">
        <w:rPr>
          <w:rFonts w:hint="eastAsia"/>
          <w:color w:val="000000" w:themeColor="text1"/>
        </w:rPr>
        <w:t>），实现价值链从低附加值向高溢出效应的迁移。</w:t>
      </w:r>
    </w:p>
    <w:p w14:paraId="4DB33FF9" w14:textId="77777777" w:rsidR="00D17500" w:rsidRPr="00A763BC" w:rsidRDefault="00000000">
      <w:pPr>
        <w:pStyle w:val="2"/>
        <w:rPr>
          <w:color w:val="000000" w:themeColor="text1"/>
        </w:rPr>
      </w:pPr>
      <w:bookmarkStart w:id="3" w:name="二微操作机器人系统的技术演进与学术突破"/>
      <w:bookmarkEnd w:id="2"/>
      <w:r w:rsidRPr="00A763BC">
        <w:rPr>
          <w:rFonts w:hint="eastAsia"/>
          <w:color w:val="000000" w:themeColor="text1"/>
        </w:rPr>
        <w:t>二、</w:t>
      </w:r>
      <w:proofErr w:type="gramStart"/>
      <w:r w:rsidRPr="00A763BC">
        <w:rPr>
          <w:rFonts w:hint="eastAsia"/>
          <w:color w:val="000000" w:themeColor="text1"/>
        </w:rPr>
        <w:t>微操作</w:t>
      </w:r>
      <w:proofErr w:type="gramEnd"/>
      <w:r w:rsidRPr="00A763BC">
        <w:rPr>
          <w:rFonts w:hint="eastAsia"/>
          <w:color w:val="000000" w:themeColor="text1"/>
        </w:rPr>
        <w:t>机器人系统的技术演进与学术突破</w:t>
      </w:r>
    </w:p>
    <w:p w14:paraId="70AA1649" w14:textId="77777777" w:rsidR="00D17500" w:rsidRPr="00A763BC" w:rsidRDefault="00000000">
      <w:pPr>
        <w:pStyle w:val="FirstParagraph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报告详细回顾了南开大学</w:t>
      </w:r>
      <w:proofErr w:type="gramStart"/>
      <w:r w:rsidRPr="00A763BC">
        <w:rPr>
          <w:rFonts w:hint="eastAsia"/>
          <w:color w:val="000000" w:themeColor="text1"/>
        </w:rPr>
        <w:t>微操作</w:t>
      </w:r>
      <w:proofErr w:type="gramEnd"/>
      <w:r w:rsidRPr="00A763BC">
        <w:rPr>
          <w:rFonts w:hint="eastAsia"/>
          <w:color w:val="000000" w:themeColor="text1"/>
        </w:rPr>
        <w:t>机器人团队三十年的科研历程，展示了从机电集成到智能化、全自动化的技术跨越。</w:t>
      </w:r>
    </w:p>
    <w:p w14:paraId="4825DEC3" w14:textId="77777777" w:rsidR="00D17500" w:rsidRPr="00A763BC" w:rsidRDefault="00000000">
      <w:pPr>
        <w:pStyle w:val="3"/>
        <w:rPr>
          <w:color w:val="000000" w:themeColor="text1"/>
        </w:rPr>
      </w:pPr>
      <w:bookmarkStart w:id="4" w:name="物理层面的精准控制数理逻辑的引入"/>
      <w:r w:rsidRPr="00A763BC">
        <w:rPr>
          <w:color w:val="000000" w:themeColor="text1"/>
        </w:rPr>
        <w:t xml:space="preserve">1. </w:t>
      </w:r>
      <w:r w:rsidRPr="00A763BC">
        <w:rPr>
          <w:rFonts w:hint="eastAsia"/>
          <w:color w:val="000000" w:themeColor="text1"/>
        </w:rPr>
        <w:t>物理层面的精准控制（数理逻辑的引入）</w:t>
      </w:r>
    </w:p>
    <w:p w14:paraId="6FDFBC93" w14:textId="77777777" w:rsidR="00D17500" w:rsidRPr="00A763BC" w:rsidRDefault="00000000">
      <w:pPr>
        <w:pStyle w:val="FirstParagraph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团队的学术特色在于利用强悍的数学与物理背景，对复杂的生物操作进行力学解构。</w:t>
      </w:r>
    </w:p>
    <w:p w14:paraId="75523628" w14:textId="77777777" w:rsidR="00D17500" w:rsidRPr="00A763BC" w:rsidRDefault="00000000">
      <w:pPr>
        <w:pStyle w:val="a0"/>
        <w:rPr>
          <w:color w:val="000000" w:themeColor="text1"/>
        </w:rPr>
      </w:pPr>
      <w:proofErr w:type="gramStart"/>
      <w:r w:rsidRPr="00A763BC">
        <w:rPr>
          <w:rFonts w:hint="eastAsia"/>
          <w:color w:val="000000" w:themeColor="text1"/>
        </w:rPr>
        <w:lastRenderedPageBreak/>
        <w:t>最小力</w:t>
      </w:r>
      <w:proofErr w:type="gramEnd"/>
      <w:r w:rsidRPr="00A763BC">
        <w:rPr>
          <w:rFonts w:hint="eastAsia"/>
          <w:color w:val="000000" w:themeColor="text1"/>
        </w:rPr>
        <w:t>波动方法（</w:t>
      </w:r>
      <w:r w:rsidRPr="00A763BC">
        <w:rPr>
          <w:rFonts w:hint="eastAsia"/>
          <w:color w:val="000000" w:themeColor="text1"/>
        </w:rPr>
        <w:t>Minimal</w:t>
      </w:r>
      <w:r w:rsidRPr="00A763BC">
        <w:rPr>
          <w:color w:val="000000" w:themeColor="text1"/>
        </w:rPr>
        <w:t xml:space="preserve"> Force </w:t>
      </w:r>
      <w:r w:rsidRPr="00A763BC">
        <w:rPr>
          <w:rFonts w:hint="eastAsia"/>
          <w:color w:val="000000" w:themeColor="text1"/>
        </w:rPr>
        <w:t>Manipulation</w:t>
      </w:r>
      <w:r w:rsidRPr="00A763BC">
        <w:rPr>
          <w:rFonts w:hint="eastAsia"/>
          <w:color w:val="000000" w:themeColor="text1"/>
        </w:rPr>
        <w:t>）：针对非结构化环境下的细胞定位，团队提出了</w:t>
      </w:r>
      <w:proofErr w:type="gramStart"/>
      <w:r w:rsidRPr="00A763BC">
        <w:rPr>
          <w:rFonts w:hint="eastAsia"/>
          <w:color w:val="000000" w:themeColor="text1"/>
        </w:rPr>
        <w:t>基于受</w:t>
      </w:r>
      <w:proofErr w:type="gramEnd"/>
      <w:r w:rsidRPr="00A763BC">
        <w:rPr>
          <w:rFonts w:hint="eastAsia"/>
          <w:color w:val="000000" w:themeColor="text1"/>
        </w:rPr>
        <w:t>力平衡分析的波动算法。通过建立细胞运动与针尖接触力的动力学模型，实现了在细胞变形最小</w:t>
      </w:r>
      <w:proofErr w:type="gramStart"/>
      <w:r w:rsidRPr="00A763BC">
        <w:rPr>
          <w:rFonts w:hint="eastAsia"/>
          <w:color w:val="000000" w:themeColor="text1"/>
        </w:rPr>
        <w:t>化前提</w:t>
      </w:r>
      <w:proofErr w:type="gramEnd"/>
      <w:r w:rsidRPr="00A763BC">
        <w:rPr>
          <w:rFonts w:hint="eastAsia"/>
          <w:color w:val="000000" w:themeColor="text1"/>
        </w:rPr>
        <w:t>下的精准位姿调整。</w:t>
      </w:r>
    </w:p>
    <w:p w14:paraId="6DF485F4" w14:textId="77777777" w:rsidR="00D17500" w:rsidRPr="00A763BC" w:rsidRDefault="00000000">
      <w:pPr>
        <w:pStyle w:val="a0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刺入轨迹优化：区别于传统人工操作的不确定性，机器人系统通过控制恒定的加速度与压强，最小化了刺入过程中的细胞膜机械损伤。</w:t>
      </w:r>
    </w:p>
    <w:p w14:paraId="58C3D15C" w14:textId="77777777" w:rsidR="00D17500" w:rsidRPr="00A763BC" w:rsidRDefault="00000000">
      <w:pPr>
        <w:pStyle w:val="3"/>
        <w:rPr>
          <w:color w:val="000000" w:themeColor="text1"/>
        </w:rPr>
      </w:pPr>
      <w:bookmarkStart w:id="5" w:name="信息层面的智能增强视觉与算法的耦合"/>
      <w:bookmarkEnd w:id="4"/>
      <w:r w:rsidRPr="00A763BC">
        <w:rPr>
          <w:color w:val="000000" w:themeColor="text1"/>
        </w:rPr>
        <w:t xml:space="preserve">2. </w:t>
      </w:r>
      <w:r w:rsidRPr="00A763BC">
        <w:rPr>
          <w:rFonts w:hint="eastAsia"/>
          <w:color w:val="000000" w:themeColor="text1"/>
        </w:rPr>
        <w:t>信息层面的智能增强（视觉与算法的耦合）</w:t>
      </w:r>
    </w:p>
    <w:p w14:paraId="6B4389AA" w14:textId="77777777" w:rsidR="00D17500" w:rsidRPr="00A763BC" w:rsidRDefault="00000000">
      <w:pPr>
        <w:pStyle w:val="FirstParagraph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概率分布定位法：在明场显微镜下，细胞核往往不可见。团队利用</w:t>
      </w:r>
      <w:r w:rsidRPr="00A763BC">
        <w:rPr>
          <w:rFonts w:hint="eastAsia"/>
          <w:b/>
          <w:bCs/>
          <w:color w:val="000000" w:themeColor="text1"/>
        </w:rPr>
        <w:t>增强现实（</w:t>
      </w:r>
      <w:r w:rsidRPr="00A763BC">
        <w:rPr>
          <w:rFonts w:hint="eastAsia"/>
          <w:b/>
          <w:bCs/>
          <w:color w:val="000000" w:themeColor="text1"/>
        </w:rPr>
        <w:t>AR</w:t>
      </w:r>
      <w:r w:rsidRPr="00A763BC">
        <w:rPr>
          <w:rFonts w:hint="eastAsia"/>
          <w:b/>
          <w:bCs/>
          <w:color w:val="000000" w:themeColor="text1"/>
        </w:rPr>
        <w:t>）</w:t>
      </w:r>
      <w:r w:rsidRPr="00A763BC">
        <w:rPr>
          <w:rFonts w:hint="eastAsia"/>
          <w:color w:val="000000" w:themeColor="text1"/>
        </w:rPr>
        <w:t>技术，基于已知的形态学特征（如极体位置）与细胞核位置的统计概率分布，建立了概率预测模型。这种“软传感”技术将去核成功率从传统的</w:t>
      </w:r>
      <w:r w:rsidRPr="00A763BC">
        <w:rPr>
          <w:color w:val="000000" w:themeColor="text1"/>
        </w:rPr>
        <w:t xml:space="preserve"> 20% </w:t>
      </w:r>
      <w:r w:rsidRPr="00A763BC">
        <w:rPr>
          <w:rFonts w:hint="eastAsia"/>
          <w:color w:val="000000" w:themeColor="text1"/>
        </w:rPr>
        <w:t>提升至</w:t>
      </w:r>
      <w:r w:rsidRPr="00A763BC">
        <w:rPr>
          <w:color w:val="000000" w:themeColor="text1"/>
        </w:rPr>
        <w:t xml:space="preserve"> 93% </w:t>
      </w:r>
      <w:r w:rsidRPr="00A763BC">
        <w:rPr>
          <w:rFonts w:hint="eastAsia"/>
          <w:color w:val="000000" w:themeColor="text1"/>
        </w:rPr>
        <w:t>以上。</w:t>
      </w:r>
    </w:p>
    <w:p w14:paraId="19053765" w14:textId="77777777" w:rsidR="00D17500" w:rsidRPr="00A763BC" w:rsidRDefault="00000000">
      <w:pPr>
        <w:pStyle w:val="a0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全流程自动化策略：通过深度学习识别与任务规划，系统实现了从单细胞排序、拨动定位、</w:t>
      </w:r>
      <w:proofErr w:type="gramStart"/>
      <w:r w:rsidRPr="00A763BC">
        <w:rPr>
          <w:rFonts w:hint="eastAsia"/>
          <w:color w:val="000000" w:themeColor="text1"/>
        </w:rPr>
        <w:t>吸核到注核</w:t>
      </w:r>
      <w:proofErr w:type="gramEnd"/>
      <w:r w:rsidRPr="00A763BC">
        <w:rPr>
          <w:rFonts w:hint="eastAsia"/>
          <w:color w:val="000000" w:themeColor="text1"/>
        </w:rPr>
        <w:t>的全流程闭环控制，显著提升了实验的一致性与可重复性。</w:t>
      </w:r>
    </w:p>
    <w:p w14:paraId="782AE23F" w14:textId="77777777" w:rsidR="00D17500" w:rsidRPr="00A763BC" w:rsidRDefault="00000000">
      <w:pPr>
        <w:pStyle w:val="2"/>
        <w:rPr>
          <w:color w:val="000000" w:themeColor="text1"/>
        </w:rPr>
      </w:pPr>
      <w:bookmarkStart w:id="6" w:name="三生物医学工程中的克隆效率优化路径"/>
      <w:bookmarkEnd w:id="3"/>
      <w:bookmarkEnd w:id="5"/>
      <w:r w:rsidRPr="00A763BC">
        <w:rPr>
          <w:rFonts w:hint="eastAsia"/>
          <w:color w:val="000000" w:themeColor="text1"/>
        </w:rPr>
        <w:t>三、生物医学工程中的克隆效率优化路径</w:t>
      </w:r>
    </w:p>
    <w:p w14:paraId="203692CF" w14:textId="77777777" w:rsidR="00D17500" w:rsidRPr="00A763BC" w:rsidRDefault="00000000">
      <w:pPr>
        <w:pStyle w:val="FirstParagraph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报告指出，克隆技术（体细胞核移植）的瓶颈在于极低的发育成功率（早期仅为</w:t>
      </w:r>
      <w:r w:rsidRPr="00A763BC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0.06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%</m:t>
        </m:r>
      </m:oMath>
      <w:r w:rsidRPr="00A763BC">
        <w:rPr>
          <w:color w:val="000000" w:themeColor="text1"/>
        </w:rPr>
        <w:t xml:space="preserve"> </w:t>
      </w:r>
      <w:r w:rsidRPr="00A763BC">
        <w:rPr>
          <w:rFonts w:hint="eastAsia"/>
          <w:color w:val="000000" w:themeColor="text1"/>
        </w:rPr>
        <w:t>至</w:t>
      </w:r>
      <w:r w:rsidRPr="00A763BC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0.1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%</m:t>
        </m:r>
      </m:oMath>
      <w:r w:rsidRPr="00A763BC">
        <w:rPr>
          <w:rFonts w:hint="eastAsia"/>
          <w:color w:val="000000" w:themeColor="text1"/>
        </w:rPr>
        <w:t>）。</w:t>
      </w:r>
    </w:p>
    <w:p w14:paraId="68AAD5DB" w14:textId="77777777" w:rsidR="00D17500" w:rsidRPr="00A763BC" w:rsidRDefault="00000000">
      <w:pPr>
        <w:pStyle w:val="a0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跨学科范式转换：当生物化学手段遭遇瓶颈时，通过物理损伤控制（</w:t>
      </w:r>
      <w:r w:rsidRPr="00A763BC">
        <w:rPr>
          <w:rFonts w:hint="eastAsia"/>
          <w:color w:val="000000" w:themeColor="text1"/>
        </w:rPr>
        <w:t>Mechanical</w:t>
      </w:r>
      <w:r w:rsidRPr="00A763BC">
        <w:rPr>
          <w:color w:val="000000" w:themeColor="text1"/>
        </w:rPr>
        <w:t xml:space="preserve"> Damage </w:t>
      </w:r>
      <w:r w:rsidRPr="00A763BC">
        <w:rPr>
          <w:rFonts w:hint="eastAsia"/>
          <w:color w:val="000000" w:themeColor="text1"/>
        </w:rPr>
        <w:t>Mitigation</w:t>
      </w:r>
      <w:r w:rsidRPr="00A763BC">
        <w:rPr>
          <w:rFonts w:hint="eastAsia"/>
          <w:color w:val="000000" w:themeColor="text1"/>
        </w:rPr>
        <w:t>）可提供额外的增量贡献。</w:t>
      </w:r>
    </w:p>
    <w:p w14:paraId="7CDB1769" w14:textId="77777777" w:rsidR="00D17500" w:rsidRPr="00A763BC" w:rsidRDefault="00000000">
      <w:pPr>
        <w:pStyle w:val="a0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实验数据对比：引入机器人自动化操作后，克隆胚胎的发育率与最终产仔率（留种率）实现了跨越式提升（从</w:t>
      </w:r>
      <w:r w:rsidRPr="00A763BC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3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/</m:t>
        </m:r>
        <m:r>
          <w:rPr>
            <w:rFonts w:ascii="Cambria Math" w:hAnsi="Cambria Math"/>
            <w:color w:val="000000" w:themeColor="text1"/>
          </w:rPr>
          <m:t>5000</m:t>
        </m:r>
      </m:oMath>
      <w:r w:rsidRPr="00A763BC">
        <w:rPr>
          <w:color w:val="000000" w:themeColor="text1"/>
        </w:rPr>
        <w:t xml:space="preserve"> </w:t>
      </w:r>
      <w:r w:rsidRPr="00A763BC">
        <w:rPr>
          <w:rFonts w:hint="eastAsia"/>
          <w:color w:val="000000" w:themeColor="text1"/>
        </w:rPr>
        <w:t>提升至</w:t>
      </w:r>
      <w:r w:rsidRPr="00A763BC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3.3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%</m:t>
        </m:r>
      </m:oMath>
      <w:r w:rsidRPr="00A763BC">
        <w:rPr>
          <w:color w:val="000000" w:themeColor="text1"/>
        </w:rPr>
        <w:t xml:space="preserve"> </w:t>
      </w:r>
      <w:r w:rsidRPr="00A763BC">
        <w:rPr>
          <w:rFonts w:hint="eastAsia"/>
          <w:color w:val="000000" w:themeColor="text1"/>
        </w:rPr>
        <w:t>以上）。这证明了在精密生命科学实验中，工程精度对生物学表现具有直接的调控作用。</w:t>
      </w:r>
    </w:p>
    <w:p w14:paraId="7C1E03B6" w14:textId="77777777" w:rsidR="00D17500" w:rsidRPr="00A763BC" w:rsidRDefault="00000000">
      <w:pPr>
        <w:pStyle w:val="2"/>
        <w:rPr>
          <w:color w:val="000000" w:themeColor="text1"/>
        </w:rPr>
      </w:pPr>
      <w:bookmarkStart w:id="7" w:name="四科研成果的战略转化种质资源安全"/>
      <w:bookmarkEnd w:id="6"/>
      <w:r w:rsidRPr="00A763BC">
        <w:rPr>
          <w:rFonts w:hint="eastAsia"/>
          <w:color w:val="000000" w:themeColor="text1"/>
        </w:rPr>
        <w:t>四、科研成果的战略转化：种质资源安全</w:t>
      </w:r>
    </w:p>
    <w:p w14:paraId="268164F7" w14:textId="77777777" w:rsidR="00D17500" w:rsidRPr="00A763BC" w:rsidRDefault="00000000">
      <w:pPr>
        <w:pStyle w:val="FirstParagraph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报告最后强调了科研成果“写在祖国大地上”的学术伦理。在种猪繁育领域，中国长期面临原种依赖进口的“卡脖子”现状。</w:t>
      </w:r>
    </w:p>
    <w:p w14:paraId="4D0B1758" w14:textId="77777777" w:rsidR="00D17500" w:rsidRPr="00A763BC" w:rsidRDefault="00000000">
      <w:pPr>
        <w:pStyle w:val="a0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加速育种进程：利用克隆技术（核移植而非有性繁殖）可以实现优良性状的快速复制。</w:t>
      </w:r>
    </w:p>
    <w:p w14:paraId="3D8B6CFA" w14:textId="77777777" w:rsidR="00D17500" w:rsidRPr="00A763BC" w:rsidRDefault="00000000">
      <w:pPr>
        <w:pStyle w:val="a0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社会效益与学术使命：种猪</w:t>
      </w:r>
      <w:proofErr w:type="gramStart"/>
      <w:r w:rsidRPr="00A763BC">
        <w:rPr>
          <w:rFonts w:hint="eastAsia"/>
          <w:color w:val="000000" w:themeColor="text1"/>
        </w:rPr>
        <w:t>留种率</w:t>
      </w:r>
      <w:proofErr w:type="gramEnd"/>
      <w:r w:rsidRPr="00A763BC">
        <w:rPr>
          <w:rFonts w:hint="eastAsia"/>
          <w:color w:val="000000" w:themeColor="text1"/>
        </w:rPr>
        <w:t>从</w:t>
      </w:r>
      <w:r w:rsidRPr="00A763BC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20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%</m:t>
        </m:r>
      </m:oMath>
      <w:r w:rsidRPr="00A763BC">
        <w:rPr>
          <w:color w:val="000000" w:themeColor="text1"/>
        </w:rPr>
        <w:t xml:space="preserve"> </w:t>
      </w:r>
      <w:r w:rsidRPr="00A763BC">
        <w:rPr>
          <w:rFonts w:hint="eastAsia"/>
          <w:color w:val="000000" w:themeColor="text1"/>
        </w:rPr>
        <w:t>提升至</w:t>
      </w:r>
      <w:r w:rsidRPr="00A763BC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71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%</m:t>
        </m:r>
      </m:oMath>
      <w:r w:rsidRPr="00A763BC">
        <w:rPr>
          <w:rFonts w:hint="eastAsia"/>
          <w:color w:val="000000" w:themeColor="text1"/>
        </w:rPr>
        <w:t>，不仅是技术参数的胜利，更是对国家粮食安全与民生保障的实质性贡献。这体现了高水平研究型大学在基础研究与产业应用之间的平衡之道。</w:t>
      </w:r>
    </w:p>
    <w:p w14:paraId="28E07CC7" w14:textId="77777777" w:rsidR="00D17500" w:rsidRPr="00A763BC" w:rsidRDefault="00000000">
      <w:pPr>
        <w:pStyle w:val="2"/>
        <w:rPr>
          <w:color w:val="000000" w:themeColor="text1"/>
        </w:rPr>
      </w:pPr>
      <w:bookmarkStart w:id="8" w:name="结论"/>
      <w:bookmarkEnd w:id="7"/>
      <w:r w:rsidRPr="00A763BC">
        <w:rPr>
          <w:rFonts w:hint="eastAsia"/>
          <w:color w:val="000000" w:themeColor="text1"/>
        </w:rPr>
        <w:t>结论</w:t>
      </w:r>
    </w:p>
    <w:p w14:paraId="471F9C7C" w14:textId="77777777" w:rsidR="00D17500" w:rsidRPr="00A763BC" w:rsidRDefault="00000000">
      <w:pPr>
        <w:pStyle w:val="FirstParagraph"/>
        <w:rPr>
          <w:color w:val="000000" w:themeColor="text1"/>
        </w:rPr>
      </w:pPr>
      <w:r w:rsidRPr="00A763BC">
        <w:rPr>
          <w:rFonts w:hint="eastAsia"/>
          <w:color w:val="000000" w:themeColor="text1"/>
        </w:rPr>
        <w:t>无论是宏观经济的结构调整，还是微观层面的细胞操纵，</w:t>
      </w:r>
      <w:r w:rsidRPr="00A763BC">
        <w:rPr>
          <w:rFonts w:hint="eastAsia"/>
          <w:b/>
          <w:bCs/>
          <w:color w:val="000000" w:themeColor="text1"/>
        </w:rPr>
        <w:t>“精准适配”与“持续迭代”</w:t>
      </w:r>
      <w:r w:rsidRPr="00A763BC">
        <w:rPr>
          <w:rFonts w:hint="eastAsia"/>
          <w:color w:val="000000" w:themeColor="text1"/>
        </w:rPr>
        <w:t>均是核心驱动力。本报告揭示了跨学科研究（控制科学、力学与生物学深度融合）</w:t>
      </w:r>
      <w:r w:rsidRPr="00A763BC">
        <w:rPr>
          <w:rFonts w:hint="eastAsia"/>
          <w:color w:val="000000" w:themeColor="text1"/>
        </w:rPr>
        <w:lastRenderedPageBreak/>
        <w:t>在解决复杂巨系统问题中的决定性作用，并为未来人工智能在生命科学领域的应用提供了可借鉴的范式。</w:t>
      </w:r>
      <w:bookmarkEnd w:id="0"/>
      <w:bookmarkEnd w:id="8"/>
    </w:p>
    <w:sectPr w:rsidR="00D17500" w:rsidRPr="00A763B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C6096" w14:textId="77777777" w:rsidR="006A2F51" w:rsidRDefault="006A2F51" w:rsidP="00A763BC">
      <w:pPr>
        <w:spacing w:after="0"/>
      </w:pPr>
      <w:r>
        <w:separator/>
      </w:r>
    </w:p>
  </w:endnote>
  <w:endnote w:type="continuationSeparator" w:id="0">
    <w:p w14:paraId="33D40288" w14:textId="77777777" w:rsidR="006A2F51" w:rsidRDefault="006A2F51" w:rsidP="00A763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0AF3" w14:textId="77777777" w:rsidR="006A2F51" w:rsidRDefault="006A2F51" w:rsidP="00A763BC">
      <w:pPr>
        <w:spacing w:after="0"/>
      </w:pPr>
      <w:r>
        <w:separator/>
      </w:r>
    </w:p>
  </w:footnote>
  <w:footnote w:type="continuationSeparator" w:id="0">
    <w:p w14:paraId="280B7D43" w14:textId="77777777" w:rsidR="006A2F51" w:rsidRDefault="006A2F51" w:rsidP="00A763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00E2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796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7500"/>
    <w:rsid w:val="005B016E"/>
    <w:rsid w:val="006A2F51"/>
    <w:rsid w:val="00A763BC"/>
    <w:rsid w:val="00D1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28962"/>
  <w15:docId w15:val="{9F96CC3A-74D4-4531-8FF3-4442B0617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A763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A763BC"/>
    <w:rPr>
      <w:sz w:val="18"/>
      <w:szCs w:val="18"/>
    </w:rPr>
  </w:style>
  <w:style w:type="paragraph" w:styleId="af2">
    <w:name w:val="footer"/>
    <w:basedOn w:val="a"/>
    <w:link w:val="af3"/>
    <w:rsid w:val="00A763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A763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824</Words>
  <Characters>866</Characters>
  <Application>Microsoft Office Word</Application>
  <DocSecurity>0</DocSecurity>
  <Lines>32</Lines>
  <Paragraphs>29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振毫 刘</cp:lastModifiedBy>
  <cp:revision>2</cp:revision>
  <dcterms:created xsi:type="dcterms:W3CDTF">2026-01-05T16:19:00Z</dcterms:created>
  <dcterms:modified xsi:type="dcterms:W3CDTF">2026-01-05T16:22:00Z</dcterms:modified>
</cp:coreProperties>
</file>