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04E009" w14:textId="77777777" w:rsidR="0006709B" w:rsidRDefault="00000000">
      <w:pPr>
        <w:spacing w:after="0" w:line="240" w:lineRule="auto"/>
        <w:jc w:val="center"/>
        <w:rPr>
          <w:rFonts w:ascii="Calibri" w:eastAsia="Calibri" w:hAnsi="Calibri" w:cs="Calibri"/>
          <w:sz w:val="21"/>
        </w:rPr>
      </w:pPr>
      <w:r>
        <w:rPr>
          <w:rFonts w:ascii="宋体" w:eastAsia="宋体" w:hAnsi="宋体" w:cs="宋体"/>
          <w:sz w:val="21"/>
        </w:rPr>
        <w:t>2312167-刘振毫-第一次作业</w:t>
      </w:r>
    </w:p>
    <w:p w14:paraId="48136C98" w14:textId="77777777" w:rsidR="0006709B" w:rsidRDefault="0006709B">
      <w:pPr>
        <w:spacing w:after="0" w:line="240" w:lineRule="auto"/>
        <w:jc w:val="both"/>
        <w:rPr>
          <w:rFonts w:ascii="Calibri" w:eastAsia="Calibri" w:hAnsi="Calibri" w:cs="Calibri"/>
          <w:sz w:val="21"/>
        </w:rPr>
      </w:pPr>
    </w:p>
    <w:p w14:paraId="2C39ED52" w14:textId="77777777" w:rsidR="0006709B" w:rsidRDefault="00000000">
      <w:pPr>
        <w:spacing w:after="0" w:line="240" w:lineRule="auto"/>
        <w:jc w:val="both"/>
        <w:rPr>
          <w:rFonts w:ascii="Calibri" w:eastAsia="Calibri" w:hAnsi="Calibri" w:cs="Calibri"/>
          <w:sz w:val="21"/>
        </w:rPr>
      </w:pPr>
      <w:r>
        <w:rPr>
          <w:rFonts w:ascii="宋体" w:eastAsia="宋体" w:hAnsi="宋体" w:cs="宋体"/>
          <w:sz w:val="21"/>
        </w:rPr>
        <w:t>第一章</w:t>
      </w:r>
    </w:p>
    <w:p w14:paraId="45521E0F" w14:textId="77777777" w:rsidR="0006709B" w:rsidRDefault="00000000">
      <w:pPr>
        <w:spacing w:after="0" w:line="240" w:lineRule="auto"/>
        <w:jc w:val="both"/>
        <w:rPr>
          <w:rFonts w:ascii="Calibri" w:eastAsia="Calibri" w:hAnsi="Calibri" w:cs="Calibri"/>
          <w:sz w:val="21"/>
        </w:rPr>
      </w:pPr>
      <w:r>
        <w:rPr>
          <w:rFonts w:ascii="宋体" w:eastAsia="宋体" w:hAnsi="宋体" w:cs="宋体"/>
          <w:sz w:val="21"/>
        </w:rPr>
        <w:t>1.简述自然资源的基本属性，思考社会发展与自然资源之间的关系。</w:t>
      </w:r>
    </w:p>
    <w:p w14:paraId="7A57F2EC" w14:textId="77777777" w:rsidR="0006709B" w:rsidRDefault="0006709B">
      <w:pPr>
        <w:spacing w:after="0" w:line="240" w:lineRule="auto"/>
        <w:jc w:val="both"/>
        <w:rPr>
          <w:rFonts w:ascii="Calibri" w:eastAsia="Calibri" w:hAnsi="Calibri" w:cs="Calibri"/>
          <w:sz w:val="21"/>
        </w:rPr>
      </w:pPr>
    </w:p>
    <w:p w14:paraId="1B0F40E5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稀缺性，地域性，整体性。</w:t>
      </w:r>
    </w:p>
    <w:p w14:paraId="33396018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自然资源为社会发展提供物质基础，社会发展反作用于自然资源，我们既要合理利用自然资源，又要对自然资源进行保护。</w:t>
      </w:r>
    </w:p>
    <w:p w14:paraId="3B283676" w14:textId="77777777" w:rsidR="0006709B" w:rsidRDefault="0006709B">
      <w:pPr>
        <w:spacing w:after="0" w:line="240" w:lineRule="auto"/>
        <w:jc w:val="both"/>
        <w:rPr>
          <w:rFonts w:ascii="Calibri" w:eastAsia="Calibri" w:hAnsi="Calibri" w:cs="Calibri"/>
          <w:sz w:val="21"/>
        </w:rPr>
      </w:pPr>
    </w:p>
    <w:p w14:paraId="10BE1A1F" w14:textId="77777777" w:rsidR="0006709B" w:rsidRDefault="00000000">
      <w:pPr>
        <w:spacing w:after="0" w:line="240" w:lineRule="auto"/>
        <w:jc w:val="both"/>
        <w:rPr>
          <w:rFonts w:ascii="Calibri" w:eastAsia="Calibri" w:hAnsi="Calibri" w:cs="Calibri"/>
          <w:sz w:val="21"/>
        </w:rPr>
      </w:pPr>
      <w:r>
        <w:rPr>
          <w:rFonts w:ascii="宋体" w:eastAsia="宋体" w:hAnsi="宋体" w:cs="宋体"/>
          <w:sz w:val="21"/>
        </w:rPr>
        <w:t>2.简述能源分类形式，思考是如何实现能源的可持续利用。</w:t>
      </w:r>
    </w:p>
    <w:p w14:paraId="67FCD526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自然资源有很多种分类形式，现在普遍认同将自然资源分为可再生资源和不可再生资源，此外还有一次能源和二次能源，常规能源与新能源，燃料能源与非燃料能源之分。</w:t>
      </w:r>
    </w:p>
    <w:p w14:paraId="698A145A" w14:textId="77777777" w:rsidR="0006709B" w:rsidRDefault="0006709B">
      <w:pPr>
        <w:spacing w:after="0" w:line="240" w:lineRule="auto"/>
        <w:jc w:val="both"/>
        <w:rPr>
          <w:rFonts w:ascii="Calibri" w:eastAsia="Calibri" w:hAnsi="Calibri" w:cs="Calibri"/>
          <w:sz w:val="21"/>
        </w:rPr>
      </w:pPr>
    </w:p>
    <w:p w14:paraId="713BC311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优化能源结构向清洁和可再生能源转变；提高能源效率降低能源需求；技术创新突破能源技术瓶颈比如核能和</w:t>
      </w:r>
      <w:proofErr w:type="gramStart"/>
      <w:r>
        <w:rPr>
          <w:rFonts w:ascii="宋体" w:eastAsia="宋体" w:hAnsi="宋体" w:cs="宋体"/>
          <w:sz w:val="21"/>
        </w:rPr>
        <w:t>氢能源</w:t>
      </w:r>
      <w:proofErr w:type="gramEnd"/>
      <w:r>
        <w:rPr>
          <w:rFonts w:ascii="宋体" w:eastAsia="宋体" w:hAnsi="宋体" w:cs="宋体"/>
          <w:sz w:val="21"/>
        </w:rPr>
        <w:t>；政策支持：对新能源给予更大的政策支持和保障；提高民众节能环保意识，大力宣传能源可持续利用理念。</w:t>
      </w:r>
    </w:p>
    <w:p w14:paraId="1CB7657B" w14:textId="77777777" w:rsidR="0006709B" w:rsidRDefault="0006709B">
      <w:pPr>
        <w:spacing w:after="0" w:line="240" w:lineRule="auto"/>
        <w:jc w:val="both"/>
        <w:rPr>
          <w:rFonts w:ascii="Calibri" w:eastAsia="Calibri" w:hAnsi="Calibri" w:cs="Calibri"/>
          <w:sz w:val="21"/>
        </w:rPr>
      </w:pPr>
    </w:p>
    <w:p w14:paraId="42BCCE5D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3.简述新能源类型，思考我国新能源发展战略。</w:t>
      </w:r>
    </w:p>
    <w:p w14:paraId="6045A5D7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太阳能、地热能、风能、氢能等。</w:t>
      </w:r>
    </w:p>
    <w:p w14:paraId="6AF8240F" w14:textId="77777777" w:rsidR="0006709B" w:rsidRDefault="0006709B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</w:p>
    <w:p w14:paraId="4C8C566C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提出战略目标2030年前</w:t>
      </w:r>
      <w:proofErr w:type="gramStart"/>
      <w:r>
        <w:rPr>
          <w:rFonts w:ascii="宋体" w:eastAsia="宋体" w:hAnsi="宋体" w:cs="宋体"/>
          <w:sz w:val="21"/>
        </w:rPr>
        <w:t>实现碳达峰</w:t>
      </w:r>
      <w:proofErr w:type="gramEnd"/>
      <w:r>
        <w:rPr>
          <w:rFonts w:ascii="宋体" w:eastAsia="宋体" w:hAnsi="宋体" w:cs="宋体"/>
          <w:sz w:val="21"/>
        </w:rPr>
        <w:t>，2060年前实现碳中和。到2030年，非化石能源占一次能源消费比重达25%左右，风光发电总装机容量超12亿千瓦。大规模发展风光电，建设大型风光基地，分布式光伏推广，如“整县推进”计划，覆盖676个县市；构建新型电力系统，如特高压输电、智能电网；发展储能技术，计划2030年储能装机容量达1.2亿千瓦；</w:t>
      </w:r>
    </w:p>
    <w:p w14:paraId="3EDC5A8E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提前布局氢能产业链等。</w:t>
      </w:r>
    </w:p>
    <w:p w14:paraId="268AD3F4" w14:textId="77777777" w:rsidR="0006709B" w:rsidRDefault="0006709B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</w:p>
    <w:p w14:paraId="36F1ED5D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4.我国耕地红线是多少？</w:t>
      </w:r>
    </w:p>
    <w:p w14:paraId="7A2BEBB0" w14:textId="77777777" w:rsidR="0006709B" w:rsidRDefault="0006709B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</w:p>
    <w:p w14:paraId="01FDB627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18亿亩。</w:t>
      </w:r>
    </w:p>
    <w:p w14:paraId="7D41A957" w14:textId="77777777" w:rsidR="0006709B" w:rsidRDefault="0006709B">
      <w:pPr>
        <w:spacing w:after="0" w:line="240" w:lineRule="auto"/>
        <w:jc w:val="both"/>
        <w:rPr>
          <w:rFonts w:ascii="Calibri" w:eastAsia="Calibri" w:hAnsi="Calibri" w:cs="Calibri"/>
          <w:sz w:val="21"/>
        </w:rPr>
      </w:pPr>
    </w:p>
    <w:p w14:paraId="5B0A7122" w14:textId="77777777" w:rsidR="0006709B" w:rsidRDefault="00000000">
      <w:pPr>
        <w:spacing w:after="0" w:line="240" w:lineRule="auto"/>
        <w:jc w:val="both"/>
        <w:rPr>
          <w:rFonts w:ascii="Calibri" w:eastAsia="Calibri" w:hAnsi="Calibri" w:cs="Calibri"/>
          <w:sz w:val="21"/>
        </w:rPr>
      </w:pPr>
      <w:r>
        <w:rPr>
          <w:rFonts w:ascii="宋体" w:eastAsia="宋体" w:hAnsi="宋体" w:cs="宋体"/>
          <w:sz w:val="21"/>
        </w:rPr>
        <w:t>第二章</w:t>
      </w:r>
    </w:p>
    <w:p w14:paraId="3AA2FFF1" w14:textId="77777777" w:rsidR="0006709B" w:rsidRDefault="00000000">
      <w:pPr>
        <w:spacing w:after="0" w:line="240" w:lineRule="auto"/>
        <w:jc w:val="both"/>
        <w:rPr>
          <w:rFonts w:ascii="Calibri" w:eastAsia="Calibri" w:hAnsi="Calibri" w:cs="Calibri"/>
          <w:sz w:val="21"/>
        </w:rPr>
      </w:pPr>
      <w:r>
        <w:rPr>
          <w:rFonts w:ascii="Calibri" w:eastAsia="Calibri" w:hAnsi="Calibri" w:cs="Calibri"/>
          <w:sz w:val="21"/>
        </w:rPr>
        <w:t>1.</w:t>
      </w:r>
      <w:r>
        <w:rPr>
          <w:rFonts w:ascii="宋体" w:eastAsia="宋体" w:hAnsi="宋体" w:cs="宋体"/>
          <w:sz w:val="21"/>
        </w:rPr>
        <w:t>生态系统有哪些组成成分，各有什么作用和地位？</w:t>
      </w:r>
    </w:p>
    <w:p w14:paraId="1A418B2F" w14:textId="77777777" w:rsidR="0006709B" w:rsidRDefault="0006709B">
      <w:pPr>
        <w:spacing w:after="0" w:line="240" w:lineRule="auto"/>
        <w:jc w:val="both"/>
        <w:rPr>
          <w:rFonts w:ascii="Calibri" w:eastAsia="Calibri" w:hAnsi="Calibri" w:cs="Calibri"/>
          <w:sz w:val="21"/>
        </w:rPr>
      </w:pPr>
    </w:p>
    <w:p w14:paraId="5F853A40" w14:textId="77777777" w:rsidR="0006709B" w:rsidRDefault="00000000">
      <w:pPr>
        <w:spacing w:after="0" w:line="240" w:lineRule="auto"/>
        <w:jc w:val="both"/>
        <w:rPr>
          <w:rFonts w:ascii="Calibri" w:eastAsia="Calibri" w:hAnsi="Calibri" w:cs="Calibri"/>
          <w:sz w:val="21"/>
        </w:rPr>
      </w:pPr>
      <w:r>
        <w:rPr>
          <w:rFonts w:ascii="宋体" w:eastAsia="宋体" w:hAnsi="宋体" w:cs="宋体"/>
          <w:sz w:val="21"/>
        </w:rPr>
        <w:t>生态系统有生物部分与非生物部分，生物成分是生态系统的核心，根据其功能可分为生产者、消费者和分解者；非生物成分是生态系统的基础，为生物提供生存和发展的物质与能量条件。</w:t>
      </w:r>
    </w:p>
    <w:p w14:paraId="1518A196" w14:textId="77777777" w:rsidR="0006709B" w:rsidRDefault="0006709B">
      <w:pPr>
        <w:spacing w:after="0" w:line="240" w:lineRule="auto"/>
        <w:jc w:val="both"/>
        <w:rPr>
          <w:rFonts w:ascii="Calibri" w:eastAsia="Calibri" w:hAnsi="Calibri" w:cs="Calibri"/>
          <w:sz w:val="21"/>
        </w:rPr>
      </w:pPr>
    </w:p>
    <w:p w14:paraId="6CFBC664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2.生态系统物质流、能量流和信息如何传递的？</w:t>
      </w:r>
    </w:p>
    <w:p w14:paraId="11F6CE6F" w14:textId="77777777" w:rsidR="0006709B" w:rsidRDefault="0006709B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</w:p>
    <w:p w14:paraId="445A4593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碳循环：植物通过光合作用固定大气中的CO</w:t>
      </w:r>
      <w:r>
        <w:rPr>
          <w:rFonts w:ascii="Segoe UI Symbol" w:eastAsia="Segoe UI Symbol" w:hAnsi="Segoe UI Symbol" w:cs="Segoe UI Symbol"/>
          <w:sz w:val="21"/>
        </w:rPr>
        <w:t>₂</w:t>
      </w:r>
      <w:r>
        <w:rPr>
          <w:rFonts w:ascii="宋体" w:eastAsia="宋体" w:hAnsi="宋体" w:cs="宋体"/>
          <w:sz w:val="21"/>
        </w:rPr>
        <w:t>，转化为有机物；消费者通过摄食获取碳；分解者分解有机物，释放CO</w:t>
      </w:r>
      <w:r>
        <w:rPr>
          <w:rFonts w:ascii="Segoe UI Symbol" w:eastAsia="Segoe UI Symbol" w:hAnsi="Segoe UI Symbol" w:cs="Segoe UI Symbol"/>
          <w:sz w:val="21"/>
        </w:rPr>
        <w:t>₂</w:t>
      </w:r>
      <w:r>
        <w:rPr>
          <w:rFonts w:ascii="宋体" w:eastAsia="宋体" w:hAnsi="宋体" w:cs="宋体"/>
          <w:sz w:val="21"/>
        </w:rPr>
        <w:t>回到大气；</w:t>
      </w:r>
    </w:p>
    <w:p w14:paraId="562BFCA8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水循环：蒸发→凝结→降水→地表径流→地下水→蒸发，形成闭合循环。</w:t>
      </w:r>
    </w:p>
    <w:p w14:paraId="70889437" w14:textId="77777777" w:rsidR="0006709B" w:rsidRDefault="0006709B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</w:p>
    <w:p w14:paraId="42AB045B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能量单向流动和逐级递减。</w:t>
      </w:r>
    </w:p>
    <w:p w14:paraId="35D2F2FF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lastRenderedPageBreak/>
        <w:t>生产者→初级消费者→次级消费者→顶级消费者</w:t>
      </w:r>
    </w:p>
    <w:p w14:paraId="78C0F59A" w14:textId="77777777" w:rsidR="0006709B" w:rsidRDefault="0006709B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</w:p>
    <w:p w14:paraId="1D9B1467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物理信息：如光、声、温度等。</w:t>
      </w:r>
    </w:p>
    <w:p w14:paraId="616A65D8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化学信息：如激素、信息素等。</w:t>
      </w:r>
    </w:p>
    <w:p w14:paraId="49D1F2AC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行为信息：如动物的求偶行为、警戒行为等。</w:t>
      </w:r>
    </w:p>
    <w:p w14:paraId="16579D35" w14:textId="77777777" w:rsidR="0006709B" w:rsidRDefault="0006709B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</w:p>
    <w:p w14:paraId="3A36C33C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能量流动是物质循环的动力。物质是能量的载体。信息通过调节生物行为影响物质和能量的分配。</w:t>
      </w:r>
    </w:p>
    <w:p w14:paraId="61ECAB7D" w14:textId="77777777" w:rsidR="0006709B" w:rsidRDefault="0006709B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</w:p>
    <w:p w14:paraId="4F7BBA51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Calibri" w:eastAsia="Calibri" w:hAnsi="Calibri" w:cs="Calibri"/>
          <w:sz w:val="21"/>
        </w:rPr>
        <w:t>3.</w:t>
      </w:r>
      <w:r>
        <w:rPr>
          <w:rFonts w:ascii="宋体" w:eastAsia="宋体" w:hAnsi="宋体" w:cs="宋体"/>
          <w:sz w:val="21"/>
        </w:rPr>
        <w:t>生态系统循环的主要元素是那些？</w:t>
      </w:r>
    </w:p>
    <w:p w14:paraId="58A7A272" w14:textId="77777777" w:rsidR="0006709B" w:rsidRDefault="0006709B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</w:p>
    <w:p w14:paraId="320FD445" w14:textId="77777777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碳（C）、氮（N）、、硫（S）、磷（P）</w:t>
      </w:r>
    </w:p>
    <w:p w14:paraId="244F2147" w14:textId="77777777" w:rsidR="0006709B" w:rsidRDefault="0006709B">
      <w:pPr>
        <w:spacing w:after="0" w:line="240" w:lineRule="auto"/>
        <w:jc w:val="both"/>
        <w:rPr>
          <w:rFonts w:ascii="Calibri" w:eastAsia="Calibri" w:hAnsi="Calibri" w:cs="Calibri"/>
          <w:sz w:val="21"/>
        </w:rPr>
      </w:pPr>
    </w:p>
    <w:p w14:paraId="771BFFAC" w14:textId="3F8D525A" w:rsidR="0006709B" w:rsidRDefault="00000000">
      <w:pPr>
        <w:spacing w:after="0" w:line="240" w:lineRule="auto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4.</w:t>
      </w:r>
      <w:r w:rsidR="005076AA">
        <w:rPr>
          <w:rFonts w:ascii="宋体" w:eastAsia="宋体" w:hAnsi="宋体" w:cs="宋体" w:hint="eastAsia"/>
          <w:sz w:val="21"/>
        </w:rPr>
        <w:t xml:space="preserve">《穹顶之下》观后感 </w:t>
      </w:r>
    </w:p>
    <w:p w14:paraId="082C6F03" w14:textId="77777777" w:rsidR="0006709B" w:rsidRDefault="00000000" w:rsidP="005076AA">
      <w:pPr>
        <w:spacing w:after="0" w:line="240" w:lineRule="auto"/>
        <w:ind w:firstLineChars="200" w:firstLine="420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《穹顶之下》掀起的环保飓风，在八年后的今天显露出其预言性与局限性并存的双重面相。当我们站在“双碳”目标的经纬线上回望，雾</w:t>
      </w:r>
      <w:proofErr w:type="gramStart"/>
      <w:r>
        <w:rPr>
          <w:rFonts w:ascii="宋体" w:eastAsia="宋体" w:hAnsi="宋体" w:cs="宋体"/>
          <w:sz w:val="21"/>
        </w:rPr>
        <w:t>霾</w:t>
      </w:r>
      <w:proofErr w:type="gramEnd"/>
      <w:r>
        <w:rPr>
          <w:rFonts w:ascii="宋体" w:eastAsia="宋体" w:hAnsi="宋体" w:cs="宋体"/>
          <w:sz w:val="21"/>
        </w:rPr>
        <w:t>治理已非非此即彼的零和博弈，</w:t>
      </w:r>
      <w:proofErr w:type="gramStart"/>
      <w:r>
        <w:rPr>
          <w:rFonts w:ascii="宋体" w:eastAsia="宋体" w:hAnsi="宋体" w:cs="宋体"/>
          <w:sz w:val="21"/>
        </w:rPr>
        <w:t>而柴静镜头</w:t>
      </w:r>
      <w:proofErr w:type="gramEnd"/>
      <w:r>
        <w:rPr>
          <w:rFonts w:ascii="宋体" w:eastAsia="宋体" w:hAnsi="宋体" w:cs="宋体"/>
          <w:sz w:val="21"/>
        </w:rPr>
        <w:t>中的末日图景，正被更复杂的文明方程式重新演算。</w:t>
      </w:r>
    </w:p>
    <w:p w14:paraId="2BAB6D94" w14:textId="77777777" w:rsidR="0006709B" w:rsidRDefault="0006709B" w:rsidP="005076AA">
      <w:pPr>
        <w:spacing w:after="0" w:line="240" w:lineRule="auto"/>
        <w:ind w:firstLineChars="200" w:firstLine="420"/>
        <w:jc w:val="both"/>
        <w:rPr>
          <w:rFonts w:ascii="宋体" w:eastAsia="宋体" w:hAnsi="宋体" w:cs="宋体" w:hint="eastAsia"/>
          <w:sz w:val="21"/>
        </w:rPr>
      </w:pPr>
    </w:p>
    <w:p w14:paraId="6A97960A" w14:textId="77777777" w:rsidR="0006709B" w:rsidRDefault="00000000" w:rsidP="005076AA">
      <w:pPr>
        <w:spacing w:after="0" w:line="240" w:lineRule="auto"/>
        <w:ind w:firstLineChars="200" w:firstLine="420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北京冬奥会期间澄澈的“冬奥蓝”，与太原钢铁厂氢能炼焦炉迸射的幽蓝火焰，构成工业文明进阶的隐喻。中国用全球占比50%的新能源汽车、35%的</w:t>
      </w:r>
      <w:proofErr w:type="gramStart"/>
      <w:r>
        <w:rPr>
          <w:rFonts w:ascii="宋体" w:eastAsia="宋体" w:hAnsi="宋体" w:cs="宋体"/>
          <w:sz w:val="21"/>
        </w:rPr>
        <w:t>风光电</w:t>
      </w:r>
      <w:proofErr w:type="gramEnd"/>
      <w:r>
        <w:rPr>
          <w:rFonts w:ascii="宋体" w:eastAsia="宋体" w:hAnsi="宋体" w:cs="宋体"/>
          <w:sz w:val="21"/>
        </w:rPr>
        <w:t>装机容量，将环保叙事从“停产停工”的休克疗法扭转为“技术迭代”的动态平衡。当AI污染源追踪系统在长三角实时捕捉PM2.5轨迹，当</w:t>
      </w:r>
      <w:proofErr w:type="gramStart"/>
      <w:r>
        <w:rPr>
          <w:rFonts w:ascii="宋体" w:eastAsia="宋体" w:hAnsi="宋体" w:cs="宋体"/>
          <w:sz w:val="21"/>
        </w:rPr>
        <w:t>光伏板在</w:t>
      </w:r>
      <w:proofErr w:type="gramEnd"/>
      <w:r>
        <w:rPr>
          <w:rFonts w:ascii="宋体" w:eastAsia="宋体" w:hAnsi="宋体" w:cs="宋体"/>
          <w:sz w:val="21"/>
        </w:rPr>
        <w:t>毛乌素沙漠吞噬黄沙吐出电流，</w:t>
      </w:r>
      <w:proofErr w:type="gramStart"/>
      <w:r>
        <w:rPr>
          <w:rFonts w:ascii="宋体" w:eastAsia="宋体" w:hAnsi="宋体" w:cs="宋体"/>
          <w:sz w:val="21"/>
        </w:rPr>
        <w:t>这些柴静未曾</w:t>
      </w:r>
      <w:proofErr w:type="gramEnd"/>
      <w:r>
        <w:rPr>
          <w:rFonts w:ascii="宋体" w:eastAsia="宋体" w:hAnsi="宋体" w:cs="宋体"/>
          <w:sz w:val="21"/>
        </w:rPr>
        <w:t>预见的解题路径，正在消解纪录片中那个非黑即白的二元困境。</w:t>
      </w:r>
    </w:p>
    <w:p w14:paraId="5463DE37" w14:textId="77777777" w:rsidR="0006709B" w:rsidRDefault="0006709B" w:rsidP="005076AA">
      <w:pPr>
        <w:spacing w:after="0" w:line="240" w:lineRule="auto"/>
        <w:ind w:firstLineChars="200" w:firstLine="420"/>
        <w:jc w:val="both"/>
        <w:rPr>
          <w:rFonts w:ascii="宋体" w:eastAsia="宋体" w:hAnsi="宋体" w:cs="宋体" w:hint="eastAsia"/>
          <w:sz w:val="21"/>
        </w:rPr>
      </w:pPr>
    </w:p>
    <w:p w14:paraId="1650C2FE" w14:textId="77777777" w:rsidR="0006709B" w:rsidRDefault="00000000" w:rsidP="005076AA">
      <w:pPr>
        <w:spacing w:after="0" w:line="240" w:lineRule="auto"/>
        <w:ind w:firstLineChars="200" w:firstLine="420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但必须承认，柴静的警示如同刺破脓包的银针。她对河北钢厂的聚焦，恰巧预言了后来“地条钢”整治风暴的必然性；那些堵塞儿童呼吸道的污染颗粒，倒逼出全球最严《大气污染防治法》的诞生。只是纪录片将工业文明简单</w:t>
      </w:r>
      <w:proofErr w:type="gramStart"/>
      <w:r>
        <w:rPr>
          <w:rFonts w:ascii="宋体" w:eastAsia="宋体" w:hAnsi="宋体" w:cs="宋体"/>
          <w:sz w:val="21"/>
        </w:rPr>
        <w:t>锚</w:t>
      </w:r>
      <w:proofErr w:type="gramEnd"/>
      <w:r>
        <w:rPr>
          <w:rFonts w:ascii="宋体" w:eastAsia="宋体" w:hAnsi="宋体" w:cs="宋体"/>
          <w:sz w:val="21"/>
        </w:rPr>
        <w:t>定为环境之敌，却未预见绿色冶金、碳捕捉技术正在重写炼钢炉的命运剧本。就像黄河流域的智能煤化工基地，既生产航空燃油又封存二氧化碳，这种矛盾的统一体才是现代环保的真实注脚。</w:t>
      </w:r>
    </w:p>
    <w:p w14:paraId="33554A0A" w14:textId="77777777" w:rsidR="0006709B" w:rsidRDefault="0006709B" w:rsidP="005076AA">
      <w:pPr>
        <w:spacing w:after="0" w:line="240" w:lineRule="auto"/>
        <w:ind w:firstLineChars="200" w:firstLine="420"/>
        <w:jc w:val="both"/>
        <w:rPr>
          <w:rFonts w:ascii="宋体" w:eastAsia="宋体" w:hAnsi="宋体" w:cs="宋体" w:hint="eastAsia"/>
          <w:sz w:val="21"/>
        </w:rPr>
      </w:pPr>
    </w:p>
    <w:p w14:paraId="6A062B36" w14:textId="59164469" w:rsidR="0006709B" w:rsidRDefault="00000000" w:rsidP="005076AA">
      <w:pPr>
        <w:spacing w:after="0" w:line="240" w:lineRule="auto"/>
        <w:ind w:firstLineChars="200" w:firstLine="420"/>
        <w:jc w:val="both"/>
        <w:rPr>
          <w:rFonts w:ascii="宋体" w:eastAsia="宋体" w:hAnsi="宋体" w:cs="宋体" w:hint="eastAsia"/>
          <w:sz w:val="21"/>
        </w:rPr>
      </w:pPr>
      <w:r>
        <w:rPr>
          <w:rFonts w:ascii="宋体" w:eastAsia="宋体" w:hAnsi="宋体" w:cs="宋体"/>
          <w:sz w:val="21"/>
        </w:rPr>
        <w:t>真正的批判应指向纪录片潜藏的认知陷阱：将发展权与环境权置于对立天平。当柴静追问“山西该不该为首都环保关停煤矿”时，她选择性忽略了晋北光</w:t>
      </w:r>
      <w:proofErr w:type="gramStart"/>
      <w:r>
        <w:rPr>
          <w:rFonts w:ascii="宋体" w:eastAsia="宋体" w:hAnsi="宋体" w:cs="宋体"/>
          <w:sz w:val="21"/>
        </w:rPr>
        <w:t>伏扶贫</w:t>
      </w:r>
      <w:proofErr w:type="gramEnd"/>
      <w:r>
        <w:rPr>
          <w:rFonts w:ascii="宋体" w:eastAsia="宋体" w:hAnsi="宋体" w:cs="宋体"/>
          <w:sz w:val="21"/>
        </w:rPr>
        <w:t>电站如何让矿工后代成为“追光者”。环保从不是拆除引擎的刹车片，而是为文明列车更换清洁动能的系统工程</w:t>
      </w:r>
      <w:r w:rsidR="005076AA">
        <w:rPr>
          <w:rFonts w:ascii="宋体" w:eastAsia="宋体" w:hAnsi="宋体" w:cs="宋体" w:hint="eastAsia"/>
          <w:sz w:val="21"/>
        </w:rPr>
        <w:t>，</w:t>
      </w:r>
      <w:r>
        <w:rPr>
          <w:rFonts w:ascii="宋体" w:eastAsia="宋体" w:hAnsi="宋体" w:cs="宋体"/>
          <w:sz w:val="21"/>
        </w:rPr>
        <w:t>环境治理完全可以成为产业升级的触媒而非掘墓人。</w:t>
      </w:r>
    </w:p>
    <w:p w14:paraId="09B49EB2" w14:textId="77777777" w:rsidR="0006709B" w:rsidRDefault="0006709B" w:rsidP="005076AA">
      <w:pPr>
        <w:spacing w:after="0" w:line="240" w:lineRule="auto"/>
        <w:ind w:firstLineChars="200" w:firstLine="420"/>
        <w:jc w:val="both"/>
        <w:rPr>
          <w:rFonts w:ascii="宋体" w:eastAsia="宋体" w:hAnsi="宋体" w:cs="宋体" w:hint="eastAsia"/>
          <w:sz w:val="21"/>
        </w:rPr>
      </w:pPr>
    </w:p>
    <w:p w14:paraId="7138D19A" w14:textId="464B4F9A" w:rsidR="0006709B" w:rsidRDefault="00000000" w:rsidP="005076AA">
      <w:pPr>
        <w:spacing w:after="0" w:line="240" w:lineRule="auto"/>
        <w:ind w:firstLineChars="200" w:firstLine="420"/>
        <w:jc w:val="both"/>
        <w:rPr>
          <w:rFonts w:ascii="Calibri" w:eastAsia="Calibri" w:hAnsi="Calibri" w:cs="Calibri"/>
          <w:sz w:val="21"/>
        </w:rPr>
      </w:pPr>
      <w:r>
        <w:rPr>
          <w:rFonts w:ascii="宋体" w:eastAsia="宋体" w:hAnsi="宋体" w:cs="宋体"/>
          <w:sz w:val="21"/>
        </w:rPr>
        <w:t>在长江江豚重现的今天，我们既要感谢《穹顶之下》拉响的生态警笛，更需警惕环保民粹主义的暗流。当某个南方小镇因环保督查失去80%生计时，治理者正在试验的“碳汇交易+生态补偿”新模式，或许比简单的控诉更具建设性。毕竟，生态文明的真谛不在于重返原始洞穴，而是让人类在钢铁森林中培育出新的共生法则——就像上海中心大厦的空中花园，既吸收金融区的尾气，又托起东方曼哈顿的野心。</w:t>
      </w:r>
    </w:p>
    <w:p w14:paraId="2BCDF0F7" w14:textId="77777777" w:rsidR="0006709B" w:rsidRDefault="0006709B" w:rsidP="005076AA">
      <w:pPr>
        <w:spacing w:after="0" w:line="240" w:lineRule="auto"/>
        <w:ind w:firstLineChars="200" w:firstLine="420"/>
        <w:jc w:val="both"/>
        <w:rPr>
          <w:rFonts w:ascii="Calibri" w:eastAsia="Calibri" w:hAnsi="Calibri" w:cs="Calibri"/>
          <w:sz w:val="21"/>
        </w:rPr>
      </w:pPr>
    </w:p>
    <w:p w14:paraId="16A1FC7D" w14:textId="77777777" w:rsidR="0006709B" w:rsidRDefault="0006709B">
      <w:pPr>
        <w:spacing w:after="0" w:line="240" w:lineRule="auto"/>
        <w:jc w:val="both"/>
        <w:rPr>
          <w:rFonts w:ascii="Calibri" w:eastAsia="Calibri" w:hAnsi="Calibri" w:cs="Calibri"/>
          <w:sz w:val="21"/>
        </w:rPr>
      </w:pPr>
    </w:p>
    <w:sectPr w:rsidR="000670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709B"/>
    <w:rsid w:val="0006709B"/>
    <w:rsid w:val="000C7CF3"/>
    <w:rsid w:val="0050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02138"/>
  <w15:docId w15:val="{581465C3-A1F3-4DDD-A92D-04E38E24A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振毫 刘</cp:lastModifiedBy>
  <cp:revision>2</cp:revision>
  <dcterms:created xsi:type="dcterms:W3CDTF">2025-02-22T03:06:00Z</dcterms:created>
  <dcterms:modified xsi:type="dcterms:W3CDTF">2025-02-22T03:09:00Z</dcterms:modified>
</cp:coreProperties>
</file>