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8F29" w14:textId="287C4FF8" w:rsidR="001E0E07" w:rsidRPr="000F613D" w:rsidRDefault="00000000" w:rsidP="000F613D">
      <w:pPr>
        <w:pStyle w:val="FirstParagraph"/>
        <w:jc w:val="center"/>
        <w:rPr>
          <w:rFonts w:ascii="Times New Roman" w:eastAsia="宋体" w:hAnsi="Times New Roman"/>
          <w:b/>
          <w:bCs/>
          <w:sz w:val="32"/>
          <w:szCs w:val="32"/>
        </w:rPr>
      </w:pPr>
      <w:proofErr w:type="gramStart"/>
      <w:r w:rsidRPr="000F613D">
        <w:rPr>
          <w:rFonts w:ascii="Times New Roman" w:eastAsia="宋体" w:hAnsi="Times New Roman" w:hint="eastAsia"/>
          <w:b/>
          <w:bCs/>
          <w:sz w:val="32"/>
          <w:szCs w:val="32"/>
        </w:rPr>
        <w:t>机器人微纳操纵</w:t>
      </w:r>
      <w:proofErr w:type="gramEnd"/>
      <w:r w:rsidRPr="000F613D">
        <w:rPr>
          <w:rFonts w:ascii="Times New Roman" w:eastAsia="宋体" w:hAnsi="Times New Roman" w:hint="eastAsia"/>
          <w:b/>
          <w:bCs/>
          <w:sz w:val="32"/>
          <w:szCs w:val="32"/>
        </w:rPr>
        <w:t>技术</w:t>
      </w:r>
    </w:p>
    <w:p w14:paraId="76D9DE2D" w14:textId="0D0C8742" w:rsidR="001E0E07" w:rsidRPr="000F613D" w:rsidRDefault="000F613D" w:rsidP="000F613D">
      <w:pPr>
        <w:pStyle w:val="a0"/>
        <w:jc w:val="center"/>
        <w:rPr>
          <w:rFonts w:ascii="Times New Roman" w:eastAsia="宋体" w:hAnsi="Times New Roman"/>
          <w:sz w:val="21"/>
          <w:szCs w:val="21"/>
        </w:rPr>
      </w:pPr>
      <w:r w:rsidRPr="000F613D">
        <w:rPr>
          <w:rFonts w:ascii="Times New Roman" w:eastAsia="宋体" w:hAnsi="Times New Roman" w:hint="eastAsia"/>
          <w:sz w:val="21"/>
          <w:szCs w:val="21"/>
        </w:rPr>
        <w:t>刘振毫</w:t>
      </w:r>
      <w:r w:rsidRPr="000F613D">
        <w:rPr>
          <w:rFonts w:ascii="Times New Roman" w:eastAsia="宋体" w:hAnsi="Times New Roman" w:hint="eastAsia"/>
          <w:sz w:val="21"/>
          <w:szCs w:val="21"/>
        </w:rPr>
        <w:t xml:space="preserve"> 2312167 </w:t>
      </w:r>
      <w:r w:rsidRPr="000F613D">
        <w:rPr>
          <w:rFonts w:ascii="Times New Roman" w:eastAsia="宋体" w:hAnsi="Times New Roman" w:hint="eastAsia"/>
          <w:sz w:val="21"/>
          <w:szCs w:val="21"/>
        </w:rPr>
        <w:t>智能科学与技术</w:t>
      </w:r>
      <w:r w:rsidRPr="000F613D">
        <w:rPr>
          <w:rFonts w:ascii="Times New Roman" w:eastAsia="宋体" w:hAnsi="Times New Roman" w:hint="eastAsia"/>
          <w:sz w:val="21"/>
          <w:szCs w:val="21"/>
        </w:rPr>
        <w:t xml:space="preserve"> </w:t>
      </w:r>
      <w:r w:rsidRPr="000F613D">
        <w:rPr>
          <w:rFonts w:ascii="Times New Roman" w:eastAsia="宋体" w:hAnsi="Times New Roman" w:hint="eastAsia"/>
          <w:sz w:val="21"/>
          <w:szCs w:val="21"/>
        </w:rPr>
        <w:t>特色班</w:t>
      </w:r>
    </w:p>
    <w:p w14:paraId="1F2D4CBA" w14:textId="569CBB7A" w:rsidR="001E0E07" w:rsidRPr="000F613D" w:rsidRDefault="00000000" w:rsidP="000F613D">
      <w:pPr>
        <w:pStyle w:val="a0"/>
        <w:jc w:val="center"/>
        <w:rPr>
          <w:rFonts w:ascii="黑体" w:eastAsia="黑体" w:hAnsi="黑体" w:hint="eastAsia"/>
          <w:sz w:val="28"/>
          <w:szCs w:val="28"/>
        </w:rPr>
      </w:pPr>
      <w:r w:rsidRPr="000F613D">
        <w:rPr>
          <w:rFonts w:ascii="黑体" w:eastAsia="黑体" w:hAnsi="黑体" w:hint="eastAsia"/>
          <w:sz w:val="28"/>
          <w:szCs w:val="28"/>
        </w:rPr>
        <w:t>摘</w:t>
      </w:r>
      <w:r w:rsidR="000F613D" w:rsidRPr="000F613D">
        <w:rPr>
          <w:rFonts w:ascii="黑体" w:eastAsia="黑体" w:hAnsi="黑体" w:hint="eastAsia"/>
          <w:sz w:val="28"/>
          <w:szCs w:val="28"/>
        </w:rPr>
        <w:t xml:space="preserve">  </w:t>
      </w:r>
      <w:r w:rsidRPr="000F613D">
        <w:rPr>
          <w:rFonts w:ascii="黑体" w:eastAsia="黑体" w:hAnsi="黑体" w:hint="eastAsia"/>
          <w:sz w:val="28"/>
          <w:szCs w:val="28"/>
        </w:rPr>
        <w:t>要</w:t>
      </w:r>
    </w:p>
    <w:p w14:paraId="6E84231B" w14:textId="66F68EC5" w:rsidR="003B7A57" w:rsidRDefault="003B7A57" w:rsidP="00F96B48">
      <w:pPr>
        <w:pStyle w:val="a0"/>
        <w:ind w:firstLineChars="200" w:firstLine="480"/>
        <w:rPr>
          <w:rFonts w:ascii="Times New Roman" w:eastAsia="宋体" w:hAnsi="Times New Roman"/>
        </w:rPr>
      </w:pPr>
      <w:r w:rsidRPr="003B7A57">
        <w:rPr>
          <w:rFonts w:ascii="Times New Roman" w:eastAsia="宋体" w:hAnsi="Times New Roman" w:hint="eastAsia"/>
        </w:rPr>
        <w:t>本文基于南开大学人工智能学院相关学术报告系统梳理，立足宏观经济转型的系统逻辑与</w:t>
      </w:r>
      <w:proofErr w:type="gramStart"/>
      <w:r w:rsidRPr="003B7A57">
        <w:rPr>
          <w:rFonts w:ascii="Times New Roman" w:eastAsia="宋体" w:hAnsi="Times New Roman" w:hint="eastAsia"/>
        </w:rPr>
        <w:t>微操作</w:t>
      </w:r>
      <w:proofErr w:type="gramEnd"/>
      <w:r w:rsidRPr="003B7A57">
        <w:rPr>
          <w:rFonts w:ascii="Times New Roman" w:eastAsia="宋体" w:hAnsi="Times New Roman" w:hint="eastAsia"/>
        </w:rPr>
        <w:t>机器人科研实践的技术维度，构建了</w:t>
      </w:r>
      <w:r w:rsidRPr="003B7A57">
        <w:rPr>
          <w:rFonts w:ascii="Times New Roman" w:eastAsia="宋体" w:hAnsi="Times New Roman" w:hint="eastAsia"/>
        </w:rPr>
        <w:t>"</w:t>
      </w:r>
      <w:r w:rsidRPr="003B7A57">
        <w:rPr>
          <w:rFonts w:ascii="Times New Roman" w:eastAsia="宋体" w:hAnsi="Times New Roman" w:hint="eastAsia"/>
        </w:rPr>
        <w:t>需求牵引</w:t>
      </w:r>
      <w:r w:rsidRPr="003B7A57">
        <w:rPr>
          <w:rFonts w:ascii="Times New Roman" w:eastAsia="宋体" w:hAnsi="Times New Roman" w:hint="eastAsia"/>
        </w:rPr>
        <w:t>-</w:t>
      </w:r>
      <w:r w:rsidRPr="003B7A57">
        <w:rPr>
          <w:rFonts w:ascii="Times New Roman" w:eastAsia="宋体" w:hAnsi="Times New Roman" w:hint="eastAsia"/>
        </w:rPr>
        <w:t>技术突破</w:t>
      </w:r>
      <w:r w:rsidRPr="003B7A57">
        <w:rPr>
          <w:rFonts w:ascii="Times New Roman" w:eastAsia="宋体" w:hAnsi="Times New Roman" w:hint="eastAsia"/>
        </w:rPr>
        <w:t>-</w:t>
      </w:r>
      <w:r w:rsidRPr="003B7A57">
        <w:rPr>
          <w:rFonts w:ascii="Times New Roman" w:eastAsia="宋体" w:hAnsi="Times New Roman" w:hint="eastAsia"/>
        </w:rPr>
        <w:t>产业转化</w:t>
      </w:r>
      <w:r w:rsidRPr="003B7A57">
        <w:rPr>
          <w:rFonts w:ascii="Times New Roman" w:eastAsia="宋体" w:hAnsi="Times New Roman" w:hint="eastAsia"/>
        </w:rPr>
        <w:t>"</w:t>
      </w:r>
      <w:r w:rsidRPr="003B7A57">
        <w:rPr>
          <w:rFonts w:ascii="Times New Roman" w:eastAsia="宋体" w:hAnsi="Times New Roman" w:hint="eastAsia"/>
        </w:rPr>
        <w:t>的分析框架，深度阐释中国经济内</w:t>
      </w:r>
      <w:proofErr w:type="gramStart"/>
      <w:r w:rsidRPr="003B7A57">
        <w:rPr>
          <w:rFonts w:ascii="Times New Roman" w:eastAsia="宋体" w:hAnsi="Times New Roman" w:hint="eastAsia"/>
        </w:rPr>
        <w:t>生增长</w:t>
      </w:r>
      <w:proofErr w:type="gramEnd"/>
      <w:r w:rsidRPr="003B7A57">
        <w:rPr>
          <w:rFonts w:ascii="Times New Roman" w:eastAsia="宋体" w:hAnsi="Times New Roman" w:hint="eastAsia"/>
        </w:rPr>
        <w:t>动力与战略性新兴产业的突破路径。报告聚焦生物医学工程核心领域，重点探讨体细胞核移植技术中低成功率瓶颈的跨学科解决方案，通过数理建模、自动化控制与生物医学的深度融合，建立了高精度细胞</w:t>
      </w:r>
      <w:proofErr w:type="gramStart"/>
      <w:r w:rsidRPr="003B7A57">
        <w:rPr>
          <w:rFonts w:ascii="Times New Roman" w:eastAsia="宋体" w:hAnsi="Times New Roman" w:hint="eastAsia"/>
        </w:rPr>
        <w:t>微操作</w:t>
      </w:r>
      <w:proofErr w:type="gramEnd"/>
      <w:r w:rsidRPr="003B7A57">
        <w:rPr>
          <w:rFonts w:ascii="Times New Roman" w:eastAsia="宋体" w:hAnsi="Times New Roman" w:hint="eastAsia"/>
        </w:rPr>
        <w:t>技术体系，并系统论证了该技术向国家农业种质资源安全领域战略转化的可行性与核心价值。研究表明，工程技术对生命科学实验的精准调控可显著提升核心技术指标，为人工智能与生命科学交叉领域的研究提供了可借鉴的范式。</w:t>
      </w:r>
    </w:p>
    <w:p w14:paraId="1E72EF39" w14:textId="67D4EC8F" w:rsidR="001E0E07" w:rsidRPr="000F613D" w:rsidRDefault="00000000">
      <w:pPr>
        <w:pStyle w:val="a0"/>
        <w:rPr>
          <w:rFonts w:ascii="Times New Roman" w:eastAsia="宋体" w:hAnsi="Times New Roman"/>
        </w:rPr>
      </w:pPr>
      <w:r w:rsidRPr="000F613D">
        <w:rPr>
          <w:rFonts w:ascii="黑体" w:eastAsia="黑体" w:hAnsi="黑体" w:hint="eastAsia"/>
        </w:rPr>
        <w:t>关键词</w:t>
      </w:r>
      <w:r w:rsidRPr="000F613D">
        <w:rPr>
          <w:rFonts w:ascii="Times New Roman" w:eastAsia="宋体" w:hAnsi="Times New Roman" w:hint="eastAsia"/>
        </w:rPr>
        <w:t>：系统工程，</w:t>
      </w:r>
      <w:proofErr w:type="gramStart"/>
      <w:r w:rsidRPr="000F613D">
        <w:rPr>
          <w:rFonts w:ascii="Times New Roman" w:eastAsia="宋体" w:hAnsi="Times New Roman" w:hint="eastAsia"/>
        </w:rPr>
        <w:t>微操作</w:t>
      </w:r>
      <w:proofErr w:type="gramEnd"/>
      <w:r w:rsidRPr="000F613D">
        <w:rPr>
          <w:rFonts w:ascii="Times New Roman" w:eastAsia="宋体" w:hAnsi="Times New Roman" w:hint="eastAsia"/>
        </w:rPr>
        <w:t>机器人，体细胞克隆，种质资源安全</w:t>
      </w:r>
    </w:p>
    <w:p w14:paraId="3A5023C4" w14:textId="77777777" w:rsidR="001E0E07" w:rsidRPr="000F613D" w:rsidRDefault="00000000" w:rsidP="003B7A57">
      <w:pPr>
        <w:pStyle w:val="a0"/>
        <w:spacing w:line="360" w:lineRule="auto"/>
        <w:rPr>
          <w:rFonts w:ascii="Times New Roman" w:eastAsia="宋体" w:hAnsi="Times New Roman"/>
        </w:rPr>
      </w:pPr>
      <w:r w:rsidRPr="000F613D">
        <w:rPr>
          <w:rFonts w:ascii="Times New Roman" w:eastAsia="宋体" w:hAnsi="Times New Roman" w:hint="eastAsia"/>
        </w:rPr>
        <w:t>一、宏观经济逻辑：供需错配下的动态平衡分析</w:t>
      </w:r>
    </w:p>
    <w:p w14:paraId="2F78E9AD" w14:textId="77777777"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报告首先从宏观经济学角度审视了中国应对外部冲击的韧性来源。其核心论点在于：</w:t>
      </w:r>
      <w:r w:rsidRPr="000F613D">
        <w:rPr>
          <w:rFonts w:ascii="Times New Roman" w:eastAsia="宋体" w:hAnsi="Times New Roman" w:hint="eastAsia"/>
        </w:rPr>
        <w:t>14</w:t>
      </w:r>
      <w:r w:rsidRPr="000F613D">
        <w:rPr>
          <w:rFonts w:ascii="Times New Roman" w:eastAsia="宋体" w:hAnsi="Times New Roman" w:hint="eastAsia"/>
        </w:rPr>
        <w:t>亿人口对高品质生活的追求构成了全球最大的潜在需求市场，而当前的经济压力本质上是全球供应链驱动的供给侧与内生性需求侧之间的“空间错配”。</w:t>
      </w:r>
    </w:p>
    <w:p w14:paraId="4CA952A9" w14:textId="4E85F515"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供给侧结构性改革的必要性：类比生物系统与社会关系的复杂性如亲子关系的低适配度，经济体系中的供给与需求亦存在天然的信息不对称。民营经济在其中扮演了“长尾市场”的弥补者角色，其竞争机制有效解决了计划体制下无法覆盖的个性化、高品质需求。</w:t>
      </w:r>
    </w:p>
    <w:p w14:paraId="16D4FBCF" w14:textId="04180E69"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双循环格局的底层逻辑：经济基础决定上层建筑。在国际贸易摩擦背景下，强化国内大循环并非封闭，而是通过提升本土劳动生产率，实现价值链从低附加值向高溢出效应的迁移。</w:t>
      </w:r>
    </w:p>
    <w:p w14:paraId="03CCE295" w14:textId="77777777" w:rsidR="001E0E07" w:rsidRPr="000F613D" w:rsidRDefault="00000000" w:rsidP="003B7A57">
      <w:pPr>
        <w:pStyle w:val="a0"/>
        <w:spacing w:line="360" w:lineRule="auto"/>
        <w:rPr>
          <w:rFonts w:ascii="Times New Roman" w:eastAsia="宋体" w:hAnsi="Times New Roman"/>
        </w:rPr>
      </w:pPr>
      <w:r w:rsidRPr="000F613D">
        <w:rPr>
          <w:rFonts w:ascii="Times New Roman" w:eastAsia="宋体" w:hAnsi="Times New Roman" w:hint="eastAsia"/>
        </w:rPr>
        <w:t>二、微操作机器人系统的技术演进与学术突破</w:t>
      </w:r>
    </w:p>
    <w:p w14:paraId="661D3250" w14:textId="77777777"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报告详细回顾了南开大学微操作机器人团队三十年的科研历程，展示了从机电集成到智能化、全自动化的技术跨越。</w:t>
      </w:r>
    </w:p>
    <w:p w14:paraId="09200C25" w14:textId="3C899411" w:rsidR="001E0E07" w:rsidRPr="000F613D" w:rsidRDefault="00000000" w:rsidP="000F613D">
      <w:pPr>
        <w:pStyle w:val="Compact"/>
        <w:numPr>
          <w:ilvl w:val="0"/>
          <w:numId w:val="2"/>
        </w:numPr>
        <w:spacing w:line="360" w:lineRule="auto"/>
        <w:ind w:firstLineChars="200" w:firstLine="480"/>
        <w:rPr>
          <w:rFonts w:ascii="Times New Roman" w:eastAsia="宋体" w:hAnsi="Times New Roman"/>
        </w:rPr>
      </w:pPr>
      <w:r w:rsidRPr="000F613D">
        <w:rPr>
          <w:rFonts w:ascii="Times New Roman" w:eastAsia="宋体" w:hAnsi="Times New Roman" w:hint="eastAsia"/>
        </w:rPr>
        <w:t>物理层面的精准控制</w:t>
      </w:r>
    </w:p>
    <w:p w14:paraId="2D7E9C31" w14:textId="77777777" w:rsidR="001E0E07" w:rsidRPr="000F613D" w:rsidRDefault="00000000" w:rsidP="000F613D">
      <w:pPr>
        <w:pStyle w:val="Compact"/>
        <w:numPr>
          <w:ilvl w:val="0"/>
          <w:numId w:val="1"/>
        </w:numPr>
        <w:spacing w:line="360" w:lineRule="auto"/>
        <w:ind w:firstLineChars="200" w:firstLine="480"/>
        <w:rPr>
          <w:rFonts w:ascii="Times New Roman" w:eastAsia="宋体" w:hAnsi="Times New Roman"/>
        </w:rPr>
      </w:pPr>
      <w:r w:rsidRPr="000F613D">
        <w:rPr>
          <w:rFonts w:ascii="Times New Roman" w:eastAsia="宋体" w:hAnsi="Times New Roman" w:hint="eastAsia"/>
        </w:rPr>
        <w:lastRenderedPageBreak/>
        <w:t>团队的学术特色在于利用强悍的数学与物理背景，对复杂的生物操作进行力学解构。</w:t>
      </w:r>
    </w:p>
    <w:p w14:paraId="6D3AD8D8" w14:textId="73631E2D" w:rsidR="001E0E07" w:rsidRPr="000F613D" w:rsidRDefault="00000000" w:rsidP="000F613D">
      <w:pPr>
        <w:pStyle w:val="FirstParagraph"/>
        <w:spacing w:line="360" w:lineRule="auto"/>
        <w:ind w:firstLineChars="200" w:firstLine="480"/>
        <w:rPr>
          <w:rFonts w:ascii="Times New Roman" w:eastAsia="宋体" w:hAnsi="Times New Roman"/>
        </w:rPr>
      </w:pPr>
      <w:proofErr w:type="gramStart"/>
      <w:r w:rsidRPr="000F613D">
        <w:rPr>
          <w:rFonts w:ascii="Times New Roman" w:eastAsia="宋体" w:hAnsi="Times New Roman" w:hint="eastAsia"/>
        </w:rPr>
        <w:t>最小力</w:t>
      </w:r>
      <w:proofErr w:type="gramEnd"/>
      <w:r w:rsidRPr="000F613D">
        <w:rPr>
          <w:rFonts w:ascii="Times New Roman" w:eastAsia="宋体" w:hAnsi="Times New Roman" w:hint="eastAsia"/>
        </w:rPr>
        <w:t>波动方法：针对非结构化环境下的细胞定位，团队提出了</w:t>
      </w:r>
      <w:proofErr w:type="gramStart"/>
      <w:r w:rsidRPr="000F613D">
        <w:rPr>
          <w:rFonts w:ascii="Times New Roman" w:eastAsia="宋体" w:hAnsi="Times New Roman" w:hint="eastAsia"/>
        </w:rPr>
        <w:t>基于受</w:t>
      </w:r>
      <w:proofErr w:type="gramEnd"/>
      <w:r w:rsidRPr="000F613D">
        <w:rPr>
          <w:rFonts w:ascii="Times New Roman" w:eastAsia="宋体" w:hAnsi="Times New Roman" w:hint="eastAsia"/>
        </w:rPr>
        <w:t>力平衡分析的波动算法。通过建立细胞运动与针尖接触力的动力学模型，实现了在细胞变形最小化前提下的精准位姿调整。</w:t>
      </w:r>
    </w:p>
    <w:p w14:paraId="059DB688" w14:textId="77777777"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刺入轨迹优化：区别于传统人工操作的不确定性，机器人系统通过控制恒定的加速度与压强，最小化了刺入过程中的细胞膜机械损伤。</w:t>
      </w:r>
    </w:p>
    <w:p w14:paraId="0E702DCA" w14:textId="0502236D" w:rsidR="001E0E07" w:rsidRPr="000F613D" w:rsidRDefault="00000000" w:rsidP="000F613D">
      <w:pPr>
        <w:pStyle w:val="Compact"/>
        <w:numPr>
          <w:ilvl w:val="0"/>
          <w:numId w:val="3"/>
        </w:numPr>
        <w:spacing w:line="360" w:lineRule="auto"/>
        <w:ind w:firstLineChars="200" w:firstLine="480"/>
        <w:rPr>
          <w:rFonts w:ascii="Times New Roman" w:eastAsia="宋体" w:hAnsi="Times New Roman"/>
        </w:rPr>
      </w:pPr>
      <w:r w:rsidRPr="000F613D">
        <w:rPr>
          <w:rFonts w:ascii="Times New Roman" w:eastAsia="宋体" w:hAnsi="Times New Roman" w:hint="eastAsia"/>
        </w:rPr>
        <w:t>信息层面的智能增强</w:t>
      </w:r>
    </w:p>
    <w:p w14:paraId="00996292" w14:textId="4F1B9BD6" w:rsidR="001E0E07" w:rsidRPr="000F613D" w:rsidRDefault="00000000" w:rsidP="000F613D">
      <w:pPr>
        <w:pStyle w:val="Compact"/>
        <w:numPr>
          <w:ilvl w:val="0"/>
          <w:numId w:val="1"/>
        </w:numPr>
        <w:spacing w:line="360" w:lineRule="auto"/>
        <w:ind w:firstLineChars="200" w:firstLine="480"/>
        <w:rPr>
          <w:rFonts w:ascii="Times New Roman" w:eastAsia="宋体" w:hAnsi="Times New Roman"/>
        </w:rPr>
      </w:pPr>
      <w:r w:rsidRPr="000F613D">
        <w:rPr>
          <w:rFonts w:ascii="Times New Roman" w:eastAsia="宋体" w:hAnsi="Times New Roman" w:hint="eastAsia"/>
        </w:rPr>
        <w:t>概率分布定位法：在明场显微镜下，细胞核往往不可见。团队利用增强现实技术，基于已知的形态学特征如极体位置与细胞核位置的统计概率分布，建立了概率预测模型。这种“软传感”技术将去核成功率从传统的</w:t>
      </w:r>
      <w:r w:rsidRPr="000F613D">
        <w:rPr>
          <w:rFonts w:ascii="Times New Roman" w:eastAsia="宋体" w:hAnsi="Times New Roman"/>
        </w:rPr>
        <w:t xml:space="preserve"> 20% </w:t>
      </w:r>
      <w:r w:rsidRPr="000F613D">
        <w:rPr>
          <w:rFonts w:ascii="Times New Roman" w:eastAsia="宋体" w:hAnsi="Times New Roman" w:hint="eastAsia"/>
        </w:rPr>
        <w:t>提升至</w:t>
      </w:r>
      <w:r w:rsidRPr="000F613D">
        <w:rPr>
          <w:rFonts w:ascii="Times New Roman" w:eastAsia="宋体" w:hAnsi="Times New Roman"/>
        </w:rPr>
        <w:t xml:space="preserve"> 93% </w:t>
      </w:r>
      <w:r w:rsidRPr="000F613D">
        <w:rPr>
          <w:rFonts w:ascii="Times New Roman" w:eastAsia="宋体" w:hAnsi="Times New Roman" w:hint="eastAsia"/>
        </w:rPr>
        <w:t>以上。</w:t>
      </w:r>
    </w:p>
    <w:p w14:paraId="176739C2" w14:textId="77777777" w:rsidR="001E0E07" w:rsidRPr="000F613D" w:rsidRDefault="00000000" w:rsidP="000F613D">
      <w:pPr>
        <w:pStyle w:val="FirstParagraph"/>
        <w:spacing w:line="360" w:lineRule="auto"/>
        <w:ind w:firstLineChars="200" w:firstLine="480"/>
        <w:rPr>
          <w:rFonts w:ascii="Times New Roman" w:eastAsia="宋体" w:hAnsi="Times New Roman"/>
        </w:rPr>
      </w:pPr>
      <w:r w:rsidRPr="000F613D">
        <w:rPr>
          <w:rFonts w:ascii="Times New Roman" w:eastAsia="宋体" w:hAnsi="Times New Roman" w:hint="eastAsia"/>
        </w:rPr>
        <w:t>全流程自动化策略：通过深度学习识别与任务规划，系统实现了从单细胞排序、拨动定位、吸核到注核的全流程闭环控制，显著提升了实验的一致性与可重复性。</w:t>
      </w:r>
    </w:p>
    <w:p w14:paraId="6E1F7C3A" w14:textId="77777777" w:rsidR="001E0E07" w:rsidRPr="000F613D" w:rsidRDefault="00000000" w:rsidP="003B7A57">
      <w:pPr>
        <w:pStyle w:val="a0"/>
        <w:spacing w:line="360" w:lineRule="auto"/>
        <w:rPr>
          <w:rFonts w:ascii="Times New Roman" w:eastAsia="宋体" w:hAnsi="Times New Roman"/>
        </w:rPr>
      </w:pPr>
      <w:r w:rsidRPr="000F613D">
        <w:rPr>
          <w:rFonts w:ascii="Times New Roman" w:eastAsia="宋体" w:hAnsi="Times New Roman" w:hint="eastAsia"/>
        </w:rPr>
        <w:t>三、生物医学工程中的克隆效率优化路径</w:t>
      </w:r>
    </w:p>
    <w:p w14:paraId="48ED9D9D" w14:textId="5A6368AC"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报告指出，克隆技术</w:t>
      </w:r>
      <w:r w:rsidR="000F613D">
        <w:rPr>
          <w:rFonts w:ascii="Times New Roman" w:eastAsia="宋体" w:hAnsi="Times New Roman" w:hint="eastAsia"/>
        </w:rPr>
        <w:t>--</w:t>
      </w:r>
      <w:r w:rsidRPr="000F613D">
        <w:rPr>
          <w:rFonts w:ascii="Times New Roman" w:eastAsia="宋体" w:hAnsi="Times New Roman" w:hint="eastAsia"/>
        </w:rPr>
        <w:t>体细胞核移植的瓶颈在于极低的发育成功率</w:t>
      </w:r>
      <w:r w:rsidR="000F613D">
        <w:rPr>
          <w:rFonts w:ascii="Times New Roman" w:eastAsia="宋体" w:hAnsi="Times New Roman" w:hint="eastAsia"/>
        </w:rPr>
        <w:t>，</w:t>
      </w:r>
      <w:r w:rsidRPr="000F613D">
        <w:rPr>
          <w:rFonts w:ascii="Times New Roman" w:eastAsia="宋体" w:hAnsi="Times New Roman" w:hint="eastAsia"/>
        </w:rPr>
        <w:t>早期仅为</w:t>
      </w:r>
      <w:r w:rsidRPr="000F613D">
        <w:rPr>
          <w:rFonts w:ascii="Times New Roman" w:eastAsia="宋体" w:hAnsi="Times New Roman"/>
        </w:rPr>
        <w:t xml:space="preserve"> 0.06% </w:t>
      </w:r>
      <w:r w:rsidRPr="000F613D">
        <w:rPr>
          <w:rFonts w:ascii="Times New Roman" w:eastAsia="宋体" w:hAnsi="Times New Roman" w:hint="eastAsia"/>
        </w:rPr>
        <w:t>至</w:t>
      </w:r>
      <w:r w:rsidRPr="000F613D">
        <w:rPr>
          <w:rFonts w:ascii="Times New Roman" w:eastAsia="宋体" w:hAnsi="Times New Roman"/>
        </w:rPr>
        <w:t xml:space="preserve"> </w:t>
      </w:r>
      <w:r w:rsidRPr="000F613D">
        <w:rPr>
          <w:rFonts w:ascii="Times New Roman" w:eastAsia="宋体" w:hAnsi="Times New Roman" w:hint="eastAsia"/>
        </w:rPr>
        <w:t>0.1%</w:t>
      </w:r>
      <w:r w:rsidRPr="000F613D">
        <w:rPr>
          <w:rFonts w:ascii="Times New Roman" w:eastAsia="宋体" w:hAnsi="Times New Roman" w:hint="eastAsia"/>
        </w:rPr>
        <w:t>。</w:t>
      </w:r>
    </w:p>
    <w:p w14:paraId="5EC47EDA" w14:textId="32B383D3"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跨学科范式转换：当生物化学手段遭遇瓶颈时，通过物理损伤控制可提供额外的增量贡献。</w:t>
      </w:r>
    </w:p>
    <w:p w14:paraId="334363D6" w14:textId="303A9FE2"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实验数据对比：引入机器人自动化操作后，克隆胚胎的发育率与最终产仔率实现了跨越式提升</w:t>
      </w:r>
      <w:r w:rsidR="000F613D">
        <w:rPr>
          <w:rFonts w:ascii="Times New Roman" w:eastAsia="宋体" w:hAnsi="Times New Roman" w:hint="eastAsia"/>
        </w:rPr>
        <w:t>，</w:t>
      </w:r>
      <w:r w:rsidRPr="000F613D">
        <w:rPr>
          <w:rFonts w:ascii="Times New Roman" w:eastAsia="宋体" w:hAnsi="Times New Roman" w:hint="eastAsia"/>
        </w:rPr>
        <w:t>从</w:t>
      </w:r>
      <w:r w:rsidRPr="000F613D">
        <w:rPr>
          <w:rFonts w:ascii="Times New Roman" w:eastAsia="宋体" w:hAnsi="Times New Roman"/>
        </w:rPr>
        <w:t xml:space="preserve"> 3/5000 </w:t>
      </w:r>
      <w:r w:rsidRPr="000F613D">
        <w:rPr>
          <w:rFonts w:ascii="Times New Roman" w:eastAsia="宋体" w:hAnsi="Times New Roman" w:hint="eastAsia"/>
        </w:rPr>
        <w:t>提升至</w:t>
      </w:r>
      <w:r w:rsidRPr="000F613D">
        <w:rPr>
          <w:rFonts w:ascii="Times New Roman" w:eastAsia="宋体" w:hAnsi="Times New Roman"/>
        </w:rPr>
        <w:t xml:space="preserve"> 3.3% </w:t>
      </w:r>
      <w:r w:rsidRPr="000F613D">
        <w:rPr>
          <w:rFonts w:ascii="Times New Roman" w:eastAsia="宋体" w:hAnsi="Times New Roman" w:hint="eastAsia"/>
        </w:rPr>
        <w:t>以上。这证明了在精密生命科学实验中，工程精度对生物学表现具有直接的调控作用。</w:t>
      </w:r>
    </w:p>
    <w:p w14:paraId="3B59DF23" w14:textId="77777777" w:rsidR="001E0E07" w:rsidRPr="000F613D" w:rsidRDefault="00000000" w:rsidP="003B7A57">
      <w:pPr>
        <w:pStyle w:val="a0"/>
        <w:spacing w:line="360" w:lineRule="auto"/>
        <w:rPr>
          <w:rFonts w:ascii="Times New Roman" w:eastAsia="宋体" w:hAnsi="Times New Roman"/>
        </w:rPr>
      </w:pPr>
      <w:r w:rsidRPr="000F613D">
        <w:rPr>
          <w:rFonts w:ascii="Times New Roman" w:eastAsia="宋体" w:hAnsi="Times New Roman" w:hint="eastAsia"/>
        </w:rPr>
        <w:t>四、科研成果的战略转化：种质资源安全</w:t>
      </w:r>
    </w:p>
    <w:p w14:paraId="01D205C1" w14:textId="77777777"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lastRenderedPageBreak/>
        <w:t>报告最后强调了科研成果“写在祖国大地上”的学术伦理。在种猪繁育领域，中国长期面临原种依赖进口的“卡脖子”现状。</w:t>
      </w:r>
    </w:p>
    <w:p w14:paraId="71336DE4" w14:textId="6FEDD86D"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加速育种进程：利用克隆技术</w:t>
      </w:r>
      <w:r w:rsidR="000F613D">
        <w:rPr>
          <w:rFonts w:ascii="Times New Roman" w:eastAsia="宋体" w:hAnsi="Times New Roman" w:hint="eastAsia"/>
        </w:rPr>
        <w:t>，</w:t>
      </w:r>
      <w:r w:rsidRPr="000F613D">
        <w:rPr>
          <w:rFonts w:ascii="Times New Roman" w:eastAsia="宋体" w:hAnsi="Times New Roman" w:hint="eastAsia"/>
        </w:rPr>
        <w:t>核移植而非有性繁殖</w:t>
      </w:r>
      <w:r w:rsidR="000F613D">
        <w:rPr>
          <w:rFonts w:ascii="Times New Roman" w:eastAsia="宋体" w:hAnsi="Times New Roman" w:hint="eastAsia"/>
        </w:rPr>
        <w:t>，</w:t>
      </w:r>
      <w:r w:rsidRPr="000F613D">
        <w:rPr>
          <w:rFonts w:ascii="Times New Roman" w:eastAsia="宋体" w:hAnsi="Times New Roman" w:hint="eastAsia"/>
        </w:rPr>
        <w:t>可以实现优良性状的快速复制。</w:t>
      </w:r>
    </w:p>
    <w:p w14:paraId="5D0BA72F" w14:textId="77777777"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社会效益与学术使命：种猪留种率从</w:t>
      </w:r>
      <w:r w:rsidRPr="000F613D">
        <w:rPr>
          <w:rFonts w:ascii="Times New Roman" w:eastAsia="宋体" w:hAnsi="Times New Roman"/>
        </w:rPr>
        <w:t xml:space="preserve"> 20% </w:t>
      </w:r>
      <w:r w:rsidRPr="000F613D">
        <w:rPr>
          <w:rFonts w:ascii="Times New Roman" w:eastAsia="宋体" w:hAnsi="Times New Roman" w:hint="eastAsia"/>
        </w:rPr>
        <w:t>提升至</w:t>
      </w:r>
      <w:r w:rsidRPr="000F613D">
        <w:rPr>
          <w:rFonts w:ascii="Times New Roman" w:eastAsia="宋体" w:hAnsi="Times New Roman"/>
        </w:rPr>
        <w:t xml:space="preserve"> </w:t>
      </w:r>
      <w:r w:rsidRPr="000F613D">
        <w:rPr>
          <w:rFonts w:ascii="Times New Roman" w:eastAsia="宋体" w:hAnsi="Times New Roman" w:hint="eastAsia"/>
        </w:rPr>
        <w:t>71%</w:t>
      </w:r>
      <w:r w:rsidRPr="000F613D">
        <w:rPr>
          <w:rFonts w:ascii="Times New Roman" w:eastAsia="宋体" w:hAnsi="Times New Roman" w:hint="eastAsia"/>
        </w:rPr>
        <w:t>，不仅是技术参数的胜利，更是对国家粮食安全与民生保障的实质性贡献。这体现了高水平研究型大学在基础研究与产业应用之间的平衡之道。</w:t>
      </w:r>
    </w:p>
    <w:p w14:paraId="2319A173" w14:textId="612CCDF4" w:rsidR="001E0E07" w:rsidRPr="000F613D" w:rsidRDefault="003B7A57" w:rsidP="003B7A57">
      <w:pPr>
        <w:pStyle w:val="a0"/>
        <w:spacing w:line="360" w:lineRule="auto"/>
        <w:rPr>
          <w:rFonts w:ascii="Times New Roman" w:eastAsia="宋体" w:hAnsi="Times New Roman"/>
        </w:rPr>
      </w:pPr>
      <w:r>
        <w:rPr>
          <w:rFonts w:ascii="Times New Roman" w:eastAsia="宋体" w:hAnsi="Times New Roman" w:hint="eastAsia"/>
        </w:rPr>
        <w:t>五、</w:t>
      </w:r>
      <w:r w:rsidR="00000000" w:rsidRPr="000F613D">
        <w:rPr>
          <w:rFonts w:ascii="Times New Roman" w:eastAsia="宋体" w:hAnsi="Times New Roman" w:hint="eastAsia"/>
        </w:rPr>
        <w:t>结论</w:t>
      </w:r>
    </w:p>
    <w:p w14:paraId="2953776B" w14:textId="238C63A8" w:rsidR="001E0E07" w:rsidRPr="000F613D" w:rsidRDefault="00000000" w:rsidP="000F613D">
      <w:pPr>
        <w:pStyle w:val="a0"/>
        <w:spacing w:line="360" w:lineRule="auto"/>
        <w:ind w:firstLineChars="200" w:firstLine="480"/>
        <w:rPr>
          <w:rFonts w:ascii="Times New Roman" w:eastAsia="宋体" w:hAnsi="Times New Roman"/>
        </w:rPr>
      </w:pPr>
      <w:r w:rsidRPr="000F613D">
        <w:rPr>
          <w:rFonts w:ascii="Times New Roman" w:eastAsia="宋体" w:hAnsi="Times New Roman" w:hint="eastAsia"/>
        </w:rPr>
        <w:t>无论是宏观经济的结构调整，还是微观层面的细胞操纵，“精准适配”与“持续迭代”均是核心驱动力。跨学科研究</w:t>
      </w:r>
      <w:r w:rsidR="000F613D">
        <w:rPr>
          <w:rFonts w:ascii="Times New Roman" w:eastAsia="宋体" w:hAnsi="Times New Roman" w:hint="eastAsia"/>
        </w:rPr>
        <w:t>--</w:t>
      </w:r>
      <w:r w:rsidRPr="000F613D">
        <w:rPr>
          <w:rFonts w:ascii="Times New Roman" w:eastAsia="宋体" w:hAnsi="Times New Roman" w:hint="eastAsia"/>
        </w:rPr>
        <w:t>控制科学、力学与生物学深度融合</w:t>
      </w:r>
      <w:r w:rsidR="000F613D">
        <w:rPr>
          <w:rFonts w:ascii="Times New Roman" w:eastAsia="宋体" w:hAnsi="Times New Roman" w:hint="eastAsia"/>
        </w:rPr>
        <w:t>，</w:t>
      </w:r>
      <w:r w:rsidRPr="000F613D">
        <w:rPr>
          <w:rFonts w:ascii="Times New Roman" w:eastAsia="宋体" w:hAnsi="Times New Roman" w:hint="eastAsia"/>
        </w:rPr>
        <w:t>在解决复杂巨系统问题中的决定性作用，并为未来人工智能在生命科学领域的应用提供了可借鉴的范式。</w:t>
      </w:r>
    </w:p>
    <w:sectPr w:rsidR="001E0E07" w:rsidRPr="000F613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A63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7402F7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0A99412"/>
    <w:multiLevelType w:val="multilevel"/>
    <w:tmpl w:val="D364628A"/>
    <w:lvl w:ilvl="0">
      <w:start w:val="2"/>
      <w:numFmt w:val="decimal"/>
      <w:lvlText w:val="%1."/>
      <w:lvlJc w:val="left"/>
      <w:pPr>
        <w:ind w:left="360" w:hanging="360"/>
      </w:pPr>
    </w:lvl>
    <w:lvl w:ilvl="1">
      <w:start w:val="2"/>
      <w:numFmt w:val="decimal"/>
      <w:lvlText w:val="%2."/>
      <w:lvlJc w:val="left"/>
      <w:pPr>
        <w:ind w:left="1080" w:hanging="360"/>
      </w:pPr>
    </w:lvl>
    <w:lvl w:ilvl="2">
      <w:start w:val="2"/>
      <w:numFmt w:val="decimal"/>
      <w:lvlText w:val="%3."/>
      <w:lvlJc w:val="left"/>
      <w:pPr>
        <w:ind w:left="1800" w:hanging="360"/>
      </w:pPr>
    </w:lvl>
    <w:lvl w:ilvl="3">
      <w:start w:val="2"/>
      <w:numFmt w:val="decimal"/>
      <w:lvlText w:val="%4."/>
      <w:lvlJc w:val="left"/>
      <w:pPr>
        <w:ind w:left="2520" w:hanging="360"/>
      </w:pPr>
    </w:lvl>
    <w:lvl w:ilvl="4">
      <w:start w:val="2"/>
      <w:numFmt w:val="decimal"/>
      <w:lvlText w:val="%5."/>
      <w:lvlJc w:val="left"/>
      <w:pPr>
        <w:ind w:left="3240" w:hanging="360"/>
      </w:pPr>
    </w:lvl>
    <w:lvl w:ilvl="5">
      <w:start w:val="2"/>
      <w:numFmt w:val="decimal"/>
      <w:lvlText w:val="%6."/>
      <w:lvlJc w:val="left"/>
      <w:pPr>
        <w:ind w:left="3960" w:hanging="360"/>
      </w:pPr>
    </w:lvl>
    <w:lvl w:ilvl="6">
      <w:start w:val="2"/>
      <w:numFmt w:val="decimal"/>
      <w:lvlText w:val="%7."/>
      <w:lvlJc w:val="left"/>
      <w:pPr>
        <w:ind w:left="4680" w:hanging="360"/>
      </w:pPr>
    </w:lvl>
    <w:lvl w:ilvl="7">
      <w:start w:val="2"/>
      <w:numFmt w:val="decimal"/>
      <w:lvlText w:val="%8."/>
      <w:lvlJc w:val="left"/>
      <w:pPr>
        <w:ind w:left="5400" w:hanging="360"/>
      </w:pPr>
    </w:lvl>
    <w:lvl w:ilvl="8">
      <w:start w:val="2"/>
      <w:numFmt w:val="decimal"/>
      <w:lvlText w:val="%9."/>
      <w:lvlJc w:val="left"/>
      <w:pPr>
        <w:ind w:left="6120" w:hanging="360"/>
      </w:pPr>
    </w:lvl>
  </w:abstractNum>
  <w:num w:numId="1" w16cid:durableId="1388336541">
    <w:abstractNumId w:val="0"/>
  </w:num>
  <w:num w:numId="2" w16cid:durableId="1309674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387634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E0E07"/>
    <w:rsid w:val="000F613D"/>
    <w:rsid w:val="001E0E07"/>
    <w:rsid w:val="0027087F"/>
    <w:rsid w:val="003B7A57"/>
    <w:rsid w:val="008663ED"/>
    <w:rsid w:val="00F96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60DDA"/>
  <w15:docId w15:val="{597921D5-B926-4245-9A00-11589D92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829</Words>
  <Characters>847</Characters>
  <Application>Microsoft Office Word</Application>
  <DocSecurity>0</DocSecurity>
  <Lines>33</Lines>
  <Paragraphs>31</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振毫 刘</cp:lastModifiedBy>
  <cp:revision>4</cp:revision>
  <dcterms:created xsi:type="dcterms:W3CDTF">2026-01-05T16:39:00Z</dcterms:created>
  <dcterms:modified xsi:type="dcterms:W3CDTF">2026-01-05T16:52:00Z</dcterms:modified>
</cp:coreProperties>
</file>