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4A99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Project Brief: UK Electricity Price Forecasting Platform</w:t>
            </w:r>
          </w:p>
          <w:p>
            <w:r>
              <w:t>Advanced Analytics &amp; Decision Support Tool</w:t>
            </w:r>
            <w:r>
              <w:rPr>
                <w:color w:val="FFFFFF"/>
                <w:sz w:val="22"/>
              </w:rPr>
            </w:r>
          </w:p>
        </w:tc>
      </w:tr>
    </w:tbl>
    <w:p/>
    <w:p>
      <w:pPr>
        <w:pStyle w:val="Heading1"/>
      </w:pPr>
      <w:r>
        <w:t>1. Executive Overview</w:t>
      </w:r>
    </w:p>
    <w:p>
      <w:r>
        <w:t>This project delivers a high-fidelity forecasting and analytics platform designed to navigate the complexities of the UK electricity market. By integrating real-time data from Elexon (BMRS) and NESO, the platform transforms raw market signals into actionable insights, helping participants manage price volatility and optimize energy assets.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op w:sz="4" w:val="single" w:color="004A99"/>
            <w:start w:sz="24" w:val="single" w:color="004A99"/>
            <w:bottom w:sz="4" w:val="single" w:color="004A99"/>
            <w:end w:sz="4" w:val="single" w:color="004A99"/>
          </w:tcPr>
          <w:p>
            <w:r>
              <w:rPr>
                <w:b/>
                <w:color w:val="004A99"/>
              </w:rPr>
              <w:t>The Business Challenge</w:t>
            </w:r>
          </w:p>
          <w:p>
            <w:r>
              <w:t>UK electricity prices can spike or crash within minutes due to shifts in weather, renewable output, and system demand. Without visibility into these "Settlement Period" (30-minute) price swings, traders and asset operators face significant financial risk, inefficient asset utilization, and eroded margins.</w:t>
            </w:r>
          </w:p>
        </w:tc>
      </w:tr>
    </w:tbl>
    <w:p/>
    <w:p>
      <w:pPr>
        <w:pStyle w:val="Heading1"/>
      </w:pPr>
      <w:r>
        <w:t>2. Strategic Business Value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Operational Impact</w:t>
            </w:r>
          </w:p>
          <w:p>
            <w:pPr>
              <w:pStyle w:val="ListBullet"/>
            </w:pPr>
            <w:r>
              <w:t>Asset Optimization: Precisely time battery cycles.</w:t>
            </w:r>
          </w:p>
          <w:p>
            <w:pPr>
              <w:pStyle w:val="ListBullet"/>
            </w:pPr>
            <w:r>
              <w:t>Risk Mitigation: Reduce imbalance exposure.</w:t>
            </w:r>
          </w:p>
          <w:p>
            <w:pPr>
              <w:pStyle w:val="ListBullet"/>
            </w:pPr>
            <w:r>
              <w:t>Strategic Trading: Support intraday positioning.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Core Users</w:t>
            </w:r>
          </w:p>
          <w:p>
            <w:pPr>
              <w:pStyle w:val="ListBullet"/>
            </w:pPr>
            <w:r>
              <w:t>Electricity Traders &amp; Retailers</w:t>
            </w:r>
          </w:p>
          <w:p>
            <w:pPr>
              <w:pStyle w:val="ListBullet"/>
            </w:pPr>
            <w:r>
              <w:t>Battery Storage Operators</w:t>
            </w:r>
          </w:p>
          <w:p>
            <w:pPr>
              <w:pStyle w:val="ListBullet"/>
            </w:pPr>
            <w:r>
              <w:t>Grid Balancing Analysts</w:t>
            </w:r>
          </w:p>
        </w:tc>
      </w:tr>
    </w:tbl>
    <w:p>
      <w:pPr>
        <w:pStyle w:val="Heading1"/>
      </w:pPr>
      <w:r>
        <w:t>3. Solution Capabilities</w:t>
      </w:r>
    </w:p>
    <w:p>
      <w:r>
        <w:t>The solution is an end-to-end Decision Support System accessible via an interactive dashboard:</w:t>
      </w:r>
    </w:p>
    <w:p>
      <w:pPr>
        <w:pStyle w:val="ListBullet"/>
      </w:pPr>
      <w:r>
        <w:t>Multi-Horizon Forecasting: 30-min, intraday, and day-ahead views.</w:t>
      </w:r>
    </w:p>
    <w:p>
      <w:pPr>
        <w:pStyle w:val="ListBullet"/>
      </w:pPr>
      <w:r>
        <w:t>Spike Intelligence: Detection of price anomalies before they occur.</w:t>
      </w:r>
    </w:p>
    <w:p>
      <w:pPr>
        <w:pStyle w:val="ListBullet"/>
      </w:pPr>
      <w:r>
        <w:t>Interpretable Analytics: Visual Confidence Intervals and "What-If" scenarios.</w:t>
      </w:r>
    </w:p>
    <w:p>
      <w:pPr>
        <w:pStyle w:val="Heading1"/>
      </w:pPr>
      <w:r>
        <w:t>4. Delivery Roadmap</w:t>
      </w:r>
    </w:p>
    <w:p>
      <w:r>
        <w:rPr>
          <w:b/>
        </w:rPr>
        <w:t>Phase 1: Minimum Viable Product (MVP)</w:t>
      </w:r>
      <w:r>
        <w:br/>
        <w:t>Core data pipelines and a functional dashboard focusing on price explainability.</w:t>
      </w:r>
    </w:p>
    <w:p>
      <w:r>
        <w:rPr>
          <w:b/>
        </w:rPr>
        <w:t>Phase 2: Enhanced Intelligence</w:t>
      </w:r>
      <w:r>
        <w:br/>
        <w:t>Anomaly detection models, weather API enhancements, and automated retraining.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Project Brief - UK Electricity System Price Forecasting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