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3657600" cy="66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e_ful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40" w:after="200"/>
        <w:jc w:val="center"/>
      </w:pPr>
      <w:r>
        <w:rPr>
          <w:rFonts w:ascii="Arial Unicode MS" w:hAnsi="Arial Unicode MS" w:eastAsia="Arial Unicode MS" w:cs="Arial Unicode MS"/>
          <w:b/>
          <w:color w:val="17365D"/>
          <w:sz w:val="56"/>
        </w:rPr>
        <w:t>中文功能产品手册</w:t>
      </w:r>
    </w:p>
    <w:p>
      <w:pPr>
        <w:spacing w:before="0" w:after="440" w:line="240" w:lineRule="auto"/>
        <w:jc w:val="center"/>
      </w:pPr>
      <w:r>
        <w:rPr>
          <w:rFonts w:ascii="Arial Unicode MS" w:hAnsi="Arial Unicode MS" w:eastAsia="Arial Unicode MS" w:cs="Arial Unicode MS"/>
          <w:color w:val="2E74B5"/>
          <w:sz w:val="24"/>
        </w:rPr>
        <w:t>基于当前源码与本地部署 · 版本 3.2.1.11</w:t>
      </w:r>
    </w:p>
    <w:p>
      <w:pPr>
        <w:spacing w:before="1800" w:after="160"/>
        <w:jc w:val="center"/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>产品定位  ·  功能地图  ·  角色权限  ·  业务流程  ·  使用边界</w:t>
      </w:r>
    </w:p>
    <w:p>
      <w:pPr>
        <w:spacing w:before="0" w:after="0" w:line="240" w:lineRule="auto"/>
        <w:jc w:val="center"/>
      </w:pPr>
      <w:r>
        <w:rPr>
          <w:rFonts w:ascii="Arial Unicode MS" w:hAnsi="Arial Unicode MS" w:eastAsia="Arial Unicode MS" w:cs="Arial Unicode MS"/>
          <w:color w:val="5B6573"/>
          <w:sz w:val="19"/>
        </w:rPr>
        <w:t>内部评审版  v1.0  |  2026-08-05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DOCUMENT GUIDE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阅读说明与文档控制</w:t>
      </w:r>
    </w:p>
    <w:p>
      <w:pPr>
        <w:spacing w:before="120" w:after="160" w:line="288" w:lineRule="auto"/>
        <w:ind w:left="173" w:right="115"/>
        <w:shd w:fill="F3F7FB"/>
        <w:pBdr>
          <w:left w:val="single" w:sz="24" w:space="8" w:color="2E74B5"/>
        </w:pBdr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 xml:space="preserve">手册定位  </w:t>
      </w:r>
      <w:r>
        <w:rPr>
          <w:rFonts w:ascii="Arial Unicode MS" w:hAnsi="Arial Unicode MS" w:eastAsia="Arial Unicode MS" w:cs="Arial Unicode MS"/>
          <w:color w:val="17365D"/>
          <w:sz w:val="21"/>
        </w:rPr>
        <w:t>本手册回答“系统能够做什么、由谁使用、业务如何衔接”。它不是字段级操作培训，也不替代机构自己的检验流程、质量体系文件或数据治理制度。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产品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OpenELIS Global（当前本地实例显示为 Test LIMS）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版本基线</w:t>
            </w:r>
          </w:p>
        </w:tc>
        <w:tc>
          <w:tcPr>
            <w:tcW w:type="dxa" w:w="74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3.2.1.11；以当前源码、菜单配置与本地运行页面为准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适用读者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实验室负责人、业务管理员、实施人员、信息化团队、测试与培训人员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本地访问</w:t>
            </w:r>
          </w:p>
        </w:tc>
        <w:tc>
          <w:tcPr>
            <w:tcW w:type="dxa" w:w="74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http://127.0.0.1:18080/（仅当前本机调试环境）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文档状态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9"/>
              </w:rPr>
              <w:t>内部评审版 v1.0；功能可见性仍受角色、实验室单元和站点配置影响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内容导航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01 产品定位、边界与功能全景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02 用户角色、权限模型与界面通用规则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03 从患者与订单到结果验证和报告的核心闭环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04 样本、分析仪、质量事件、EQA与专科业务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05 管理配置、典型场景、数据质量与上线注意事项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附录：角色矩阵、功能/路由索引、术语表与验收清单</w:t>
      </w: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当前界面说明  </w:t>
      </w:r>
      <w:r>
        <w:rPr>
          <w:rFonts w:ascii="Arial Unicode MS" w:hAnsi="Arial Unicode MS" w:eastAsia="Arial Unicode MS" w:cs="Arial Unicode MS"/>
          <w:color w:val="17365D"/>
          <w:sz w:val="21"/>
        </w:rPr>
        <w:t>中文已覆盖主导航和主要业务入口；后台管理及少量旧版页面仍可能显示英文。手册对功能采用中文归类，并在必要处保留英文页面名称，方便现场定位。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PRODUCT OVERVIEW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  产品定位与功能全景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OpenELIS Global 是面向公共卫生及临床实验室的实验室信息管理系统（LIMS）。当前项目覆盖患者与医嘱/订单、样本生命周期、工作计划、结果录入与验证、报告、质量事件、分析仪集成、样本存储与转运、EQA 以及病理/细胞学等专科流程。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1.1 产品目标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把患者、订单、样本、检测和报告串成可追踪的数据链，减少纸面传递和重复录入。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通过角色分工将接收、检测、验证、报告和管理相互隔离，形成清晰的责任边界。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用工作计划、仪器导入、状态看板和超时提醒提升样本周转效率。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支持不符合项、纠正措施、审计和 EQA 管理，为实验室质量体系提供过程证据。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通过外部连接、电子订单、数据导出及 FHIR 等能力与上下游系统协同。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1.2 功能域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60"/>
        <w:gridCol w:w="31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业务域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核心内容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典型产出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前处理</w:t>
            </w:r>
          </w:p>
        </w:tc>
        <w:tc>
          <w:tcPr>
            <w:tcW w:type="dxa" w:w="4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患者、订单、采集、标签、接收、样本 QA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患者档案、实验室编号、样本标签、接收记录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检测执行</w:t>
            </w:r>
          </w:p>
        </w:tc>
        <w:tc>
          <w:tcPr>
            <w:tcW w:type="dxa" w:w="4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工作计划、结果录入、分析仪导入、转诊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检测任务、结果草稿、异常/转诊记录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后处理</w:t>
            </w:r>
          </w:p>
        </w:tc>
        <w:tc>
          <w:tcPr>
            <w:tcW w:type="dxa" w:w="4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结果验证、报告、打印与导出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已验证结果、患者报告、管理报表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样本资产</w:t>
            </w:r>
          </w:p>
        </w:tc>
        <w:tc>
          <w:tcPr>
            <w:tcW w:type="dxa" w:w="4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分装、存储、冻存监控、转运、库存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位置链、交接记录、库存流水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质量管理</w:t>
            </w:r>
          </w:p>
        </w:tc>
        <w:tc>
          <w:tcPr>
            <w:tcW w:type="dxa" w:w="4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不符合项、警报、EQA、审计、周转时间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CAPA、预警、能力验证与审计证据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专科业务</w:t>
            </w:r>
          </w:p>
        </w:tc>
        <w:tc>
          <w:tcPr>
            <w:tcW w:type="dxa" w:w="4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病理、免疫组织化学、细胞学、笔记本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病例进度、专科结论、附件/报告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平台管理</w:t>
            </w:r>
          </w:p>
        </w:tc>
        <w:tc>
          <w:tcPr>
            <w:tcW w:type="dxa" w:w="4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用户、组织、检测目录、字典、配置、连接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权限、主数据、接口和站点配置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当前边界  </w:t>
      </w:r>
      <w:r>
        <w:rPr>
          <w:rFonts w:ascii="Arial Unicode MS" w:hAnsi="Arial Unicode MS" w:eastAsia="Arial Unicode MS" w:cs="Arial Unicode MS"/>
          <w:color w:val="17365D"/>
          <w:sz w:val="21"/>
        </w:rPr>
        <w:t>计费入口在当前菜单配置中没有可用子功能，因此不作为本版本已开放模块；是否启用应以机构实施范围和后续配置为准。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ACCESS MODEL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  用户、角色与权限模型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系统采用“全局角色 + 实验室单元角色 + 站点配置”的组合授权方式。同一菜单在不同账户下可能显示、隐藏或只读，这是产品权限设计的一部分。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角色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主要职责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典型功能范围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Global Administrator</w:t>
              <w:br/>
              <w:t>全局管理员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平台与业务主数据管理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后台管理、存储资源、分析仪配置、审计与全局报表</w:t>
            </w:r>
          </w:p>
        </w:tc>
      </w:tr>
      <w:tr>
        <w:trPr>
          <w:cantSplit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User Account Administrator</w:t>
              <w:br/>
              <w:t>用户管理员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维护账户和权限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用户创建、角色分配、账户管理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Audit Trail</w:t>
              <w:br/>
              <w:t>审计角色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查看操作追踪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系统与订单审计轨迹</w:t>
            </w:r>
          </w:p>
        </w:tc>
      </w:tr>
      <w:tr>
        <w:trPr>
          <w:cantSplit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Reception</w:t>
              <w:br/>
              <w:t>接收/前处理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患者、订单和样本接收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患者、订单、电子订单、条码、样本转运、不符合项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Results</w:t>
              <w:br/>
              <w:t>检测结果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组织检测并录入结果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工作计划、结果、分析仪相关、库存、质量事件</w:t>
            </w:r>
          </w:p>
        </w:tc>
      </w:tr>
      <w:tr>
        <w:trPr>
          <w:cantSplit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Validation</w:t>
              <w:br/>
              <w:t>验证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技术/生物学审核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结果验证、不符合项复核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Reports</w:t>
              <w:br/>
              <w:t>报告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生成和分发报告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患者报告、业务报表和导出</w:t>
            </w:r>
          </w:p>
        </w:tc>
      </w:tr>
      <w:tr>
        <w:trPr>
          <w:cantSplit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Analyser Import</w:t>
              <w:br/>
              <w:t>分析仪导入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维护结果导入映射与异常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分析仪列表、映射、类型、导入错误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Pathologist / Cytopathologist</w:t>
              <w:br/>
              <w:t>病理/细胞病理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专科病例审核</w:t>
            </w:r>
          </w:p>
        </w:tc>
        <w:tc>
          <w:tcPr>
            <w:tcW w:type="dxa" w:w="4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病理、免疫组化、细胞学病例和结论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2.1 权限使用原则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最小授权：只为用户分配完成岗位所需的最小功能集合。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实验室单元隔离：Reception、Results、Validation、Reports 可按实验室单元分配。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关键动作分离：录入结果与验证结果应由不同职责完成，具体以机构制度为准。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菜单不是权限的唯一依据：即使用户知道页面地址，受保护页面仍会校验角色。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配置影响可见性：站点开关、菜单配置、检测目录与实验室单元会共同决定页面内容。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END-TO-END WORKFLOW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  核心业务闭环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常规实验室业务可概括为下列十个连续阶段。每个阶段产生的数据都会成为下一阶段的输入，并保留可追踪关系。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确认或新建患者：用患者 ID、历史实验室编号、姓名、出生日期等条件先搜索，避免重复建档。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创建订单：选择项目/计划，录入医嘱信息、送检单位和临床信息。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添加样本和检测：选择样本类型、采集时间、采集者、面板或检测项目。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生成实验室编号和条码：打印标签并与容器绑定。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接收与样本 QA：核对身份、完整性、数量、运输条件；不合格样本进入拒收或不符合项流程。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组织工作计划：按检测、面板、实验室单元或优先级汇总待检任务。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产生并录入结果：人工录入、批量处理或从分析仪导入，并处理错误、参考范围和转诊。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验证结果：审核完整性、合理性、异常值与必要备注，确认后形成正式结果。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生成报告：按患者、订单、日期或项目输出报告，并支持打印、导出或电子分发。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留样、存储和闭环：按需要分装、存储、转运或处置，同时保留位置和交接记录。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状态与质量回路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首页将业务状态转化为可行动的队列：进行中、准备验证、今日完成、部分完成、用户录入、已拒绝、未打印、电子订单、平均周转时间和延迟周转。异常、拒收或超时可进一步触发警报或不符合项，并通过纠正措施回到正常流程。</w:t>
      </w:r>
    </w:p>
    <w:p>
      <w:pPr>
        <w:spacing w:before="120" w:after="160" w:line="288" w:lineRule="auto"/>
        <w:ind w:left="173" w:right="115"/>
        <w:shd w:fill="EDF8F2"/>
        <w:pBdr>
          <w:left w:val="single" w:sz="24" w:space="8" w:color="38A169"/>
        </w:pBdr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 xml:space="preserve">推荐操作顺序  </w:t>
      </w:r>
      <w:r>
        <w:rPr>
          <w:rFonts w:ascii="Arial Unicode MS" w:hAnsi="Arial Unicode MS" w:eastAsia="Arial Unicode MS" w:cs="Arial Unicode MS"/>
          <w:color w:val="17365D"/>
          <w:sz w:val="21"/>
        </w:rPr>
        <w:t>先从首页识别积压和异常，再进入相应详情；不要把首页数字当作统计报表的唯一口径，正式业务分析应使用报告模块并确认日期、实验室单元与状态筛选条件。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HOME DASHBOARD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  首页与界面通用操作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40" w:lineRule="auto"/>
        <w:jc w:val="center"/>
      </w:pPr>
      <w:r>
        <w:rPr>
          <w:rFonts w:ascii="Arial Unicode MS" w:hAnsi="Arial Unicode MS" w:eastAsia="Arial Unicode MS" w:cs="Arial Unicode MS"/>
          <w:i/>
          <w:color w:val="5B6573"/>
          <w:sz w:val="18"/>
        </w:rPr>
        <w:t>图 1  首页工作台：业务状态、周转时间与快捷详情入口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4.1 首页卡片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卡片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业务含义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进行中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已接收、仍等待结果录入的检测任务</w:t>
            </w:r>
          </w:p>
        </w:tc>
      </w:tr>
      <w:tr>
        <w:trPr>
          <w:cantSplit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准备验证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已有结果、等待审核确认的任务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今日完成订单 / 今日部分完成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当天全部完成或仅部分项目完成的订单</w:t>
            </w:r>
          </w:p>
        </w:tc>
      </w:tr>
      <w:tr>
        <w:trPr>
          <w:cantSplit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用户录入的订单 / 电子订单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人工创建与外部系统传入的订单队列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已拒绝订单 / 未打印结果</w:t>
            </w:r>
          </w:p>
        </w:tc>
        <w:tc>
          <w:tcPr>
            <w:tcW w:type="dxa" w:w="6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需业务关注的拒收和待输出队列</w:t>
            </w:r>
          </w:p>
        </w:tc>
      </w:tr>
      <w:tr>
        <w:trPr>
          <w:cantSplit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平均周转时间 / 延迟周转</w:t>
            </w:r>
          </w:p>
        </w:tc>
        <w:tc>
          <w:tcPr>
            <w:tcW w:type="dxa" w:w="6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从接收到验证的效率指标及超过 96 小时的任务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4.2 通用交互规则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左侧菜单：点击带下拉箭头的模块名称展开子菜单；无箭头的项目通常直接进入页面。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面包屑：页面顶部显示当前位置，可帮助确认所属模块。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卡片：点击“查看详情”进入筛选后的任务表；详情页可按实验室单元切换。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搜索与表格：先填写条件再搜索；表格支持分页，部分列支持排序。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顶栏：提供全局搜索、通知、用户菜单和帮助入口，具体功能受账户权限影响。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PATIENT MASTER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  患者管理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452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tient-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40" w:lineRule="auto"/>
        <w:jc w:val="center"/>
      </w:pPr>
      <w:r>
        <w:rPr>
          <w:rFonts w:ascii="Arial Unicode MS" w:hAnsi="Arial Unicode MS" w:eastAsia="Arial Unicode MS" w:cs="Arial Unicode MS"/>
          <w:i/>
          <w:color w:val="5B6573"/>
          <w:sz w:val="18"/>
        </w:rPr>
        <w:t>图 2  患者管理：搜索现有患者或进入新患者建档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核心能力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添加/编辑患者：维护身份信息、出生日期、性别、国家 ID、唯一健康 ID 及站点扩展字段。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患者搜索：支持患者 ID、历史实验室编号、姓名和出生日期等组合条件。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患者历史：查看既往订单、样本和结果关联，帮助识别重复检查或长期随访。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研究患者：为特定研究/项目提供初次、双录、编辑或会诊入口。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患者合并：处理重复档案，把业务记录归并到正确的患者主体；应由授权人员操作并保留审计。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关键业务规则</w:t>
      </w: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先搜索、后新建  </w:t>
      </w:r>
      <w:r>
        <w:rPr>
          <w:rFonts w:ascii="Arial Unicode MS" w:hAnsi="Arial Unicode MS" w:eastAsia="Arial Unicode MS" w:cs="Arial Unicode MS"/>
          <w:color w:val="17365D"/>
          <w:sz w:val="21"/>
        </w:rPr>
        <w:t>新建患者前至少用一个稳定标识和姓名/出生日期交叉检索。患者合并会影响历史数据归属，执行前应核实两个档案确属同一人。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输入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校验重点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患者标识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唯一性、来源系统、号码格式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可复用患者主档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人口学信息</w:t>
            </w:r>
          </w:p>
        </w:tc>
        <w:tc>
          <w:tcPr>
            <w:tcW w:type="dxa" w:w="3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姓名拼写、出生日期、性别</w:t>
            </w:r>
          </w:p>
        </w:tc>
        <w:tc>
          <w:tcPr>
            <w:tcW w:type="dxa" w:w="3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检验报告身份信息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联系/地址信息</w:t>
            </w:r>
          </w:p>
        </w:tc>
        <w:tc>
          <w:tcPr>
            <w:tcW w:type="dxa" w:w="3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字段完整性、行政区层级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随访与公共卫生分析维度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历史实验室编号</w:t>
            </w:r>
          </w:p>
        </w:tc>
        <w:tc>
          <w:tcPr>
            <w:tcW w:type="dxa" w:w="3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是否属于同一患者</w:t>
            </w:r>
          </w:p>
        </w:tc>
        <w:tc>
          <w:tcPr>
            <w:tcW w:type="dxa" w:w="33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跨批次检验关联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ORDERS &amp; ACCESSIONING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  订单与通用样本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4064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rder-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40" w:lineRule="auto"/>
        <w:jc w:val="center"/>
      </w:pPr>
      <w:r>
        <w:rPr>
          <w:rFonts w:ascii="Arial Unicode MS" w:hAnsi="Arial Unicode MS" w:eastAsia="Arial Unicode MS" w:cs="Arial Unicode MS"/>
          <w:i/>
          <w:color w:val="5B6573"/>
          <w:sz w:val="18"/>
        </w:rPr>
        <w:t>图 3  订单菜单：添加、研究、编辑、传入、批量录入与条码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6.1 订单功能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5110"/>
        <w:gridCol w:w="220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入口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主要使用者</w:t>
            </w:r>
          </w:p>
        </w:tc>
      </w:tr>
      <w:tr>
        <w:trPr>
          <w:cantSplit/>
        </w:trP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添加订单</w:t>
            </w:r>
          </w:p>
        </w:tc>
        <w:tc>
          <w:tcPr>
            <w:tcW w:type="dxa" w:w="51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为现有或新患者创建检测申请，录入样本、检测和申请信息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  <w:tr>
        <w:trPr>
          <w:cantSplit/>
        </w:trPr>
        <w:tc>
          <w:tcPr>
            <w:tcW w:type="dxa" w:w="2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订单工作流</w:t>
            </w:r>
          </w:p>
        </w:tc>
        <w:tc>
          <w:tcPr>
            <w:tcW w:type="dxa" w:w="51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按录入、采集、标签和 QA 等阶段推进订单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  <w:tr>
        <w:trPr>
          <w:cantSplit/>
        </w:trP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研究</w:t>
            </w:r>
          </w:p>
        </w:tc>
        <w:tc>
          <w:tcPr>
            <w:tcW w:type="dxa" w:w="51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支持研究项目的初录、双录、编辑及会诊型电子订单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 / 研究团队</w:t>
            </w:r>
          </w:p>
        </w:tc>
      </w:tr>
      <w:tr>
        <w:trPr>
          <w:cantSplit/>
        </w:trPr>
        <w:tc>
          <w:tcPr>
            <w:tcW w:type="dxa" w:w="2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编辑订单</w:t>
            </w:r>
          </w:p>
        </w:tc>
        <w:tc>
          <w:tcPr>
            <w:tcW w:type="dxa" w:w="51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在业务允许范围内修改样本、检测和申请信息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  <w:tr>
        <w:trPr>
          <w:cantSplit/>
        </w:trP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传入订单</w:t>
            </w:r>
          </w:p>
        </w:tc>
        <w:tc>
          <w:tcPr>
            <w:tcW w:type="dxa" w:w="51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接收并处理外部系统发送的电子订单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  <w:tr>
        <w:trPr>
          <w:cantSplit/>
        </w:trPr>
        <w:tc>
          <w:tcPr>
            <w:tcW w:type="dxa" w:w="2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批量订单录入</w:t>
            </w:r>
          </w:p>
        </w:tc>
        <w:tc>
          <w:tcPr>
            <w:tcW w:type="dxa" w:w="51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为同类样本/项目集中建单，可选是否包含患者信息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  <w:tr>
        <w:trPr>
          <w:cantSplit/>
        </w:trPr>
        <w:tc>
          <w:tcPr>
            <w:tcW w:type="dxa" w:w="2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条码</w:t>
            </w:r>
          </w:p>
        </w:tc>
        <w:tc>
          <w:tcPr>
            <w:tcW w:type="dxa" w:w="51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按样本类型、面板或检测项目生成标签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Reception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6.2 通用样本工作区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“通用样本”提供一组面向非特定项目的订单、编辑、导入、结果和样本管理页面，适合机构按通用流程配置。它与“订单”模块共享患者、样本、检测和结果数据，但入口和表单可针对实施场景不同。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订单提交前核对患者、样本类型、采集时间、检测项目、送检单位和优先级。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样本拒收时记录原因，不应通过删除订单掩盖不合格事实。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电子订单先完成匹配和接收，确认患者、检测目录及编码映射无误后进入实验室流程。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批量录入适合高度同质化场景；若患者信息不同，应启用并逐行核实患者字段。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TESTING EXECUTION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  工作计划、结果录入与分析仪结果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工作计划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工作计划用于把待检任务按实验室生产方式编组。当前项目支持按检测、面板、工作台/实验室单元和优先级生成队列，便于分配、打印和跟踪。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按检测：适合同一项目连续批量检测。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按面板：适合成套项目或项目组合。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按工作台/实验室单元：适合按科室或设备区域组织任务。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按优先级：优先处理急诊、公共卫生事件或其他高优先级样本。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结果录入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结果模块提供统一结果工作区，并保留按工作台、患者、订单、实验室编号范围、日期、转诊和分析仪结果等入口。结果可以是数值、选择项、文本或附件，具体由检测目录配置决定。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检查点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样本/检测匹配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确认结果对应正确患者、实验室编号、样本和项目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单位与参考范围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由检测配置带出；异常时确认年龄、性别等适用条件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结果标记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关注超范围、临界值、仪器错误、稀释或重复检测标记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备注与转诊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记录必要解释；转诊应选择参考实验室并保留送出/回传信息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保存与提交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保存草稿后确认完整，再提交至验证队列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结果安全  </w:t>
      </w:r>
      <w:r>
        <w:rPr>
          <w:rFonts w:ascii="Arial Unicode MS" w:hAnsi="Arial Unicode MS" w:eastAsia="Arial Unicode MS" w:cs="Arial Unicode MS"/>
          <w:color w:val="17365D"/>
          <w:sz w:val="21"/>
        </w:rPr>
        <w:t>不得仅凭分析仪结果自动成为正式报告。仪器导入仍需编码映射、异常处理和授权验证，是否可自动验证应由机构质量制度和系统配置共同决定。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VERIFICATION &amp; REPORTING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  结果验证与报告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8.1 验证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验证是将“已录入结果”转为“可正式发布结果”的控制点。当前菜单支持常规验证、按研究/实验室单元、实验室编号、编号范围和日期等方式组织审核。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核对患者、样本、检测方法、单位和参考范围。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复核质控状态、仪器标记、历史结果和相关项目的一致性。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处理异常值、临界值、补充说明、重复检测或转诊结果。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确认所有必需项目完成；部分完成报告须符合机构发布规则。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验证后若需修改，应走授权更正和审计流程，避免覆盖历史。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8.2 报告与导出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报告组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常规/研究报告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按患者、订单、项目和研究生成业务结果报告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管理报告</w:t>
            </w:r>
          </w:p>
        </w:tc>
        <w:tc>
          <w:tcPr>
            <w:tcW w:type="dxa" w:w="6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拒收、活动、不符合项、积压和周转时间等运营数据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患者/项目报告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ARV、EID、病毒载量、不确定结果、采集或关联报告等实施型报表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指标报告</w:t>
            </w:r>
          </w:p>
        </w:tc>
        <w:tc>
          <w:tcPr>
            <w:tcW w:type="dxa" w:w="6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按机构配置输出公共卫生或项目指标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导出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CSV、WHONET 等数据交换；部分导出仅管理员可用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审计轨迹</w:t>
            </w:r>
          </w:p>
        </w:tc>
        <w:tc>
          <w:tcPr>
            <w:tcW w:type="dxa" w:w="6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系统操作和订单变更记录，供授权审计人员查询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EDF8F2"/>
        <w:pBdr>
          <w:left w:val="single" w:sz="24" w:space="8" w:color="38A169"/>
        </w:pBdr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 xml:space="preserve">发布口径  </w:t>
      </w:r>
      <w:r>
        <w:rPr>
          <w:rFonts w:ascii="Arial Unicode MS" w:hAnsi="Arial Unicode MS" w:eastAsia="Arial Unicode MS" w:cs="Arial Unicode MS"/>
          <w:color w:val="17365D"/>
          <w:sz w:val="21"/>
        </w:rPr>
        <w:t>对外报告应只使用已验证结果，并确认报告模板、机构标识、签发人、日期、页码和保密要求均符合本机构制度。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ANALYZER &amp; QC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  分析仪与质量控制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分析仪模块负责设备主数据、检测名称映射、结果导入和导入异常；质量控制（QC）页面围绕仪器、控制品批次、图表和规则配置组织。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业务价值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关键控制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分析仪列表/类型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登记设备和通信类型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设备标识、启停状态、实验室归属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检测名称映射</w:t>
            </w:r>
          </w:p>
        </w:tc>
        <w:tc>
          <w:tcPr>
            <w:tcW w:type="dxa" w:w="3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将仪器项目代码映射到系统检测目录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一一对应、单位/方法一致、版本变更复核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结果导入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减少人工录入并保留来源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患者/样本匹配、重复结果、错误队列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导入错误</w:t>
            </w:r>
          </w:p>
        </w:tc>
        <w:tc>
          <w:tcPr>
            <w:tcW w:type="dxa" w:w="3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集中处理无法匹配或格式异常的数据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不得静默丢弃；处理后留痕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QC 仪表板</w:t>
            </w:r>
          </w:p>
        </w:tc>
        <w:tc>
          <w:tcPr>
            <w:tcW w:type="dxa" w:w="3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查看控制品结果和规则告警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失控时暂停相关结果发布并执行处置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控制品/规则</w:t>
            </w:r>
          </w:p>
        </w:tc>
        <w:tc>
          <w:tcPr>
            <w:tcW w:type="dxa" w:w="3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维护批次、靶值、范围与判定规则</w:t>
            </w:r>
          </w:p>
        </w:tc>
        <w:tc>
          <w:tcPr>
            <w:tcW w:type="dxa" w:w="3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生效日期、换批、规则审批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9.1 推荐上线顺序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先完成系统检测目录、单位、结果类型和方法配置。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再登记分析仪并建立仪器代码到系统检测的映射。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用非生产样本验证文件/通信格式、异常分支和重复导入行为。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配置 QC 控制品、规则和责任人，并演练失控后的处置流程。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完成结果一致性验证后，再逐步启用生产导入。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SPECIMEN LIFECYCLE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  样本存储、分装、转运与库存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200"/>
        <w:gridCol w:w="31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核心能力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主要记录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分装样本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从原样本建立子样本/等分样本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父子关系、容器、数量和标签</w:t>
            </w:r>
          </w:p>
        </w:tc>
      </w:tr>
      <w:tr>
        <w:trPr>
          <w:cantSplit/>
        </w:trPr>
        <w:tc>
          <w:tcPr>
            <w:tcW w:type="dxa" w:w="20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样本存储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按房间、设备、架、机架、盒位管理位置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当前位置、入库/移位/出库记录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冻存监控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查看状态、纠正操作、趋势、报告和设置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温度趋势、告警、纠正记录</w:t>
            </w:r>
          </w:p>
        </w:tc>
      </w:tr>
      <w:tr>
        <w:trPr>
          <w:cantSplit/>
        </w:trPr>
        <w:tc>
          <w:tcPr>
            <w:tcW w:type="dxa" w:w="20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样本转运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创建转运箱、装箱、交接、接收和报告</w:t>
            </w:r>
          </w:p>
        </w:tc>
        <w:tc>
          <w:tcPr>
            <w:tcW w:type="dxa" w:w="31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路线、箱号、样本清单、交接时间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库存</w:t>
            </w:r>
          </w:p>
        </w:tc>
        <w:tc>
          <w:tcPr>
            <w:tcW w:type="dxa" w:w="4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维护耗材/试剂库存及流转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品项、批次、数量、有效期、出入库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样本位置模型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典型位置链为：房间 → 存储设备（如冰箱/冰柜）→ 架/搁板 → 机架 → 盒 → 盒位。机构可按实际设施裁剪层级，但每次移动都应记录操作者、时间、来源位置和目标位置。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关键规则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分装后保持原样本与子样本的可追溯关系，标签不得复用。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装箱前核对样本、目的地、运输条件和容器完整性；收货方按箱清单确认。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冻存温度异常应关联纠正操作，不只消除告警。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库存批次和有效期应与实际耗用同步；检测配置与库存消耗之间的自动关联取决于站点实施。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QUALITY MANAGEMENT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11  不符合项、警报与 EQA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11.1 不符合项（NCE）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不符合项用于登记偏离流程、样本问题、结果问题或其他质量事件，并通过纠正措施计划（CAPA）持续跟踪。当前功能包含仪表板、报告、查看和纠正措施。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报告事件并关联受影响的订单/样本；记录发现时间、地点、报告人和描述。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评估影响和风险，确定临时控制措施。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制定纠正措施、负责人和完成期限。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跟踪实施证据和有效性，满足关闭条件后完成审批关闭。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11.2 警报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警报用于集中提示需要用户处理的业务事件。用户应从警报进入原始业务记录处理，避免只清除提示而未解决根因。通知对象和规则由站点配置决定。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11.3 EQA 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工作区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检测端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查看 EQA 订单和本人/本实验室参与的项目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项目管理</w:t>
            </w:r>
          </w:p>
        </w:tc>
        <w:tc>
          <w:tcPr>
            <w:tcW w:type="dxa" w:w="6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维护能力验证项目、轮次和基本规则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参与者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维护参加机构及联系方式</w:t>
            </w:r>
          </w:p>
        </w:tc>
      </w:tr>
      <w:tr>
        <w:trPr>
          <w:cantSplit/>
        </w:trPr>
        <w:tc>
          <w:tcPr>
            <w:tcW w:type="dxa" w:w="26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分发</w:t>
            </w:r>
          </w:p>
        </w:tc>
        <w:tc>
          <w:tcPr>
            <w:tcW w:type="dxa" w:w="67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创建样品分发批次并跟踪发送/接收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收集、审查并汇总参与结果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SPECIALTY WORKFLOWS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12  病理、免疫组织化学、细胞学与笔记本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800"/>
        <w:gridCol w:w="2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流程特点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关键输出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病理学</w:t>
            </w:r>
          </w:p>
        </w:tc>
        <w:tc>
          <w:tcPr>
            <w:tcW w:type="dxa" w:w="4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病例仪表板、标本处理、病理医师复核、追加检查、报告上传/生成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病例状态、诊断结论、病理报告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免疫组织化学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由病理病例发起或独立创建；记录切片/染色和结果，提交病理审核</w:t>
            </w:r>
          </w:p>
        </w:tc>
        <w:tc>
          <w:tcPr>
            <w:tcW w:type="dxa" w:w="24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IHC 结果、标记物解释、专题报告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细胞学</w:t>
            </w:r>
          </w:p>
        </w:tc>
        <w:tc>
          <w:tcPr>
            <w:tcW w:type="dxa" w:w="4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病例工作台、切片/图像、结构化诊断字段、细胞病理审核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细胞学结论与报告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笔记本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模板表单、工作记录和条目管理</w:t>
            </w:r>
          </w:p>
        </w:tc>
        <w:tc>
          <w:tcPr>
            <w:tcW w:type="dxa" w:w="24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实验记录、附件、结构化表单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12.1 专科病例共性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病例由订单和样本进入专科工作台，状态通常经历进行中、待专科审核、追加请求和完成。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处理人员记录标本、切片、检测、备注和附件，专科审核人员作出结论。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报告可上传现有文件或由系统模板生成；最终发布前仍需授权审核。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Pathologist、Cytopathologist 及实验室单元权限共同决定可见病例和可执行动作。</w:t>
      </w: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实施提示  </w:t>
      </w:r>
      <w:r>
        <w:rPr>
          <w:rFonts w:ascii="Arial Unicode MS" w:hAnsi="Arial Unicode MS" w:eastAsia="Arial Unicode MS" w:cs="Arial Unicode MS"/>
          <w:color w:val="17365D"/>
          <w:sz w:val="21"/>
        </w:rPr>
        <w:t>专科模板、诊断词典和报告版式必须由本机构专科负责人确认。示例配置不能直接等同于临床使用规范。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ADMINISTRATION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13  管理后台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1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40" w:lineRule="auto"/>
        <w:jc w:val="center"/>
      </w:pPr>
      <w:r>
        <w:rPr>
          <w:rFonts w:ascii="Arial Unicode MS" w:hAnsi="Arial Unicode MS" w:eastAsia="Arial Unicode MS" w:cs="Arial Unicode MS"/>
          <w:i/>
          <w:color w:val="5B6573"/>
          <w:sz w:val="18"/>
        </w:rPr>
        <w:t>图 4  管理后台：以功能卡片和左侧导航组织配置区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管理后台主要面向全局管理员。当前页面已中文化主要卡片，但左侧仍有少量英文项；这是界面本地化覆盖差异，不代表功能不可用。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13.1 后台功能分组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配置组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身份与组织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用户管理、提供者管理、组织管理、角色/实验室单元权限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检测目录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检测、面板、方法、样本类型、单位、结果选择列表、参考范围、可开单状态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业务界面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菜单配置、样本录入、结果、验证、工作计划、不符合项等页面配置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编码与标签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实验室编号、条码、Label Presets、字典菜单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设备与连接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分析仪检测名称、外部连接、程序录入、FHIR 数据导出状态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通知与报告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检测通知、通知用户、结果报告配置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运行维护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应用属性、通用配置、搜索索引、日志、Localization、日历、传统管理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CONFIGURATION GOVERNANCE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14  配置治理与主数据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14.1 检测目录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检测目录决定可开单项目、样本类型、结果类型、单位、方法、参考范围、显示顺序和报告名称，是业务正确性的核心主数据。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新项目先定义报告名称、结果类型、样本类型、方法和单位，再设置参考范围与可开单状态。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面板用于组合多个检测；修改面板时评估历史订单和报告影响。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重命名、停用和顺序调整优先于直接删除，确保历史数据仍可解释。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分析仪映射、报告模板和外部编码应与检测目录同步变更。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14.2 用户和权限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管理员可创建用户、分配全局角色和实验室单元角色，也可参考现有账户复制权限。复制后仍需逐项复核，避免把不需要的高权限带入新账户。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14.3 配置变更控制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提出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记录业务原因、影响模块、负责人和期望生效时间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评审</w:t>
            </w:r>
          </w:p>
        </w:tc>
        <w:tc>
          <w:tcPr>
            <w:tcW w:type="dxa" w:w="75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由业务、质量和信息化共同确认编码、权限、报告与接口影响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验证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在测试环境覆盖正常、异常、历史记录和权限场景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发布</w:t>
            </w:r>
          </w:p>
        </w:tc>
        <w:tc>
          <w:tcPr>
            <w:tcW w:type="dxa" w:w="75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备份配置、记录版本、选择低风险窗口并通知用户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复核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检查订单、结果、报告、接口和审计记录，必要时执行回退方案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高风险配置  </w:t>
      </w:r>
      <w:r>
        <w:rPr>
          <w:rFonts w:ascii="Arial Unicode MS" w:hAnsi="Arial Unicode MS" w:eastAsia="Arial Unicode MS" w:cs="Arial Unicode MS"/>
          <w:color w:val="17365D"/>
          <w:sz w:val="21"/>
        </w:rPr>
        <w:t>检测目录、参考范围、单位、角色权限、报告模板、分析仪映射和外部连接均可能影响临床结果或数据交换，应执行双人复核和变更留痕。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TYPICAL SCENARIOS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15  典型场景一：常规患者样本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目标：从患者检索开始，完成一个常规订单，形成已验证报告并保留样本去向。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Reception 在“患者 → 添加/编辑患者”中检索；找到患者则确认信息，未找到才新建。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进入“订单 → 添加订单”，选择患者和项目/计划，填写申请、送检和临床信息。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添加样本类型、采集时间、采集者及检测/面板，核对后提交订单。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打印条码并完成采集、接收与样本 QA；不合格时记录拒收原因或创建不符合项。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Results 用户从工作计划领取任务，完成检测并人工录入或导入仪器结果。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结果完整后提交验证；Validation 用户复核异常、参考范围、历史和备注。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Reports 用户生成正式报告，按机构规则打印、导出或分发。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如需留样，执行分装和存储；记录最终位置、保存条件和处置计划。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15.1 场景完成条件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检查对象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身份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患者与样本标识一致，无重复患者或错误合并</w:t>
            </w:r>
          </w:p>
        </w:tc>
      </w:tr>
      <w:tr>
        <w:trPr>
          <w:cantSplit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订单</w:t>
            </w:r>
          </w:p>
        </w:tc>
        <w:tc>
          <w:tcPr>
            <w:tcW w:type="dxa" w:w="70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检测、样本、采集和申请信息完整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所有必需项目有结果或有经授权的例外说明</w:t>
            </w:r>
          </w:p>
        </w:tc>
      </w:tr>
      <w:tr>
        <w:trPr>
          <w:cantSplit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验证</w:t>
            </w:r>
          </w:p>
        </w:tc>
        <w:tc>
          <w:tcPr>
            <w:tcW w:type="dxa" w:w="70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审核人、时间和状态记录完整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报告</w:t>
            </w:r>
          </w:p>
        </w:tc>
        <w:tc>
          <w:tcPr>
            <w:tcW w:type="dxa" w:w="70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只包含已验证结果，版式和签发信息正确</w:t>
            </w:r>
          </w:p>
        </w:tc>
      </w:tr>
      <w:tr>
        <w:trPr>
          <w:cantSplit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</w:t>
            </w:r>
          </w:p>
        </w:tc>
        <w:tc>
          <w:tcPr>
            <w:tcW w:type="dxa" w:w="70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存储、转运或处置状态可追踪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TYPICAL SCENARIOS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16  典型场景二与三：电子订单、分析仪导入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16.1 电子订单接收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在“订单 → 传入订单”查看外部系统发送的记录。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核对患者标识、送检单位、检测编码、样本类型和优先级映射。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处理未匹配患者、未知检测或重复订单；不得直接忽略异常。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接受订单后生成实验室编号/标签，按正常接收和检测流程推进。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确认外部系统收到必要的接收、结果或报告状态回传。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16.2 分析仪结果导入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确认设备在线、检测名称映射和控制品状态正常。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从分析仪接收结果文件/消息，并按样本编号和项目代码匹配。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在导入错误队列处理未知编号、未知项目、格式或重复结果。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对异常标记、稀释、重测和超范围结果进行人工复核。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保存结果并提交验证；正式报告仍以验证状态为准。</w:t>
      </w:r>
    </w:p>
    <w:p>
      <w:pPr>
        <w:spacing w:before="120" w:after="160" w:line="288" w:lineRule="auto"/>
        <w:ind w:left="173" w:right="115"/>
        <w:shd w:fill="EDF8F2"/>
        <w:pBdr>
          <w:left w:val="single" w:sz="24" w:space="8" w:color="38A169"/>
        </w:pBdr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 xml:space="preserve">接口对账  </w:t>
      </w:r>
      <w:r>
        <w:rPr>
          <w:rFonts w:ascii="Arial Unicode MS" w:hAnsi="Arial Unicode MS" w:eastAsia="Arial Unicode MS" w:cs="Arial Unicode MS"/>
          <w:color w:val="17365D"/>
          <w:sz w:val="21"/>
        </w:rPr>
        <w:t>电子订单和分析仪导入都应建立每日对账：上游发送量、系统接收量、成功处理量、错误量和未闭环量必须可核对。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TYPICAL SCENARIOS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17  典型场景四与五：样本转运、不符合项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17.1 样本转运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确认转运路线、目的实验室、运输条件和计划时间。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创建转运箱并加入样本，核对样本编号、数量和容器。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封箱后生成交接清单；记录发出人、承运/交接人和时间。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接收方按箱和样本逐项确认，记录破损、缺失、超温或延迟。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异常样本进入拒收或不符合项；正常样本进入接收/检测。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17.2 不符合项闭环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发现问题后及时报告，关联受影响订单/样本并采取临时控制。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分析原因和影响范围，明确是否需要通知临床、上游或下游。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建立纠正措施计划，指定责任人、期限和验证方式。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上传或记录实施证据，评估措施是否有效。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由授权人员确认风险已受控后关闭，保留审计和后续趋势分析。</w:t>
      </w: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闭环标准  </w:t>
      </w:r>
      <w:r>
        <w:rPr>
          <w:rFonts w:ascii="Arial Unicode MS" w:hAnsi="Arial Unicode MS" w:eastAsia="Arial Unicode MS" w:cs="Arial Unicode MS"/>
          <w:color w:val="17365D"/>
          <w:sz w:val="21"/>
        </w:rPr>
        <w:t>“问题已处理”不等于“问题已关闭”。关闭前应确认影响受控、措施完成、有效性可验证，并保留可审计证据。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CONTROLS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18  数据质量、安全与审计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控制主题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产品支持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机构责任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身份准确</w:t>
            </w:r>
          </w:p>
        </w:tc>
        <w:tc>
          <w:tcPr>
            <w:tcW w:type="dxa" w:w="3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患者搜索、唯一标识、历史与合并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定义主索引规则和合并审批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样本追踪</w:t>
            </w:r>
          </w:p>
        </w:tc>
        <w:tc>
          <w:tcPr>
            <w:tcW w:type="dxa" w:w="3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实验室编号、条码、位置和转运记录</w:t>
            </w:r>
          </w:p>
        </w:tc>
        <w:tc>
          <w:tcPr>
            <w:tcW w:type="dxa" w:w="3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规范标签、交接和异常处置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结果完整</w:t>
            </w:r>
          </w:p>
        </w:tc>
        <w:tc>
          <w:tcPr>
            <w:tcW w:type="dxa" w:w="3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结果类型、范围、状态、验证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定义临界值、复核和更正规则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职责分离</w:t>
            </w:r>
          </w:p>
        </w:tc>
        <w:tc>
          <w:tcPr>
            <w:tcW w:type="dxa" w:w="3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按角色保护路由和功能</w:t>
            </w:r>
          </w:p>
        </w:tc>
        <w:tc>
          <w:tcPr>
            <w:tcW w:type="dxa" w:w="3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按岗位分配并定期复核权限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操作留痕</w:t>
            </w:r>
          </w:p>
        </w:tc>
        <w:tc>
          <w:tcPr>
            <w:tcW w:type="dxa" w:w="3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系统/订单审计、日志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确定保存期、审计频率和异常调查</w:t>
            </w:r>
          </w:p>
        </w:tc>
      </w:tr>
      <w:tr>
        <w:trPr>
          <w:cantSplit/>
        </w:trPr>
        <w:tc>
          <w:tcPr>
            <w:tcW w:type="dxa" w:w="2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接口可靠</w:t>
            </w:r>
          </w:p>
        </w:tc>
        <w:tc>
          <w:tcPr>
            <w:tcW w:type="dxa" w:w="34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电子订单、分析仪、外部连接、FHIR/导出</w:t>
            </w:r>
          </w:p>
        </w:tc>
        <w:tc>
          <w:tcPr>
            <w:tcW w:type="dxa" w:w="3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维护映射、对账、重试和故障预案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隐私保护</w:t>
            </w:r>
          </w:p>
        </w:tc>
        <w:tc>
          <w:tcPr>
            <w:tcW w:type="dxa" w:w="34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认证、权限、会话与受控页面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终端、网络、备份、培训和法规合规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18.1 日常管理建议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每日：检查首页积压、延迟、导入错误、警报和未关闭转运异常。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每周：复核不符合项、接口对账、QC 告警和高风险配置变更。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每月：复核用户权限、失败登录/异常日志、库存和过期批次、周转趋势。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定期：验证备份可恢复性、报告模板、关键接口、灾难恢复和停机流程。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CURRENT BUILD NOTES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19  当前本地版本说明与上线边界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当前状态/说明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访问协议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本地调试使用 HTTP（127.0.0.1:18080）；适合单机验证，不作为生产安全方案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中文界面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主导航、首页及主要业务页面已中文化；后台和部分旧页面仍可能出现英文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界面技术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当前 React 页面与部分传统页面并存，个别入口可能跳转到旧版界面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菜单可见性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由角色、实验室单元、站点开关和菜单配置共同决定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计费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当前菜单没有可用子功能，视为未开放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测试数据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首页示例指标为 0，仅代表当前本地数据库没有相应业务记录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19.1 从本地试用到生产使用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明确实施范围、实验室单元、用户岗位和流程差异。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完成检测目录、样本类型、单位、参考范围、字典、组织和报告模板配置。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配置生产域名、HTTPS、证书、备份、监控、邮件/通知和外部接口。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准备匿名化测试数据，执行功能、权限、接口、性能、恢复和用户验收测试。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形成培训、停机、故障升级、数据更正、配置变更和上线切换方案。</w:t>
      </w:r>
    </w:p>
    <w:p>
      <w:pPr>
        <w:spacing w:before="120" w:after="160" w:line="288" w:lineRule="auto"/>
        <w:ind w:left="173" w:right="115"/>
        <w:shd w:fill="FFF7E6"/>
        <w:pBdr>
          <w:left w:val="single" w:sz="24" w:space="8" w:color="C77700"/>
        </w:pBdr>
      </w:pPr>
      <w:r>
        <w:rPr>
          <w:rFonts w:ascii="Arial Unicode MS" w:hAnsi="Arial Unicode MS" w:eastAsia="Arial Unicode MS" w:cs="Arial Unicode MS"/>
          <w:b/>
          <w:color w:val="C77700"/>
          <w:sz w:val="21"/>
        </w:rPr>
        <w:t xml:space="preserve">安全边界  </w:t>
      </w:r>
      <w:r>
        <w:rPr>
          <w:rFonts w:ascii="Arial Unicode MS" w:hAnsi="Arial Unicode MS" w:eastAsia="Arial Unicode MS" w:cs="Arial Unicode MS"/>
          <w:color w:val="17365D"/>
          <w:sz w:val="21"/>
        </w:rPr>
        <w:t>HTTP 仅用于受控本机调试。任何包含真实患者数据的共享或生产环境都应使用经机构批准的 HTTPS、身份认证、网络隔离、备份和审计策略。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APPENDIX A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 A  角色—功能矩阵（产品级）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i w:val="0"/>
          <w:color w:val="222222"/>
          <w:sz w:val="22"/>
        </w:rPr>
        <w:t>下表用于产品和实施沟通，不替代系统中的实际权限检查。“○”表示常见可用范围，“△”表示依站点配置、实验室单元或额外角色而定。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100"/>
        <w:gridCol w:w="1100"/>
        <w:gridCol w:w="1100"/>
        <w:gridCol w:w="1100"/>
        <w:gridCol w:w="16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功能域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接收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结果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验证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报告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全局管理员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首页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患者/订单/条码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样本接收/转运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工作计划/结果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结果验证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报告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不符合项/警报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EQA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存储/库存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分析仪导入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○/专用角色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病理/细胞学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○/专科角色</w:t>
            </w:r>
          </w:p>
        </w:tc>
      </w:tr>
      <w:tr>
        <w:trPr>
          <w:cantSplit/>
        </w:trPr>
        <w:tc>
          <w:tcPr>
            <w:tcW w:type="dxa" w:w="33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后台管理/审计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—</w:t>
            </w:r>
          </w:p>
        </w:tc>
        <w:tc>
          <w:tcPr>
            <w:tcW w:type="dxa" w:w="11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△</w:t>
            </w:r>
          </w:p>
        </w:tc>
        <w:tc>
          <w:tcPr>
            <w:tcW w:type="dxa" w:w="16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○/专用角色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EDF8F2"/>
        <w:pBdr>
          <w:left w:val="single" w:sz="24" w:space="8" w:color="38A169"/>
        </w:pBdr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 xml:space="preserve">实施确认  </w:t>
      </w:r>
      <w:r>
        <w:rPr>
          <w:rFonts w:ascii="Arial Unicode MS" w:hAnsi="Arial Unicode MS" w:eastAsia="Arial Unicode MS" w:cs="Arial Unicode MS"/>
          <w:color w:val="17365D"/>
          <w:sz w:val="21"/>
        </w:rPr>
        <w:t>上线前必须用每种实际岗位账户逐页验收：能否看见菜单、能否打开页面、能否读取数据、能否执行新增/修改/验证/导出等动作。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APPENDIX B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 B  主要功能与入口索引（1/2）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模块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主要入口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7"/>
              </w:rPr>
              <w:t>代表性页面/路由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首页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首页工作台、指标详情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 ; /DashboardMetrics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通用样本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订单、编辑、导入、结果、样本管理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/GenericSample/Order 等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添加订单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/SamplePatientEntry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订单流程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/order 及录入/采集/标签/QA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编辑订单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/SampleEdit?type=readwrite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传入订单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/ElectronicOrders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批量录入、条码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Batch Order Entry / Print Barcode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添加/编辑患者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/PatientManagement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患者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历史、研究、合并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Patient History / Study / Merge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存储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样本、房间、设备、架、机架、盒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/storage/*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冻存监控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仪表板、纠正、趋势、报告、设置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Freezer Monitoring tabs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样本转运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仪表板、装箱、接收、报告、设置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/SampleShipment/*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分析仪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列表、类型、映射、错误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Analyzer list/type/mapping/error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分析仪 QC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仪器、图表、控制品、规则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Analyzer QC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不符合项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仪表板、报告、查看、纠正措施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Nonconformity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EQA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订单、我的项目、项目、参与者、分发、结果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EQA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警报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警报工作区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7"/>
              </w:rPr>
              <w:t>Alerts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APPENDIX B</w:t>
      </w:r>
    </w:p>
    <w:p>
      <w:pPr>
        <w:pStyle w:val="Heading1"/>
        <w:keepNext w:val="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 B  主要功能与入口索引（2/2）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6"/>
              </w:rPr>
              <w:t>模块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6"/>
              </w:rPr>
              <w:t>主要入口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6"/>
              </w:rPr>
              <w:t>代表性页面/路由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工作计划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按检测、面板、单元、优先级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Workplan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结果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统一结果、患者、订单、范围、日期、转诊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/Results 及 legacy result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验证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常规、研究、单元、编号、范围、日期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Validation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报告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常规、研究、管理、患者、指标、导出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Report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审计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系统审计、订单审计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Audit Trail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病理学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仪表板、病例处理、报告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Pathology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免疫组织化学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仪表板、病例处理、报告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Immunohistochemistry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细胞学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仪表板、病例处理、报告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Cytology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分装样本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等分/子样本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Aliquot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笔记本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仪表板、模板、条目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Notebook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库存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品项与库存工作区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Inventory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管理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用户、组织、检测、菜单、属性、连接、字典、通用配置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/MasterListsPage ; /Admin/*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管理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程序、反射检测、编号、条码、通知、报告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Admin configuration pages</w:t>
            </w:r>
          </w:p>
        </w:tc>
      </w:tr>
      <w:tr>
        <w:trPr>
          <w:cantSplit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运维</w:t>
            </w:r>
          </w:p>
        </w:tc>
        <w:tc>
          <w:tcPr>
            <w:tcW w:type="dxa" w:w="405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搜索索引、日志、本地化、FHIR 导出、日历、传统管理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Admin maintenance pages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帮助</w:t>
            </w:r>
          </w:p>
        </w:tc>
        <w:tc>
          <w:tcPr>
            <w:tcW w:type="dxa" w:w="405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用户手册与流程文档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6"/>
              </w:rPr>
              <w:t>Help / documentation</w:t>
            </w:r>
          </w:p>
        </w:tc>
      </w:tr>
    </w:tbl>
    <w:p>
      <w:pPr>
        <w:spacing w:after="40"/>
      </w:pPr>
    </w:p>
    <w:p>
      <w:pPr>
        <w:spacing w:before="120" w:after="160" w:line="288" w:lineRule="auto"/>
        <w:ind w:left="173" w:right="115"/>
        <w:shd w:fill="F3F7FB"/>
        <w:pBdr>
          <w:left w:val="single" w:sz="24" w:space="8" w:color="2E74B5"/>
        </w:pBdr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 xml:space="preserve">路由说明  </w:t>
      </w:r>
      <w:r>
        <w:rPr>
          <w:rFonts w:ascii="Arial Unicode MS" w:hAnsi="Arial Unicode MS" w:eastAsia="Arial Unicode MS" w:cs="Arial Unicode MS"/>
          <w:color w:val="17365D"/>
          <w:sz w:val="21"/>
        </w:rPr>
        <w:t>部分传统页面使用服务器端地址或重定向，路由名称会随实施和版本调整。产品验收应以菜单可见性和实际业务结果为准，而不是只验证 URL。</w:t>
      </w:r>
    </w:p>
    <w:p>
      <w:pPr>
        <w:pageBreakBefore/>
        <w:spacing w:before="0" w:after="0" w:line="20" w:lineRule="exact"/>
      </w:pPr>
      <w:r>
        <w:rPr>
          <w:rFonts w:ascii="Arial Unicode MS" w:hAnsi="Arial Unicode MS" w:eastAsia="Arial Unicode MS" w:cs="Arial Unicode MS"/>
          <w:color w:val="FFFFFF"/>
          <w:sz w:val="2"/>
        </w:rPr>
        <w:t xml:space="preserve"> </w:t>
      </w:r>
    </w:p>
    <w:p>
      <w:pPr>
        <w:spacing w:before="0" w:after="80" w:line="240" w:lineRule="auto"/>
      </w:pPr>
      <w:r>
        <w:rPr>
          <w:rFonts w:ascii="Arial Unicode MS" w:hAnsi="Arial Unicode MS" w:eastAsia="Arial Unicode MS" w:cs="Arial Unicode MS"/>
          <w:b/>
          <w:caps/>
          <w:color w:val="38A169"/>
          <w:sz w:val="17"/>
        </w:rPr>
        <w:t>APPENDIX C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 C  术语与试用验收清单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C.1 常用术语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LIMS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Laboratory Information Management System，实验室信息管理系统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订单 / Accession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一次实验室申请及其关联的患者、样本和检测集合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实验室编号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实验室为订单/样本分配的可追踪编号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面板 / Panel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一组可共同开立或处理的检测项目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工作计划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按生产方式组织的待检任务清单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验证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授权人员对结果进行审核并确认可发布的过程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NCE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Non-Conforming Event，不符合项/不符合事件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CAPA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Corrective and Preventive Action，纠正与预防措施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EQA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External Quality Assessment，室间质量评价/能力验证</w:t>
            </w:r>
          </w:p>
        </w:tc>
      </w:tr>
      <w:tr>
        <w:trPr>
          <w:cantSplit/>
        </w:trPr>
        <w:tc>
          <w:tcPr>
            <w:tcW w:type="dxa" w:w="250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TAT</w:t>
            </w:r>
          </w:p>
        </w:tc>
        <w:tc>
          <w:tcPr>
            <w:tcW w:type="dxa" w:w="6860"/>
            <w:shd w:fill="FAFBFC"/>
          </w:tcPr>
          <w:p>
            <w:pPr>
              <w:spacing w:before="0" w:after="0" w:line="252" w:lineRule="auto"/>
            </w:pPr>
            <w:r>
              <w:rPr>
                <w:rFonts w:ascii="Arial Unicode MS" w:hAnsi="Arial Unicode MS" w:eastAsia="Arial Unicode MS" w:cs="Arial Unicode MS"/>
                <w:color w:val="222222"/>
                <w:sz w:val="18"/>
              </w:rPr>
              <w:t>Turnaround Time，周转时间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C.2 首轮试用验收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使用 Reception、Results、Validation、Reports、Administrator 等岗位账户分别登录并检查菜单。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完成一条“患者 → 订单 → 样本 → 结果 → 验证 → 报告”的全流程测试。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覆盖样本拒收、结果异常、导入错误、不符合项和权限不足等异常场景。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验证条码、报告、中文显示、日期/数字格式和打印效果。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确认备份恢复、日志、审计、接口对账和本地 HTTP/生产 HTTPS 边界。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 w:cs="Arial Unicode MS"/>
          <w:color w:val="222222"/>
          <w:sz w:val="22"/>
        </w:rPr>
        <w:t>记录所有与机构流程不一致之处，形成配置项、开发项、培训项和制度项清单。</w:t>
      </w:r>
    </w:p>
    <w:p>
      <w:pPr>
        <w:spacing w:before="120" w:after="160" w:line="288" w:lineRule="auto"/>
        <w:ind w:left="173" w:right="115"/>
        <w:shd w:fill="EDF8F2"/>
        <w:pBdr>
          <w:left w:val="single" w:sz="24" w:space="8" w:color="38A169"/>
        </w:pBdr>
      </w:pPr>
      <w:r>
        <w:rPr>
          <w:rFonts w:ascii="Arial Unicode MS" w:hAnsi="Arial Unicode MS" w:eastAsia="Arial Unicode MS" w:cs="Arial Unicode MS"/>
          <w:b/>
          <w:color w:val="38A169"/>
          <w:sz w:val="21"/>
        </w:rPr>
        <w:t xml:space="preserve">手册结论  </w:t>
      </w:r>
      <w:r>
        <w:rPr>
          <w:rFonts w:ascii="Arial Unicode MS" w:hAnsi="Arial Unicode MS" w:eastAsia="Arial Unicode MS" w:cs="Arial Unicode MS"/>
          <w:color w:val="17365D"/>
          <w:sz w:val="21"/>
        </w:rPr>
        <w:t>当前项目已具备完整 LIMS 主流程和较丰富的质量、设备、样本资产及专科扩展能力。试用阶段应优先验证核心闭环、角色权限和本地化，再按机构范围逐步启用高级模块。</w:t>
      </w:r>
    </w:p>
    <w:p>
      <w:pPr>
        <w:spacing w:before="360"/>
        <w:jc w:val="center"/>
        <w:pBdr>
          <w:bottom w:val="single" w:sz="4" w:space="4" w:color="C7D1DD"/>
        </w:pBdr>
      </w:pPr>
      <w:r>
        <w:rPr>
          <w:rFonts w:ascii="Arial Unicode MS" w:hAnsi="Arial Unicode MS" w:eastAsia="Arial Unicode MS" w:cs="Arial Unicode MS"/>
          <w:b/>
          <w:color w:val="5B6573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4" w:space="4" w:color="C7D1DD"/>
      </w:pBdr>
      <w:jc w:val="right"/>
    </w:pPr>
    <w:r>
      <w:rPr>
        <w:rFonts w:ascii="Arial Unicode MS" w:hAnsi="Arial Unicode MS" w:eastAsia="Arial Unicode MS" w:cs="Arial Unicode MS"/>
        <w:color w:val="5B6573"/>
        <w:sz w:val="17"/>
      </w:rPr>
      <w:t xml:space="preserve">第 </w:t>
    </w:r>
    <w:fldSimple w:instr="PAGE"/>
    <w:r>
      <w:rPr>
        <w:rFonts w:ascii="Arial Unicode MS" w:hAnsi="Arial Unicode MS" w:eastAsia="Arial Unicode MS" w:cs="Arial Unicode MS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 Unicode MS" w:hAnsi="Arial Unicode MS" w:eastAsia="Arial Unicode MS" w:cs="Arial Unicode MS"/>
        <w:b/>
        <w:color w:val="5B6573"/>
        <w:sz w:val="17"/>
      </w:rPr>
      <w:t>OpenELIS Global  |  中文功能产品手册</w:t>
    </w:r>
    <w:r>
      <w:rPr>
        <w:rFonts w:ascii="Arial Unicode MS" w:hAnsi="Arial Unicode MS" w:eastAsia="Arial Unicode MS" w:cs="Arial Unicode MS"/>
        <w:color w:val="5B6573"/>
        <w:sz w:val="17"/>
      </w:rPr>
      <w:t xml:space="preserve">                                    版本 3.2.1.11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OpenELIS Global 中文功能产品手册</dc:title>
  <dc:subject>基于当前源码与本地部署版本 3.2.1.11 的产品功能说明</dc:subject>
  <dc:creator>Codex</dc:creator>
  <cp:keywords>OpenELIS,LIMS,产品手册,中文,实验室信息系统</cp:keywords>
  <dc:description>基于 2026-08-05 当前源码、菜单与运行界面整理。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