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IOP-CS-Title"/>
        <w:jc w:val="center"/>
      </w:pPr>
      <w:r>
        <w:rPr>
          <w:rFonts w:ascii="Times New Roman" w:hAnsi="Times New Roman" w:eastAsia="Times New Roman"/>
        </w:rPr>
        <w:t>A Coefficient-Aware Finite-Difference Benchmark for Solver Selection and CPU/GPU Stencil Scaling in Heat-Conduction Simulation</w:t>
      </w:r>
    </w:p>
    <w:p>
      <w:pPr>
        <w:pStyle w:val="IOP-CS-Author"/>
        <w:jc w:val="center"/>
      </w:pPr>
      <w:r>
        <w:rPr>
          <w:rFonts w:ascii="Times New Roman" w:hAnsi="Times New Roman" w:eastAsia="Times New Roman"/>
        </w:rPr>
        <w:t>Dong Liu*</w:t>
      </w:r>
    </w:p>
    <w:p>
      <w:pPr>
        <w:pStyle w:val="IOP-CS-Affiliation"/>
        <w:jc w:val="center"/>
      </w:pPr>
      <w:r>
        <w:rPr>
          <w:rFonts w:ascii="Times New Roman" w:hAnsi="Times New Roman" w:eastAsia="Times New Roman"/>
        </w:rPr>
        <w:t>University of Nottingham Ningbo China, Ningbo 315100, China</w:t>
      </w:r>
    </w:p>
    <w:p>
      <w:pPr>
        <w:pStyle w:val="IOP-CS-Affiliation"/>
        <w:jc w:val="center"/>
      </w:pPr>
      <w:r>
        <w:rPr>
          <w:rFonts w:ascii="Times New Roman" w:hAnsi="Times New Roman" w:eastAsia="Times New Roman"/>
        </w:rPr>
        <w:t>*E-mail: ssydl3@nottingham.edu.cn</w:t>
      </w:r>
    </w:p>
    <w:p/>
    <w:p>
      <w:pPr>
        <w:pStyle w:val="IOP-CS-Abstract"/>
      </w:pPr>
      <w:r>
        <w:rPr>
          <w:rFonts w:ascii="Times New Roman" w:hAnsi="Times New Roman" w:eastAsia="Times New Roman"/>
        </w:rPr>
        <w:t>Abstract. Sparse solves for variable-coefficient heat conduction depend on coefficient geometry, forcing, preconditioner setup, and implementation. We present a verified finite-difference benchmark with an invariant-preserving audit of solver-choice claims. Smooth manufactured solutions recover second-order convergence and an aligned interface test verifies flux treatment. Beyond a baseline coefficient-family comparison, matched binary fields hold contrast, material fraction, total variation, and maximum log-gradient fixed. In a controlled N = 192, contrast-1000 case, translating the same two-island field by one grid point raises Jacobi-PCG iterations from 403 to 677 and reverses the setup-inclusive winner from Jacobi to AMG in all five repeats. Reflection-invariant Krylov subspaces explain why an odd source can avoid slow island modes; source perturbations and an independent motif family test this interpretation. An interleaved audit with classical AMG confirms that reversal locations depend on the candidate solver set. All 2956 controlled extension solves satisfy an independently checked relative residual below 1e-8. The resulting audit exposes limits of translation-invariant coefficient descriptors without proposing a new solver-selection algorithm. A separate paired callback calibration quantifies monitoring overhead without treating historical and controlled timings as interchangeable. CPU/CUDA measurements separately quantify stencil scaling; GPU claims remain restricted to resident-data kernels. Raw CSV files, scripts, tests, and generated outputs support the numerical and performance claims.</w:t>
      </w:r>
    </w:p>
    <w:p/>
    <w:p>
      <w:pPr>
        <w:pStyle w:val="IOP-CS-SectionHead"/>
        <w:keepNext/>
        <w:keepLines/>
      </w:pPr>
      <w:r>
        <w:rPr>
          <w:rFonts w:ascii="Times New Roman" w:hAnsi="Times New Roman" w:eastAsia="Times New Roman"/>
        </w:rPr>
        <w:t>1. Introduction</w:t>
      </w:r>
    </w:p>
    <w:p>
      <w:pPr>
        <w:pStyle w:val="IOP-CS-BodyNoIndent"/>
      </w:pPr>
      <w:r>
        <w:rPr>
          <w:rFonts w:ascii="Times New Roman" w:hAnsi="Times New Roman" w:eastAsia="Times New Roman"/>
        </w:rPr>
        <w:t>Discretising heat conduction with spatially varying conductivity produces sparse linear systems whose solution cost depends on the coefficient field, mesh resolution, forcing and preconditioning. Repeated stencil evaluations introduce a separate implementation cost. A useful benchmark must verify the discretisation and specify which parts of these computations are timed.</w:t>
      </w:r>
    </w:p>
    <w:p>
      <w:pPr>
        <w:pStyle w:val="IOP-CS-BodyText"/>
      </w:pPr>
      <w:r>
        <w:rPr>
          <w:rFonts w:ascii="Times New Roman" w:hAnsi="Times New Roman" w:eastAsia="Times New Roman"/>
        </w:rPr>
        <w:t>We test whether coefficient summaries and grid resolution distinguish the measured solver choices. Matched coefficient fields, translations and source perturbations provide controlled tests of their limitations.</w:t>
      </w:r>
    </w:p>
    <w:p>
      <w:pPr>
        <w:pStyle w:val="IOP-CS-BodyText"/>
      </w:pPr>
      <w:r>
        <w:rPr>
          <w:rFonts w:ascii="Times New Roman" w:hAnsi="Times New Roman" w:eastAsia="Times New Roman"/>
        </w:rPr>
        <w:t xml:space="preserve">The benchmark solves the steady heat-conduction equation with spatially varying conductivity. Manufactured solutions verify the smooth cases; inclusion, layered and checkerboard fields test the solvers with discontinuous conductivity. The implementation uses Python, NumPy, SciPy, PyAMG, Numba, and Numba-CUDA for sparse solves and CPU/GPU stencil implementations </w:t>
      </w:r>
      <w:r>
        <w:rPr>
          <w:rFonts w:ascii="Times New Roman" w:hAnsi="Times New Roman" w:eastAsia="Times New Roman"/>
          <w:vertAlign w:val="superscript"/>
        </w:rPr>
        <w:t xml:space="preserve">[1</w:t>
      </w:r>
      <w:r>
        <w:rPr>
          <w:rFonts w:ascii="Times New Roman" w:hAnsi="Times New Roman" w:eastAsia="Times New Roman"/>
          <w:vertAlign w:val="superscript"/>
          <w:highlight w:val="yellow"/>
        </w:rPr>
        <w:t xml:space="preserve">,2,3,</w:t>
      </w:r>
      <w:r>
        <w:rPr>
          <w:rFonts w:ascii="Times New Roman" w:hAnsi="Times New Roman" w:eastAsia="Times New Roman"/>
          <w:vertAlign w:val="superscript"/>
        </w:rPr>
        <w:t xml:space="preserve">4]</w:t>
      </w:r>
      <w:r>
        <w:rPr>
          <w:rFonts w:ascii="Times New Roman" w:hAnsi="Times New Roman" w:eastAsia="Times New Roman"/>
        </w:rPr>
        <w:t xml:space="preserve">. </w:t>
      </w:r>
    </w:p>
    <w:p>
      <w:pPr>
        <w:pStyle w:val="IOP-CS-BodyText"/>
      </w:pPr>
      <w:r>
        <w:rPr>
          <w:rFonts w:ascii="Times New Roman" w:hAnsi="Times New Roman" w:eastAsia="Times New Roman"/>
        </w:rPr>
        <w:t xml:space="preserve">Prior numerical-analysis texts establish the convergence properties of finite-difference discretisations and the role of Krylov and multigrid methods in sparse PDE solves </w:t>
      </w:r>
      <w:r>
        <w:rPr>
          <w:rFonts w:ascii="Times New Roman" w:hAnsi="Times New Roman" w:eastAsia="Times New Roman"/>
          <w:vertAlign w:val="superscript"/>
        </w:rPr>
        <w:t xml:space="preserve">[5</w:t>
      </w:r>
      <w:r>
        <w:rPr>
          <w:rFonts w:ascii="Times New Roman" w:hAnsi="Times New Roman" w:eastAsia="Times New Roman"/>
          <w:vertAlign w:val="superscript"/>
          <w:highlight w:val="yellow"/>
        </w:rPr>
        <w:t xml:space="preserve">,6,7,8</w:t>
      </w:r>
      <w:r>
        <w:rPr>
          <w:rFonts w:ascii="Times New Roman" w:hAnsi="Times New Roman" w:eastAsia="Times New Roman"/>
          <w:vertAlign w:val="superscript"/>
        </w:rPr>
        <w:t xml:space="preserve">]</w:t>
      </w:r>
      <w:r>
        <w:rPr>
          <w:rFonts w:ascii="Times New Roman" w:hAnsi="Times New Roman" w:eastAsia="Times New Roman"/>
        </w:rPr>
        <w:t xml:space="preserve">. Recent sparse and PDE solver studies further underline that preconditioning, sparse matrix execution, and accelerator mapping remain active constraints for modern workloads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9,</w:t>
      </w:r>
      <w:r>
        <w:rPr>
          <w:rFonts w:ascii="Times New Roman" w:hAnsi="Times New Roman" w:eastAsia="Times New Roman"/>
          <w:vertAlign w:val="superscript"/>
        </w:rPr>
        <w:t xml:space="preserve">10]</w:t>
      </w:r>
      <w:r>
        <w:rPr>
          <w:rFonts w:ascii="Times New Roman" w:hAnsi="Times New Roman" w:eastAsia="Times New Roman"/>
        </w:rPr>
        <w:t xml:space="preserve">; recent AMG and diffusion-solver work targets communication cost and coefficient difficulty more directly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11,</w:t>
      </w:r>
      <w:r>
        <w:rPr>
          <w:rFonts w:ascii="Times New Roman" w:hAnsi="Times New Roman" w:eastAsia="Times New Roman"/>
          <w:vertAlign w:val="superscript"/>
        </w:rPr>
        <w:t xml:space="preserve">12]</w:t>
      </w:r>
      <w:r>
        <w:rPr>
          <w:rFonts w:ascii="Times New Roman" w:hAnsi="Times New Roman" w:eastAsia="Times New Roman"/>
        </w:rPr>
        <w:t xml:space="preserve">. General reproducible-benchmarking work provides principles for automated reruns and evidence retention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13</w:t>
      </w:r>
      <w:r>
        <w:rPr>
          <w:rFonts w:ascii="Times New Roman" w:hAnsi="Times New Roman" w:eastAsia="Times New Roman"/>
          <w:vertAlign w:val="superscript"/>
        </w:rPr>
        <w:t xml:space="preserve">]</w:t>
      </w:r>
      <w:r>
        <w:rPr>
          <w:rFonts w:ascii="Times New Roman" w:hAnsi="Times New Roman" w:eastAsia="Times New Roman"/>
        </w:rPr>
        <w:t>. Here, numerical verification, coefficient descriptors and archived timings connect solver choices to the tested PDE and implementation. Combining PDE verification with performance benchmarking is established practice.</w:t>
      </w:r>
    </w:p>
    <w:p>
      <w:pPr>
        <w:pStyle w:val="IOP-CS-BodyText"/>
      </w:pPr>
      <w:r>
        <w:rPr>
          <w:rFonts w:ascii="Times New Roman" w:hAnsi="Times New Roman" w:eastAsia="Times New Roman"/>
        </w:rPr>
        <w:t>The contribution is a controlled audit within an existing finite-difference benchmark. Numerical verification and baseline solver/stencil measurements establish the implementation. An exact matched-field construction then tests whether standard coefficient descriptors distinguish solver difficulty. Translation controls preserve shape and topology as well as scalar descriptors, while forcing and transpose controls separate source symmetry from matrix and implementation effects. The resulting counterexamples are connected to preconditioned spectra and setup-inclusive costs. The study introduces no new PDE, discretisation, Krylov method, AMG algorithm, or GPU kernel; coefficient-aware denotes an auditable interpretation of measured cases, not an online selection algorithm.</w:t>
      </w:r>
    </w:p>
    <w:p>
      <w:pPr>
        <w:pStyle w:val="IOP-CS-SectionHead"/>
        <w:keepNext/>
        <w:keepLines/>
      </w:pPr>
      <w:r>
        <w:rPr>
          <w:rFonts w:ascii="Times New Roman" w:hAnsi="Times New Roman" w:eastAsia="Times New Roman"/>
        </w:rPr>
        <w:t>2. Related Work</w:t>
      </w:r>
    </w:p>
    <w:p>
      <w:pPr>
        <w:pStyle w:val="IOP-CS-BodyNoIndent"/>
      </w:pPr>
      <w:r>
        <w:rPr>
          <w:rFonts w:ascii="Times New Roman" w:hAnsi="Times New Roman" w:eastAsia="Times New Roman"/>
        </w:rPr>
        <w:t xml:space="preserve">The closest benchmark precedents already combine elliptic problems and solver performance. HPGMG-FV solves variable-coefficient elliptic problems on Cartesian grids and supports CPU and accelerator execution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14</w:t>
      </w:r>
      <w:r>
        <w:rPr>
          <w:rFonts w:ascii="Times New Roman" w:hAnsi="Times New Roman" w:eastAsia="Times New Roman"/>
          <w:vertAlign w:val="superscript"/>
        </w:rPr>
        <w:t xml:space="preserve">]</w:t>
      </w:r>
      <w:r>
        <w:rPr>
          <w:rFonts w:ascii="Times New Roman" w:hAnsi="Times New Roman" w:eastAsia="Times New Roman"/>
        </w:rPr>
        <w:t xml:space="preserve">. AMG2023 benchmarks finite-difference diffusion with BoomerAMG and Krylov methods; its performance denominator includes setup time plus a specified number of solves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15</w:t>
      </w:r>
      <w:r>
        <w:rPr>
          <w:rFonts w:ascii="Times New Roman" w:hAnsi="Times New Roman" w:eastAsia="Times New Roman"/>
          <w:vertAlign w:val="superscript"/>
        </w:rPr>
        <w:t xml:space="preserve">]</w:t>
      </w:r>
      <w:r>
        <w:rPr>
          <w:rFonts w:ascii="Times New Roman" w:hAnsi="Times New Roman" w:eastAsia="Times New Roman"/>
        </w:rPr>
        <w:t>. Setup-inclusive timing is therefore an established practice. The present study addresses a narrower question through a small coefficient-family grid, explicit interface checks, and a complete record of measured solver choices. These systems provide methodological context; no performance comparison against HPGMG or hypre is claimed.</w:t>
      </w:r>
    </w:p>
    <w:p>
      <w:pPr>
        <w:pStyle w:val="IOP-CS-BodyNoIndent"/>
      </w:pPr>
      <w:r>
        <w:rPr>
          <w:rFonts w:ascii="Times New Roman" w:hAnsi="Times New Roman" w:eastAsia="Times New Roman"/>
        </w:rPr>
        <w:t xml:space="preserve">Finite-difference methods provide a direct route from elliptic and parabolic PDEs to sparse linear systems on structured grids </w:t>
      </w:r>
      <w:r>
        <w:rPr>
          <w:rFonts w:ascii="Times New Roman" w:hAnsi="Times New Roman" w:eastAsia="Times New Roman"/>
          <w:vertAlign w:val="superscript"/>
        </w:rPr>
        <w:t>[5]</w:t>
      </w:r>
      <w:r>
        <w:rPr>
          <w:rFonts w:ascii="Times New Roman" w:hAnsi="Times New Roman" w:eastAsia="Times New Roman"/>
        </w:rPr>
        <w:t>. For self-adjoint diffusion operators, conservative flux forms are especially useful because face-based coefficient averaging preserves the symmetry and locality expected by Krylov methods. Once discretised, the main computational problem is sparse linear algebra rather than pointwise equation evaluation.</w:t>
      </w:r>
    </w:p>
    <w:p>
      <w:pPr>
        <w:pStyle w:val="IOP-CS-BodyText"/>
      </w:pPr>
      <w:r>
        <w:rPr>
          <w:rFonts w:ascii="Times New Roman" w:hAnsi="Times New Roman" w:eastAsia="Times New Roman"/>
        </w:rPr>
        <w:t xml:space="preserve">The conjugate-gradient method remains a baseline solver for symmetric positive definite systems </w:t>
      </w:r>
      <w:r>
        <w:rPr>
          <w:rFonts w:ascii="Times New Roman" w:hAnsi="Times New Roman" w:eastAsia="Times New Roman"/>
          <w:vertAlign w:val="superscript"/>
        </w:rPr>
        <w:t xml:space="preserve">[6</w:t>
      </w:r>
      <w:r>
        <w:rPr>
          <w:rFonts w:ascii="Times New Roman" w:hAnsi="Times New Roman" w:eastAsia="Times New Roman"/>
          <w:vertAlign w:val="superscript"/>
          <w:highlight w:val="yellow"/>
        </w:rPr>
        <w:t xml:space="preserve">,</w:t>
      </w:r>
      <w:r>
        <w:rPr>
          <w:rFonts w:ascii="Times New Roman" w:hAnsi="Times New Roman" w:eastAsia="Times New Roman"/>
          <w:vertAlign w:val="superscript"/>
        </w:rPr>
        <w:t xml:space="preserve">7]</w:t>
      </w:r>
      <w:r>
        <w:rPr>
          <w:rFonts w:ascii="Times New Roman" w:hAnsi="Times New Roman" w:eastAsia="Times New Roman"/>
        </w:rPr>
        <w:t xml:space="preserve">. Its performance depends on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spectrum</w:t>
      </w:r>
      <w:r>
        <w:rPr>
          <w:rFonts w:ascii="Times New Roman" w:hAnsi="Times New Roman" w:eastAsia="Times New Roman"/>
        </w:rPr>
        <w:t xml:space="preserve"> and can </w:t>
      </w:r>
      <w:r>
        <w:rPr>
          <w:rFonts w:ascii="Times New Roman" w:hAnsi="Times New Roman" w:eastAsia="Times New Roman"/>
          <w:highlight w:val="yellow"/>
        </w:rPr>
        <w:t xml:space="preserve">change</w:t>
      </w:r>
      <w:r>
        <w:rPr>
          <w:rFonts w:ascii="Times New Roman" w:hAnsi="Times New Roman" w:eastAsia="Times New Roman"/>
        </w:rPr>
        <w:t xml:space="preserve"> </w:t>
      </w:r>
      <w:r>
        <w:rPr>
          <w:rFonts w:ascii="Times New Roman" w:hAnsi="Times New Roman" w:eastAsia="Times New Roman"/>
          <w:highlight w:val="yellow"/>
        </w:rPr>
        <w:t xml:space="preserve">with</w:t>
      </w:r>
      <w:r>
        <w:rPr>
          <w:rFonts w:ascii="Times New Roman" w:hAnsi="Times New Roman" w:eastAsia="Times New Roman"/>
        </w:rPr>
        <w:t xml:space="preserve"> </w:t>
      </w:r>
      <w:r>
        <w:rPr>
          <w:rFonts w:ascii="Times New Roman" w:hAnsi="Times New Roman" w:eastAsia="Times New Roman"/>
          <w:highlight w:val="yellow"/>
        </w:rPr>
        <w:t xml:space="preserve">mesh</w:t>
      </w:r>
      <w:r>
        <w:rPr>
          <w:rFonts w:ascii="Times New Roman" w:hAnsi="Times New Roman" w:eastAsia="Times New Roman"/>
        </w:rPr>
        <w:t xml:space="preserve"> </w:t>
      </w:r>
      <w:r>
        <w:rPr>
          <w:rFonts w:ascii="Times New Roman" w:hAnsi="Times New Roman" w:eastAsia="Times New Roman"/>
          <w:highlight w:val="yellow"/>
        </w:rPr>
        <w:t xml:space="preserve">resolution,</w:t>
      </w:r>
      <w:r>
        <w:rPr>
          <w:rFonts w:ascii="Times New Roman" w:hAnsi="Times New Roman" w:eastAsia="Times New Roman"/>
        </w:rPr>
        <w:t xml:space="preserve"> coefficient contrast and geometry. </w:t>
      </w:r>
      <w:r>
        <w:rPr>
          <w:rFonts w:ascii="Times New Roman" w:hAnsi="Times New Roman" w:eastAsia="Times New Roman"/>
          <w:highlight w:val="yellow"/>
        </w:rPr>
        <w:t xml:space="preserve">Algebraic</w:t>
      </w:r>
      <w:r>
        <w:rPr>
          <w:rFonts w:ascii="Times New Roman" w:hAnsi="Times New Roman" w:eastAsia="Times New Roman"/>
        </w:rPr>
        <w:t xml:space="preserve"> </w:t>
      </w:r>
      <w:r>
        <w:rPr>
          <w:rFonts w:ascii="Times New Roman" w:hAnsi="Times New Roman" w:eastAsia="Times New Roman"/>
          <w:highlight w:val="yellow"/>
        </w:rPr>
        <w:t xml:space="preserve">multigrid</w:t>
      </w:r>
      <w:r>
        <w:rPr>
          <w:rFonts w:ascii="Times New Roman" w:hAnsi="Times New Roman" w:eastAsia="Times New Roman"/>
        </w:rPr>
        <w:t xml:space="preserve"> </w:t>
      </w:r>
      <w:r>
        <w:rPr>
          <w:rFonts w:ascii="Times New Roman" w:hAnsi="Times New Roman" w:eastAsia="Times New Roman"/>
          <w:highlight w:val="yellow"/>
        </w:rPr>
        <w:t xml:space="preserve">constructs</w:t>
      </w:r>
      <w:r>
        <w:rPr>
          <w:rFonts w:ascii="Times New Roman" w:hAnsi="Times New Roman" w:eastAsia="Times New Roman"/>
        </w:rPr>
        <w:t xml:space="preserve"> </w:t>
      </w:r>
      <w:r>
        <w:rPr>
          <w:rFonts w:ascii="Times New Roman" w:hAnsi="Times New Roman" w:eastAsia="Times New Roman"/>
          <w:highlight w:val="yellow"/>
        </w:rPr>
        <w:t xml:space="preserve">coarse</w:t>
      </w:r>
      <w:r>
        <w:rPr>
          <w:rFonts w:ascii="Times New Roman" w:hAnsi="Times New Roman" w:eastAsia="Times New Roman"/>
        </w:rPr>
        <w:t xml:space="preserve"> </w:t>
      </w:r>
      <w:r>
        <w:rPr>
          <w:rFonts w:ascii="Times New Roman" w:hAnsi="Times New Roman" w:eastAsia="Times New Roman"/>
          <w:highlight w:val="yellow"/>
        </w:rPr>
        <w:t xml:space="preserve">corrections</w:t>
      </w:r>
      <w:r>
        <w:rPr>
          <w:rFonts w:ascii="Times New Roman" w:hAnsi="Times New Roman" w:eastAsia="Times New Roman"/>
        </w:rPr>
        <w:t xml:space="preserve"> </w:t>
      </w:r>
      <w:r>
        <w:rPr>
          <w:rFonts w:ascii="Times New Roman" w:hAnsi="Times New Roman" w:eastAsia="Times New Roman"/>
          <w:highlight w:val="yellow"/>
        </w:rPr>
        <w:t xml:space="preserve">from</w:t>
      </w:r>
      <w:r>
        <w:rPr>
          <w:rFonts w:ascii="Times New Roman" w:hAnsi="Times New Roman" w:eastAsia="Times New Roman"/>
        </w:rPr>
        <w:t xml:space="preserve"> </w:t>
      </w:r>
      <w:r>
        <w:rPr>
          <w:rFonts w:ascii="Times New Roman" w:hAnsi="Times New Roman" w:eastAsia="Times New Roman"/>
          <w:highlight w:val="yellow"/>
        </w:rPr>
        <w:t xml:space="preserve">the matrix to address</w:t>
      </w:r>
      <w:r>
        <w:rPr>
          <w:rFonts w:ascii="Times New Roman" w:hAnsi="Times New Roman" w:eastAsia="Times New Roman"/>
        </w:rPr>
        <w:t xml:space="preserve"> error components </w:t>
      </w:r>
      <w:r>
        <w:rPr>
          <w:rFonts w:ascii="Times New Roman" w:hAnsi="Times New Roman" w:eastAsia="Times New Roman"/>
          <w:highlight w:val="yellow"/>
        </w:rPr>
        <w:t xml:space="preserve">that</w:t>
      </w:r>
      <w:r>
        <w:rPr>
          <w:rFonts w:ascii="Times New Roman" w:hAnsi="Times New Roman" w:eastAsia="Times New Roman"/>
        </w:rPr>
        <w:t xml:space="preserve"> </w:t>
      </w:r>
      <w:r>
        <w:rPr>
          <w:rFonts w:ascii="Times New Roman" w:hAnsi="Times New Roman" w:eastAsia="Times New Roman"/>
          <w:highlight w:val="yellow"/>
        </w:rPr>
        <w:t xml:space="preserve">relaxation removes slowly</w:t>
      </w:r>
      <w:r>
        <w:rPr>
          <w:rFonts w:ascii="Times New Roman" w:hAnsi="Times New Roman" w:eastAsia="Times New Roman"/>
        </w:rPr>
        <w:t xml:space="preserve"> </w:t>
      </w:r>
      <w:r>
        <w:rPr>
          <w:rFonts w:ascii="Times New Roman" w:hAnsi="Times New Roman" w:eastAsia="Times New Roman"/>
          <w:vertAlign w:val="superscript"/>
        </w:rPr>
        <w:t>[8]</w:t>
      </w:r>
      <w:r>
        <w:rPr>
          <w:rFonts w:ascii="Times New Roman" w:hAnsi="Times New Roman" w:eastAsia="Times New Roman"/>
        </w:rPr>
        <w:t xml:space="preserve">. </w:t>
      </w:r>
      <w:r>
        <w:rPr>
          <w:rFonts w:ascii="Times New Roman" w:hAnsi="Times New Roman" w:eastAsia="Times New Roman"/>
          <w:highlight w:val="yellow"/>
        </w:rPr>
        <w:t xml:space="preserve">Recent</w:t>
      </w:r>
      <w:r>
        <w:rPr>
          <w:rFonts w:ascii="Times New Roman" w:hAnsi="Times New Roman" w:eastAsia="Times New Roman"/>
        </w:rPr>
        <w:t xml:space="preserve"> </w:t>
      </w:r>
      <w:r>
        <w:rPr>
          <w:rFonts w:ascii="Times New Roman" w:hAnsi="Times New Roman" w:eastAsia="Times New Roman"/>
          <w:highlight w:val="yellow"/>
        </w:rPr>
        <w:t xml:space="preserve">work</w:t>
      </w:r>
      <w:r>
        <w:rPr>
          <w:rFonts w:ascii="Times New Roman" w:hAnsi="Times New Roman" w:eastAsia="Times New Roman"/>
        </w:rPr>
        <w:t xml:space="preserve"> </w:t>
      </w:r>
      <w:r>
        <w:rPr>
          <w:rFonts w:ascii="Times New Roman" w:hAnsi="Times New Roman" w:eastAsia="Times New Roman"/>
          <w:highlight w:val="yellow"/>
        </w:rPr>
        <w:t xml:space="preserve">by</w:t>
      </w:r>
      <w:r>
        <w:rPr>
          <w:rFonts w:ascii="Times New Roman" w:hAnsi="Times New Roman" w:eastAsia="Times New Roman"/>
        </w:rPr>
        <w:t xml:space="preserve"> </w:t>
      </w:r>
      <w:r>
        <w:rPr>
          <w:rFonts w:ascii="Times New Roman" w:hAnsi="Times New Roman" w:eastAsia="Times New Roman"/>
          <w:highlight w:val="yellow"/>
        </w:rPr>
        <w:t xml:space="preserve">D'Ambra</w:t>
      </w:r>
      <w:r>
        <w:rPr>
          <w:rFonts w:ascii="Times New Roman" w:hAnsi="Times New Roman" w:eastAsia="Times New Roman"/>
        </w:rPr>
        <w:t xml:space="preserve"> </w:t>
      </w:r>
      <w:r>
        <w:rPr>
          <w:rFonts w:ascii="Times New Roman" w:hAnsi="Times New Roman" w:eastAsia="Times New Roman"/>
          <w:highlight w:val="yellow"/>
        </w:rPr>
        <w:t xml:space="preserve">et al. relates the quality of matching-based aggregates</w:t>
      </w:r>
      <w:r>
        <w:rPr>
          <w:rFonts w:ascii="Times New Roman" w:hAnsi="Times New Roman" w:eastAsia="Times New Roman"/>
        </w:rPr>
        <w:t xml:space="preserve"> to </w:t>
      </w:r>
      <w:r>
        <w:rPr>
          <w:rFonts w:ascii="Times New Roman" w:hAnsi="Times New Roman" w:eastAsia="Times New Roman"/>
          <w:highlight w:val="yellow"/>
        </w:rPr>
        <w:t xml:space="preserve">AMG convergence for symmetric positive definite</w:t>
      </w:r>
      <w:r>
        <w:rPr>
          <w:rFonts w:ascii="Times New Roman" w:hAnsi="Times New Roman" w:eastAsia="Times New Roman"/>
        </w:rPr>
        <w:t xml:space="preserve"> problems </w:t>
      </w:r>
      <w:r>
        <w:rPr>
          <w:rFonts w:ascii="Times New Roman" w:hAnsi="Times New Roman" w:eastAsia="Times New Roman"/>
          <w:vertAlign w:val="superscript"/>
          <w:highlight w:val="yellow"/>
        </w:rPr>
        <w:t xml:space="preserve">[16]</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This connects solver performance to the construction of the hierarchy, beyond</w:t>
      </w:r>
      <w:r>
        <w:rPr>
          <w:rFonts w:ascii="Times New Roman" w:hAnsi="Times New Roman" w:eastAsia="Times New Roman"/>
        </w:rPr>
        <w:t xml:space="preserve"> a </w:t>
      </w:r>
      <w:r>
        <w:rPr>
          <w:rFonts w:ascii="Times New Roman" w:hAnsi="Times New Roman" w:eastAsia="Times New Roman"/>
          <w:highlight w:val="yellow"/>
        </w:rPr>
        <w:t xml:space="preserve">scalar</w:t>
      </w:r>
      <w:r>
        <w:rPr>
          <w:rFonts w:ascii="Times New Roman" w:hAnsi="Times New Roman" w:eastAsia="Times New Roman"/>
        </w:rPr>
        <w:t xml:space="preserve"> </w:t>
      </w:r>
      <w:r>
        <w:rPr>
          <w:rFonts w:ascii="Times New Roman" w:hAnsi="Times New Roman" w:eastAsia="Times New Roman"/>
          <w:highlight w:val="yellow"/>
        </w:rPr>
        <w:t xml:space="preserve">contrast</w:t>
      </w:r>
      <w:r>
        <w:rPr>
          <w:rFonts w:ascii="Times New Roman" w:hAnsi="Times New Roman" w:eastAsia="Times New Roman"/>
        </w:rPr>
        <w:t xml:space="preserve"> </w:t>
      </w:r>
      <w:r>
        <w:rPr>
          <w:rFonts w:ascii="Times New Roman" w:hAnsi="Times New Roman" w:eastAsia="Times New Roman"/>
          <w:highlight w:val="yellow"/>
        </w:rPr>
        <w:t xml:space="preserve">measure</w:t>
      </w:r>
      <w:r>
        <w:rPr>
          <w:rFonts w:ascii="Times New Roman" w:hAnsi="Times New Roman" w:eastAsia="Times New Roman"/>
        </w:rPr>
        <w:t xml:space="preserve">. </w:t>
      </w:r>
      <w:r>
        <w:rPr>
          <w:rFonts w:ascii="Times New Roman" w:hAnsi="Times New Roman" w:eastAsia="Times New Roman"/>
          <w:highlight w:val="yellow"/>
        </w:rPr>
        <w:t xml:space="preserve">We</w:t>
      </w:r>
      <w:r>
        <w:rPr>
          <w:rFonts w:ascii="Times New Roman" w:hAnsi="Times New Roman" w:eastAsia="Times New Roman"/>
        </w:rPr>
        <w:t xml:space="preserve"> </w:t>
      </w:r>
      <w:r>
        <w:rPr>
          <w:rFonts w:ascii="Times New Roman" w:hAnsi="Times New Roman" w:eastAsia="Times New Roman"/>
          <w:highlight w:val="yellow"/>
        </w:rPr>
        <w:t xml:space="preserve">use</w:t>
      </w:r>
      <w:r>
        <w:rPr>
          <w:rFonts w:ascii="Times New Roman" w:hAnsi="Times New Roman" w:eastAsia="Times New Roman"/>
        </w:rPr>
        <w:t xml:space="preserve"> PyAMG as an accessible implementation </w:t>
      </w:r>
      <w:r>
        <w:rPr>
          <w:rFonts w:ascii="Times New Roman" w:hAnsi="Times New Roman" w:eastAsia="Times New Roman"/>
          <w:vertAlign w:val="superscript"/>
        </w:rPr>
        <w:t>[4]</w:t>
      </w:r>
      <w:r>
        <w:rPr>
          <w:rFonts w:ascii="Times New Roman" w:hAnsi="Times New Roman" w:eastAsia="Times New Roman"/>
          <w:highlight w:val="yellow"/>
        </w:rPr>
        <w:t xml:space="preserve">; the matching-based method is related work, not an additional solver tested here</w:t>
      </w:r>
      <w:r>
        <w:rPr>
          <w:rFonts w:ascii="Times New Roman" w:hAnsi="Times New Roman" w:eastAsia="Times New Roman"/>
        </w:rPr>
        <w:t xml:space="preserve">.</w:t>
      </w:r>
    </w:p>
    <w:p>
      <w:pPr>
        <w:pStyle w:val="IOP-CS-BodyText"/>
      </w:pPr>
      <w:r>
        <w:rPr>
          <w:rFonts w:ascii="Times New Roman" w:hAnsi="Times New Roman" w:eastAsia="Times New Roman"/>
        </w:rPr>
        <w:t xml:space="preserve">Performance portability is a separate concern. NumPy provides high-level array operations, SciPy provides sparse linear algebra, and Numba compiles numerical Python kernels to machine code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2,</w:t>
      </w:r>
      <w:r>
        <w:rPr>
          <w:rFonts w:ascii="Times New Roman" w:hAnsi="Times New Roman" w:eastAsia="Times New Roman"/>
          <w:vertAlign w:val="superscript"/>
        </w:rPr>
        <w:t xml:space="preserve">1</w:t>
      </w:r>
      <w:r>
        <w:rPr>
          <w:rFonts w:ascii="Times New Roman" w:hAnsi="Times New Roman" w:eastAsia="Times New Roman"/>
          <w:vertAlign w:val="superscript"/>
          <w:highlight w:val="yellow"/>
        </w:rPr>
        <w:t xml:space="preserve">,</w:t>
      </w:r>
      <w:r>
        <w:rPr>
          <w:rFonts w:ascii="Times New Roman" w:hAnsi="Times New Roman" w:eastAsia="Times New Roman"/>
          <w:vertAlign w:val="superscript"/>
        </w:rPr>
        <w:t xml:space="preserve">3]</w:t>
      </w:r>
      <w:r>
        <w:rPr>
          <w:rFonts w:ascii="Times New Roman" w:hAnsi="Times New Roman" w:eastAsia="Times New Roman"/>
        </w:rPr>
        <w:t xml:space="preserve">. </w:t>
      </w:r>
      <w:r>
        <w:rPr>
          <w:rFonts w:ascii="Times New Roman" w:hAnsi="Times New Roman" w:eastAsia="Times New Roman"/>
          <w:highlight w:val="yellow"/>
        </w:rPr>
        <w:t xml:space="preserve">Ginkgo</w:t>
      </w:r>
      <w:r>
        <w:rPr>
          <w:rFonts w:ascii="Times New Roman" w:hAnsi="Times New Roman" w:eastAsia="Times New Roman"/>
        </w:rPr>
        <w:t xml:space="preserve"> </w:t>
      </w:r>
      <w:r>
        <w:rPr>
          <w:rFonts w:ascii="Times New Roman" w:hAnsi="Times New Roman" w:eastAsia="Times New Roman"/>
          <w:highlight w:val="yellow"/>
        </w:rPr>
        <w:t xml:space="preserve">separates</w:t>
      </w:r>
      <w:r>
        <w:rPr>
          <w:rFonts w:ascii="Times New Roman" w:hAnsi="Times New Roman" w:eastAsia="Times New Roman"/>
        </w:rPr>
        <w:t xml:space="preserve"> </w:t>
      </w:r>
      <w:r>
        <w:rPr>
          <w:rFonts w:ascii="Times New Roman" w:hAnsi="Times New Roman" w:eastAsia="Times New Roman"/>
          <w:highlight w:val="yellow"/>
        </w:rPr>
        <w:t xml:space="preserve">linear-operator</w:t>
      </w:r>
      <w:r>
        <w:rPr>
          <w:rFonts w:ascii="Times New Roman" w:hAnsi="Times New Roman" w:eastAsia="Times New Roman"/>
        </w:rPr>
        <w:t xml:space="preserve"> </w:t>
      </w:r>
      <w:r>
        <w:rPr>
          <w:rFonts w:ascii="Times New Roman" w:hAnsi="Times New Roman" w:eastAsia="Times New Roman"/>
          <w:highlight w:val="yellow"/>
        </w:rPr>
        <w:t xml:space="preserve">algorithms</w:t>
      </w:r>
      <w:r>
        <w:rPr>
          <w:rFonts w:ascii="Times New Roman" w:hAnsi="Times New Roman" w:eastAsia="Times New Roman"/>
        </w:rPr>
        <w:t xml:space="preserve"> </w:t>
      </w:r>
      <w:r>
        <w:rPr>
          <w:rFonts w:ascii="Times New Roman" w:hAnsi="Times New Roman" w:eastAsia="Times New Roman"/>
          <w:highlight w:val="yellow"/>
        </w:rPr>
        <w:t xml:space="preserve">from</w:t>
      </w:r>
      <w:r>
        <w:rPr>
          <w:rFonts w:ascii="Times New Roman" w:hAnsi="Times New Roman" w:eastAsia="Times New Roman"/>
        </w:rPr>
        <w:t xml:space="preserve"> </w:t>
      </w:r>
      <w:r>
        <w:rPr>
          <w:rFonts w:ascii="Times New Roman" w:hAnsi="Times New Roman" w:eastAsia="Times New Roman"/>
          <w:highlight w:val="yellow"/>
        </w:rPr>
        <w:t xml:space="preserve">architecture-specific</w:t>
      </w:r>
      <w:r>
        <w:rPr>
          <w:rFonts w:ascii="Times New Roman" w:hAnsi="Times New Roman" w:eastAsia="Times New Roman"/>
        </w:rPr>
        <w:t xml:space="preserve"> </w:t>
      </w:r>
      <w:r>
        <w:rPr>
          <w:rFonts w:ascii="Times New Roman" w:hAnsi="Times New Roman" w:eastAsia="Times New Roman"/>
          <w:highlight w:val="yellow"/>
        </w:rPr>
        <w:t xml:space="preserve">backends</w:t>
      </w:r>
      <w:r>
        <w:rPr>
          <w:rFonts w:ascii="Times New Roman" w:hAnsi="Times New Roman" w:eastAsia="Times New Roman"/>
        </w:rPr>
        <w:t xml:space="preserve"> </w:t>
      </w:r>
      <w:r>
        <w:rPr>
          <w:rFonts w:ascii="Times New Roman" w:hAnsi="Times New Roman" w:eastAsia="Times New Roman"/>
          <w:highlight w:val="yellow"/>
        </w:rPr>
        <w:t xml:space="preserve">for</w:t>
      </w:r>
      <w:r>
        <w:rPr>
          <w:rFonts w:ascii="Times New Roman" w:hAnsi="Times New Roman" w:eastAsia="Times New Roman"/>
        </w:rPr>
        <w:t xml:space="preserve"> </w:t>
      </w:r>
      <w:r>
        <w:rPr>
          <w:rFonts w:ascii="Times New Roman" w:hAnsi="Times New Roman" w:eastAsia="Times New Roman"/>
          <w:highlight w:val="yellow"/>
        </w:rPr>
        <w:t xml:space="preserve">high-performance</w:t>
      </w:r>
      <w:r>
        <w:rPr>
          <w:rFonts w:ascii="Times New Roman" w:hAnsi="Times New Roman" w:eastAsia="Times New Roman"/>
        </w:rPr>
        <w:t xml:space="preserve"> </w:t>
      </w:r>
      <w:r>
        <w:rPr>
          <w:rFonts w:ascii="Times New Roman" w:hAnsi="Times New Roman" w:eastAsia="Times New Roman"/>
          <w:highlight w:val="yellow"/>
        </w:rPr>
        <w:t xml:space="preserve">sparse</w:t>
      </w:r>
      <w:r>
        <w:rPr>
          <w:rFonts w:ascii="Times New Roman" w:hAnsi="Times New Roman" w:eastAsia="Times New Roman"/>
        </w:rPr>
        <w:t xml:space="preserve"> </w:t>
      </w:r>
      <w:r>
        <w:rPr>
          <w:rFonts w:ascii="Times New Roman" w:hAnsi="Times New Roman" w:eastAsia="Times New Roman"/>
          <w:highlight w:val="yellow"/>
        </w:rPr>
        <w:t xml:space="preserve">linear</w:t>
      </w:r>
      <w:r>
        <w:rPr>
          <w:rFonts w:ascii="Times New Roman" w:hAnsi="Times New Roman" w:eastAsia="Times New Roman"/>
        </w:rPr>
        <w:t xml:space="preserve"> </w:t>
      </w:r>
      <w:r>
        <w:rPr>
          <w:rFonts w:ascii="Times New Roman" w:hAnsi="Times New Roman" w:eastAsia="Times New Roman"/>
          <w:highlight w:val="yellow"/>
        </w:rPr>
        <w:t xml:space="preserve">algebra</w:t>
      </w:r>
      <w:r>
        <w:rPr>
          <w:rFonts w:ascii="Times New Roman" w:hAnsi="Times New Roman" w:eastAsia="Times New Roman"/>
        </w:rPr>
        <w:t xml:space="preserve"> </w:t>
      </w:r>
      <w:r>
        <w:rPr>
          <w:rFonts w:ascii="Times New Roman" w:hAnsi="Times New Roman" w:eastAsia="Times New Roman"/>
          <w:vertAlign w:val="superscript"/>
        </w:rPr>
        <w:t>[17]</w:t>
      </w:r>
      <w:r>
        <w:rPr>
          <w:rFonts w:ascii="Times New Roman" w:hAnsi="Times New Roman" w:eastAsia="Times New Roman"/>
        </w:rPr>
        <w:t xml:space="preserve">. </w:t>
      </w:r>
      <w:r>
        <w:rPr>
          <w:rFonts w:ascii="Times New Roman" w:hAnsi="Times New Roman" w:eastAsia="Times New Roman"/>
          <w:highlight w:val="yellow"/>
        </w:rPr>
        <w:t xml:space="preserve">Stencil</w:t>
      </w:r>
      <w:r>
        <w:rPr>
          <w:rFonts w:ascii="Times New Roman" w:hAnsi="Times New Roman" w:eastAsia="Times New Roman"/>
        </w:rPr>
        <w:t xml:space="preserve"> and CUDA kernel studies report sensitivity to memory traffic, kernel structure and problem size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18,</w:t>
      </w:r>
      <w:r>
        <w:rPr>
          <w:rFonts w:ascii="Times New Roman" w:hAnsi="Times New Roman" w:eastAsia="Times New Roman"/>
          <w:vertAlign w:val="superscript"/>
        </w:rPr>
        <w:t xml:space="preserve">19]</w:t>
      </w:r>
      <w:r>
        <w:rPr>
          <w:rFonts w:ascii="Times New Roman" w:hAnsi="Times New Roman" w:eastAsia="Times New Roman"/>
        </w:rPr>
        <w:t xml:space="preserve">. </w:t>
      </w:r>
      <w:r>
        <w:rPr>
          <w:rFonts w:ascii="Times New Roman" w:hAnsi="Times New Roman" w:eastAsia="Times New Roman"/>
          <w:highlight w:val="yellow"/>
        </w:rPr>
        <w:t xml:space="preserve">We</w:t>
      </w:r>
      <w:r>
        <w:rPr>
          <w:rFonts w:ascii="Times New Roman" w:hAnsi="Times New Roman" w:eastAsia="Times New Roman"/>
        </w:rPr>
        <w:t xml:space="preserve"> therefore </w:t>
      </w:r>
      <w:r>
        <w:rPr>
          <w:rFonts w:ascii="Times New Roman" w:hAnsi="Times New Roman" w:eastAsia="Times New Roman"/>
          <w:highlight w:val="yellow"/>
        </w:rPr>
        <w:t xml:space="preserve">specify data residency and timing boundaries, reporting repeated</w:t>
      </w:r>
      <w:r>
        <w:rPr>
          <w:rFonts w:ascii="Times New Roman" w:hAnsi="Times New Roman" w:eastAsia="Times New Roman"/>
        </w:rPr>
        <w:t xml:space="preserve"> GPU </w:t>
      </w:r>
      <w:r>
        <w:rPr>
          <w:rFonts w:ascii="Times New Roman" w:hAnsi="Times New Roman" w:eastAsia="Times New Roman"/>
          <w:highlight w:val="yellow"/>
        </w:rPr>
        <w:t xml:space="preserve">stencil</w:t>
      </w:r>
      <w:r>
        <w:rPr>
          <w:rFonts w:ascii="Times New Roman" w:hAnsi="Times New Roman" w:eastAsia="Times New Roman"/>
        </w:rPr>
        <w:t xml:space="preserve"> updates </w:t>
      </w:r>
      <w:r>
        <w:rPr>
          <w:rFonts w:ascii="Times New Roman" w:hAnsi="Times New Roman" w:eastAsia="Times New Roman"/>
          <w:highlight w:val="yellow"/>
        </w:rPr>
        <w:t xml:space="preserve">with</w:t>
      </w:r>
      <w:r>
        <w:rPr>
          <w:rFonts w:ascii="Times New Roman" w:hAnsi="Times New Roman" w:eastAsia="Times New Roman"/>
        </w:rPr>
        <w:t xml:space="preserve"> data </w:t>
      </w:r>
      <w:r>
        <w:rPr>
          <w:rFonts w:ascii="Times New Roman" w:hAnsi="Times New Roman" w:eastAsia="Times New Roman"/>
          <w:highlight w:val="yellow"/>
        </w:rPr>
        <w:t xml:space="preserve">already</w:t>
      </w:r>
      <w:r>
        <w:rPr>
          <w:rFonts w:ascii="Times New Roman" w:hAnsi="Times New Roman" w:eastAsia="Times New Roman"/>
        </w:rPr>
        <w:t xml:space="preserve"> on the device </w:t>
      </w:r>
      <w:r>
        <w:rPr>
          <w:rFonts w:ascii="Times New Roman" w:hAnsi="Times New Roman" w:eastAsia="Times New Roman"/>
          <w:highlight w:val="yellow"/>
        </w:rPr>
        <w:t xml:space="preserve">rather</w:t>
      </w:r>
      <w:r>
        <w:rPr>
          <w:rFonts w:ascii="Times New Roman" w:hAnsi="Times New Roman" w:eastAsia="Times New Roman"/>
        </w:rPr>
        <w:t xml:space="preserve"> </w:t>
      </w:r>
      <w:r>
        <w:rPr>
          <w:rFonts w:ascii="Times New Roman" w:hAnsi="Times New Roman" w:eastAsia="Times New Roman"/>
          <w:highlight w:val="yellow"/>
        </w:rPr>
        <w:t xml:space="preserve">than</w:t>
      </w:r>
      <w:r>
        <w:rPr>
          <w:rFonts w:ascii="Times New Roman" w:hAnsi="Times New Roman" w:eastAsia="Times New Roman"/>
        </w:rPr>
        <w:t xml:space="preserve"> </w:t>
      </w:r>
      <w:r>
        <w:rPr>
          <w:rFonts w:ascii="Times New Roman" w:hAnsi="Times New Roman" w:eastAsia="Times New Roman"/>
          <w:highlight w:val="yellow"/>
        </w:rPr>
        <w:t xml:space="preserve">an</w:t>
      </w:r>
      <w:r>
        <w:rPr>
          <w:rFonts w:ascii="Times New Roman" w:hAnsi="Times New Roman" w:eastAsia="Times New Roman"/>
        </w:rPr>
        <w:t xml:space="preserve"> </w:t>
      </w:r>
      <w:r>
        <w:rPr>
          <w:rFonts w:ascii="Times New Roman" w:hAnsi="Times New Roman" w:eastAsia="Times New Roman"/>
          <w:highlight w:val="yellow"/>
        </w:rPr>
        <w:t xml:space="preserve">end-to-end sparse solve. Raw</w:t>
      </w:r>
      <w:r>
        <w:rPr>
          <w:rFonts w:ascii="Times New Roman" w:hAnsi="Times New Roman" w:eastAsia="Times New Roman"/>
        </w:rPr>
        <w:t xml:space="preserve"> evidence </w:t>
      </w:r>
      <w:r>
        <w:rPr>
          <w:rFonts w:ascii="Times New Roman" w:hAnsi="Times New Roman" w:eastAsia="Times New Roman"/>
          <w:highlight w:val="yellow"/>
        </w:rPr>
        <w:t xml:space="preserve">supports</w:t>
      </w:r>
      <w:r>
        <w:rPr>
          <w:rFonts w:ascii="Times New Roman" w:hAnsi="Times New Roman" w:eastAsia="Times New Roman"/>
        </w:rPr>
        <w:t xml:space="preserve"> reruns </w:t>
      </w:r>
      <w:r>
        <w:rPr>
          <w:rFonts w:ascii="Times New Roman" w:hAnsi="Times New Roman" w:eastAsia="Times New Roman"/>
          <w:highlight w:val="yellow"/>
        </w:rPr>
        <w:t xml:space="preserve">under the recorded protocol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13</w:t>
      </w:r>
      <w:r>
        <w:rPr>
          <w:rFonts w:ascii="Times New Roman" w:hAnsi="Times New Roman" w:eastAsia="Times New Roman"/>
          <w:vertAlign w:val="superscript"/>
        </w:rPr>
        <w:t xml:space="preserve">]</w:t>
      </w:r>
      <w:r>
        <w:rPr>
          <w:rFonts w:ascii="Times New Roman" w:hAnsi="Times New Roman" w:eastAsia="Times New Roman"/>
        </w:rPr>
        <w:t>.</w:t>
      </w:r>
    </w:p>
    <w:p>
      <w:pPr>
        <w:pStyle w:val="IOP-CS-BodyText"/>
      </w:pPr>
      <w:r>
        <w:rPr>
          <w:rFonts w:ascii="Times New Roman" w:hAnsi="Times New Roman" w:eastAsia="Times New Roman"/>
          <w:highlight w:val="yellow"/>
        </w:rPr>
        <w:t xml:space="preserve">Precision is another implementation choice: Tsai et al. use double, single and half precision at different AMG levels on GPUs </w:t>
      </w:r>
      <w:r>
        <w:rPr>
          <w:rFonts w:ascii="Times New Roman" w:hAnsi="Times New Roman" w:eastAsia="Times New Roman"/>
          <w:vertAlign w:val="superscript"/>
          <w:highlight w:val="yellow"/>
        </w:rPr>
        <w:t xml:space="preserve">[20]</w:t>
      </w:r>
      <w:r>
        <w:rPr>
          <w:rFonts w:ascii="Times New Roman" w:hAnsi="Times New Roman" w:eastAsia="Times New Roman"/>
          <w:highlight w:val="yellow"/>
        </w:rPr>
        <w:t xml:space="preserve">, while Graillat et al. adapt the precision of sparse matrix entries in matrix-vector products used by Krylov solvers </w:t>
      </w:r>
      <w:r>
        <w:rPr>
          <w:rFonts w:ascii="Times New Roman" w:hAnsi="Times New Roman" w:eastAsia="Times New Roman"/>
          <w:vertAlign w:val="superscript"/>
          <w:highlight w:val="yellow"/>
        </w:rPr>
        <w:t xml:space="preserve">[21]</w:t>
      </w:r>
      <w:r>
        <w:rPr>
          <w:rFonts w:ascii="Times New Roman" w:hAnsi="Times New Roman" w:eastAsia="Times New Roman"/>
          <w:highlight w:val="yellow"/>
        </w:rPr>
        <w:t xml:space="preserve">. These studies motivate specifying arithmetic precision alongside solver settings. Our float64 measurements do not evaluate mixed-precision solvers, and the stencil speedups should not be interpreted as their performance.</w:t>
      </w:r>
    </w:p>
    <w:p>
      <w:pPr>
        <w:pStyle w:val="IOP-CS-BodyText"/>
      </w:pPr>
      <w:r>
        <w:rPr>
          <w:rFonts w:ascii="Times New Roman" w:hAnsi="Times New Roman" w:eastAsia="Times New Roman"/>
        </w:rPr>
        <w:t xml:space="preserve">High-contrast preconditioning and isolated-island modes already have analytical foundations </w:t>
      </w:r>
      <w:r>
        <w:rPr>
          <w:rFonts w:ascii="Times New Roman" w:hAnsi="Times New Roman" w:eastAsia="Times New Roman"/>
          <w:vertAlign w:val="superscript"/>
        </w:rPr>
        <w:t xml:space="preserve">[22</w:t>
      </w:r>
      <w:r>
        <w:rPr>
          <w:rFonts w:ascii="Times New Roman" w:hAnsi="Times New Roman" w:eastAsia="Times New Roman"/>
          <w:vertAlign w:val="superscript"/>
          <w:highlight w:val="yellow"/>
        </w:rPr>
        <w:t xml:space="preserve">,23</w:t>
      </w:r>
      <w:r>
        <w:rPr>
          <w:rFonts w:ascii="Times New Roman" w:hAnsi="Times New Roman" w:eastAsia="Times New Roman"/>
          <w:vertAlign w:val="superscript"/>
        </w:rPr>
        <w:t xml:space="preserve">]</w:t>
      </w:r>
      <w:r>
        <w:rPr>
          <w:rFonts w:ascii="Times New Roman" w:hAnsi="Times New Roman" w:eastAsia="Times New Roman"/>
        </w:rPr>
        <w:t xml:space="preserve">. Krylov convergence depends on the spectral distribution and its excitation by the initial residual, so a condition number alone can be misleading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24</w:t>
      </w:r>
      <w:r>
        <w:rPr>
          <w:rFonts w:ascii="Times New Roman" w:hAnsi="Times New Roman" w:eastAsia="Times New Roman"/>
          <w:vertAlign w:val="superscript"/>
        </w:rPr>
        <w:t xml:space="preserve">]</w:t>
      </w:r>
      <w:r>
        <w:rPr>
          <w:rFonts w:ascii="Times New Roman" w:hAnsi="Times New Roman" w:eastAsia="Times New Roman"/>
        </w:rPr>
        <w:t xml:space="preserve">. </w:t>
      </w:r>
      <w:r>
        <w:rPr>
          <w:rFonts w:ascii="Times New Roman" w:hAnsi="Times New Roman" w:eastAsia="Times New Roman"/>
          <w:highlight w:val="yellow"/>
        </w:rPr>
        <w:t xml:space="preserve">A recent preprint on</w:t>
      </w:r>
      <w:r>
        <w:rPr>
          <w:rFonts w:ascii="Times New Roman" w:hAnsi="Times New Roman" w:eastAsia="Times New Roman"/>
        </w:rPr>
        <w:t xml:space="preserve"> material-aware smoothed aggregation </w:t>
      </w:r>
      <w:r>
        <w:rPr>
          <w:rFonts w:ascii="Times New Roman" w:hAnsi="Times New Roman" w:eastAsia="Times New Roman"/>
          <w:highlight w:val="yellow"/>
        </w:rPr>
        <w:t xml:space="preserve">incorporates</w:t>
      </w:r>
      <w:r>
        <w:rPr>
          <w:rFonts w:ascii="Times New Roman" w:hAnsi="Times New Roman" w:eastAsia="Times New Roman"/>
        </w:rPr>
        <w:t xml:space="preserve"> heterogeneous interfaces </w:t>
      </w:r>
      <w:r>
        <w:rPr>
          <w:rFonts w:ascii="Times New Roman" w:hAnsi="Times New Roman" w:eastAsia="Times New Roman"/>
          <w:highlight w:val="yellow"/>
        </w:rPr>
        <w:t xml:space="preserve">into</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strength-of-connection</w:t>
      </w:r>
      <w:r>
        <w:rPr>
          <w:rFonts w:ascii="Times New Roman" w:hAnsi="Times New Roman" w:eastAsia="Times New Roman"/>
        </w:rPr>
        <w:t xml:space="preserve"> </w:t>
      </w:r>
      <w:r>
        <w:rPr>
          <w:rFonts w:ascii="Times New Roman" w:hAnsi="Times New Roman" w:eastAsia="Times New Roman"/>
          <w:highlight w:val="yellow"/>
        </w:rPr>
        <w:t xml:space="preserve">measure</w:t>
      </w:r>
      <w:r>
        <w:rPr>
          <w:rFonts w:ascii="Times New Roman" w:hAnsi="Times New Roman" w:eastAsia="Times New Roman"/>
        </w:rPr>
        <w:t xml:space="preserve"> </w:t>
      </w:r>
      <w:r>
        <w:rPr>
          <w:rFonts w:ascii="Times New Roman" w:hAnsi="Times New Roman" w:eastAsia="Times New Roman"/>
          <w:vertAlign w:val="superscript"/>
        </w:rPr>
        <w:t>[25]</w:t>
      </w:r>
      <w:r>
        <w:rPr>
          <w:rFonts w:ascii="Times New Roman" w:hAnsi="Times New Roman" w:eastAsia="Times New Roman"/>
        </w:rPr>
        <w:t xml:space="preserve">. Our matched-field and translation audit </w:t>
      </w:r>
      <w:r>
        <w:rPr>
          <w:rFonts w:ascii="Times New Roman" w:hAnsi="Times New Roman" w:eastAsia="Times New Roman"/>
          <w:highlight w:val="yellow"/>
        </w:rPr>
        <w:t xml:space="preserve">uses</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tested</w:t>
      </w:r>
      <w:r>
        <w:rPr>
          <w:rFonts w:ascii="Times New Roman" w:hAnsi="Times New Roman" w:eastAsia="Times New Roman"/>
        </w:rPr>
        <w:t xml:space="preserve"> </w:t>
      </w:r>
      <w:r>
        <w:rPr>
          <w:rFonts w:ascii="Times New Roman" w:hAnsi="Times New Roman" w:eastAsia="Times New Roman"/>
          <w:highlight w:val="yellow"/>
        </w:rPr>
        <w:t xml:space="preserve">standard AMG configurations to quantify how coefficient placement and forcing affect</w:t>
      </w:r>
      <w:r>
        <w:rPr>
          <w:rFonts w:ascii="Times New Roman" w:hAnsi="Times New Roman" w:eastAsia="Times New Roman"/>
        </w:rPr>
        <w:t xml:space="preserve"> verified heat-conduction solves. Neither source dependence nor feature insufficiency is claimed as a new general theorem.</w:t>
      </w:r>
    </w:p>
    <w:p>
      <w:pPr>
        <w:pStyle w:val="IOP-CS-BodyText"/>
      </w:pPr>
      <w:r>
        <w:rPr>
          <w:rFonts w:ascii="Times New Roman" w:hAnsi="Times New Roman" w:eastAsia="Times New Roman"/>
          <w:highlight w:val="yellow"/>
        </w:rPr>
        <w:t xml:space="preserve">Recent solver-selection studies address both the representation of a linear system and the cost of making a choice. Funk et al. use linear-system features to predict iterative solvers with a neural network </w:t>
      </w:r>
      <w:r>
        <w:rPr>
          <w:rFonts w:ascii="Times New Roman" w:hAnsi="Times New Roman" w:eastAsia="Times New Roman"/>
          <w:vertAlign w:val="superscript"/>
          <w:highlight w:val="yellow"/>
        </w:rPr>
        <w:t xml:space="preserve">[26]</w:t>
      </w:r>
      <w:r>
        <w:rPr>
          <w:rFonts w:ascii="Times New Roman" w:hAnsi="Times New Roman" w:eastAsia="Times New Roman"/>
          <w:highlight w:val="yellow"/>
        </w:rPr>
        <w:t xml:space="preserve">. Sun et al. reduce matrix-feature extraction costs when selecting between GMRES-type solvers </w:t>
      </w:r>
      <w:r>
        <w:rPr>
          <w:rFonts w:ascii="Times New Roman" w:hAnsi="Times New Roman" w:eastAsia="Times New Roman"/>
          <w:vertAlign w:val="superscript"/>
          <w:highlight w:val="yellow"/>
        </w:rPr>
        <w:t xml:space="preserve">[27]</w:t>
      </w:r>
      <w:r>
        <w:rPr>
          <w:rFonts w:ascii="Times New Roman" w:hAnsi="Times New Roman" w:eastAsia="Times New Roman"/>
          <w:highlight w:val="yellow"/>
        </w:rPr>
        <w:t xml:space="preserve">, and MM-AutoSolver combines numerical and structural features to select solver-preconditioner pairs </w:t>
      </w:r>
      <w:r>
        <w:rPr>
          <w:rFonts w:ascii="Times New Roman" w:hAnsi="Times New Roman" w:eastAsia="Times New Roman"/>
          <w:vertAlign w:val="superscript"/>
          <w:highlight w:val="yellow"/>
        </w:rPr>
        <w:t xml:space="preserve">[28]</w:t>
      </w:r>
      <w:r>
        <w:rPr>
          <w:rFonts w:ascii="Times New Roman" w:hAnsi="Times New Roman" w:eastAsia="Times New Roman"/>
          <w:highlight w:val="yellow"/>
        </w:rPr>
        <w:t xml:space="preserve">. For multiphysics simulations, Zabegaev et al. update solver choices from performance data collected during the simulation </w:t>
      </w:r>
      <w:r>
        <w:rPr>
          <w:rFonts w:ascii="Times New Roman" w:hAnsi="Times New Roman" w:eastAsia="Times New Roman"/>
          <w:vertAlign w:val="superscript"/>
          <w:highlight w:val="yellow"/>
        </w:rPr>
        <w:t xml:space="preserve">[29]</w:t>
      </w:r>
      <w:r>
        <w:rPr>
          <w:rFonts w:ascii="Times New Roman" w:hAnsi="Times New Roman" w:eastAsia="Times New Roman"/>
          <w:highlight w:val="yellow"/>
        </w:rPr>
        <w:t xml:space="preserve">. These methods pursue selection policies for their candidate sets. Our study instead tests whether the stated coefficient summaries distinguish measured choices using exact matched-field controls; it neither trains a selector nor measures the predictive accuracy of those methods.</w:t>
      </w:r>
    </w:p>
    <w:p>
      <w:pPr>
        <w:pStyle w:val="IOP-CS-SectionHead"/>
        <w:keepNext/>
        <w:keepLines/>
      </w:pPr>
      <w:r>
        <w:rPr>
          <w:rFonts w:ascii="Times New Roman" w:hAnsi="Times New Roman" w:eastAsia="Times New Roman"/>
        </w:rPr>
        <w:t>3. Mathematical Model and Discretisation</w:t>
      </w:r>
    </w:p>
    <w:p>
      <w:pPr>
        <w:pStyle w:val="IOP-CS-BodyNoIndent"/>
      </w:pPr>
      <w:r>
        <w:rPr>
          <w:rFonts w:ascii="Times New Roman" w:hAnsi="Times New Roman" w:eastAsia="Times New Roman"/>
        </w:rPr>
        <w:t>The model problem is the steady heat-conduction equation with homogeneous Dirichlet boundary conditions unless otherwise stated. The coefficient k(x, y) represents spatially varying thermal conductivity.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−∇·(k(x,y)∇u(x,y)) = f(x,y),  (x,y) ∈ </m:t>
              </m:r>
              <m:sSup>
                <m:e>
                  <m:r>
                    <m:t xml:space="preserve">(0,1)</m:t>
                  </m:r>
                </m:e>
                <m:sup>
                  <m:r>
                    <m:t xml:space="preserve">2</m:t>
                  </m:r>
                </m:sup>
              </m:sSup>
            </m:oMath>
          </w:p>
        </w:tc>
        <w:tc>
          <w:tcPr>
            <w:tcW w:type="dxa" w:w="792"/>
          </w:tcPr>
          <w:p>
            <w:pPr>
              <w:keepLines/>
              <w:spacing w:line="274" w:lineRule="auto"/>
              <w:jc w:val="right"/>
            </w:pPr>
            <w:r>
              <w:rPr>
                <w:rFonts w:ascii="Times New Roman" w:hAnsi="Times New Roman" w:eastAsia="Times New Roman"/>
              </w:rPr>
              <w:t>(1)</w:t>
            </w:r>
          </w:p>
        </w:tc>
      </w:tr>
    </w:tbl>
    <w:p>
      <w:pPr>
        <w:pStyle w:val="IOP-CS-BodyText"/>
      </w:pPr>
      <w:r>
        <w:rPr>
          <w:rFonts w:ascii="Times New Roman" w:hAnsi="Times New Roman" w:eastAsia="Times New Roman"/>
        </w:rPr>
        <w:t>The smooth test uses a sinusoidal variable coefficient, while the high-contrast stress test uses a circular inclusion. These two cases are deliberately synthetic: they remove geometry and data-acquisition uncertainty so that the numerical mechanisms can be measured cleanly.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k(x,y) = 1 + 0.5 sin(2πx) sin(2πy)</m:t>
              </m:r>
            </m:oMath>
          </w:p>
        </w:tc>
        <w:tc>
          <w:tcPr>
            <w:tcW w:type="dxa" w:w="792"/>
          </w:tcPr>
          <w:p>
            <w:pPr>
              <w:keepLines/>
              <w:spacing w:line="274" w:lineRule="auto"/>
              <w:jc w:val="right"/>
            </w:pPr>
            <w:r>
              <w:rPr>
                <w:rFonts w:ascii="Times New Roman" w:hAnsi="Times New Roman" w:eastAsia="Times New Roman"/>
              </w:rPr>
              <w:t>(2)</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r>
                <m:t xml:space="preserve">k(x,y) = 1 + 99 </m:t>
              </m:r>
              <m:sSub>
                <m:e>
                  <m:r>
                    <m:t xml:space="preserve">χ</m:t>
                  </m:r>
                </m:e>
                <m:sub>
                  <m:r>
                    <m:t xml:space="preserve">D</m:t>
                  </m:r>
                </m:sub>
              </m:sSub>
              <m:r>
                <m:t xml:space="preserve">(x,y)</m:t>
              </m:r>
            </m:oMath>
          </w:p>
          <w:p>
            <w:pPr>
              <w:keepNext w:val="0"/>
              <w:keepLines/>
              <w:spacing w:line="274" w:lineRule="auto" w:before="0" w:after="60"/>
              <w:jc w:val="center"/>
            </w:pPr>
            <m:oMath>
              <m:r>
                <m:t xml:space="preserve">D = { (x,y) : </m:t>
              </m:r>
              <m:sSup>
                <m:e>
                  <m:r>
                    <m:t xml:space="preserve">(x-0.5)</m:t>
                  </m:r>
                </m:e>
                <m:sup>
                  <m:r>
                    <m:t xml:space="preserve">2</m:t>
                  </m:r>
                </m:sup>
              </m:sSup>
              <m:r>
                <m:t xml:space="preserve"> + </m:t>
              </m:r>
              <m:sSup>
                <m:e>
                  <m:r>
                    <m:t xml:space="preserve">(y-0.5)</m:t>
                  </m:r>
                </m:e>
                <m:sup>
                  <m:r>
                    <m:t xml:space="preserve">2</m:t>
                  </m:r>
                </m:sup>
              </m:sSup>
              <m:r>
                <m:t xml:space="preserve"> &lt; </m:t>
              </m:r>
              <m:sSup>
                <m:e>
                  <m:r>
                    <m:t xml:space="preserve">0.15</m:t>
                  </m:r>
                </m:e>
                <m:sup>
                  <m:r>
                    <m:t xml:space="preserve">2</m:t>
                  </m:r>
                </m:sup>
              </m:sSup>
              <m:r>
                <m:t xml:space="preserve"> }</m:t>
              </m:r>
            </m:oMath>
          </w:p>
        </w:tc>
        <w:tc>
          <w:tcPr>
            <w:tcW w:type="dxa" w:w="792"/>
          </w:tcPr>
          <w:p>
            <w:pPr>
              <w:keepLines/>
              <w:spacing w:line="274" w:lineRule="auto"/>
              <w:jc w:val="right"/>
            </w:pPr>
            <w:r>
              <w:rPr>
                <w:rFonts w:ascii="Times New Roman" w:hAnsi="Times New Roman" w:eastAsia="Times New Roman"/>
              </w:rPr>
              <w:t>(3)</w:t>
            </w:r>
          </w:p>
        </w:tc>
      </w:tr>
    </w:tbl>
    <w:p>
      <w:pPr>
        <w:pStyle w:val="IOP-CS-BodyText"/>
      </w:pPr>
      <w:r>
        <w:rPr>
          <w:rFonts w:ascii="Times New Roman" w:hAnsi="Times New Roman" w:eastAsia="Times New Roman"/>
        </w:rPr>
        <w:t>For the decision-map study, this pair is expanded into a parameterised coefficient grid. The smooth family uses k = 1 + a sin(2πx) sin(2πy) with a = (Cₖ - 1)/(Cₖ + 1), giving target contrast Cₖ. The inclusion, layered, and checkerboard families use piecewise values in {1, Cₖ} with Cₖ in {10, 30, 100}, while the smooth family uses Cₖ in {3, 10, 30} and the constant case gives Ck = 1. The layered field changes at y = 1/2; the checkerboard uses eight blocks per coordinate direction. The circle has radius 0.15 and centre (1/2, 1/2).</w:t>
      </w:r>
    </w:p>
    <w:p>
      <w:pPr>
        <w:pStyle w:val="IOP-CS-BodyText"/>
      </w:pPr>
      <w:r>
        <w:rPr>
          <w:rFonts w:ascii="Times New Roman" w:hAnsi="Times New Roman" w:eastAsia="Times New Roman"/>
        </w:rPr>
        <w:t>To report contrast, coefficient sharpness, and coefficient geometry separately, each coefficient field is summarised by Cₖ, the maximum nodal Euclidean magnitude of the log-gradient (centred interior and first-order one-sided boundary differences), and a grid-normalised total-variation proxy. In Equation (4), Δₓk and Δᵧk denote unscaled nearest-neighbour differences over all nodal pairs in each coordinate direction, and their absolute sums are divided by N−1. For discontinuous coefficient fields, the log-gradient descriptor depends on grid spacing and is interpreted at fixed N rather than as a continuous invariant. Small-grid spectral evidence is also recorded through computed condition-number estimates κ(A) = λₘₐₓ(A) / λₘᵢₙ(A).</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sSub>
                <m:e>
                  <m:r>
                    <m:t xml:space="preserve">C</m:t>
                  </m:r>
                </m:e>
                <m:sub>
                  <m:r>
                    <m:t xml:space="preserve">k</m:t>
                  </m:r>
                </m:sub>
              </m:sSub>
              <m:r>
                <m:t xml:space="preserve"> = </m:t>
              </m:r>
              <m:f>
                <m:fPr>
                  <m:type m:val="bar"/>
                </m:fPr>
                <m:num>
                  <m:r>
                    <m:t xml:space="preserve">max(k)</m:t>
                  </m:r>
                </m:num>
                <m:den>
                  <m:r>
                    <m:t xml:space="preserve">min(k)</m:t>
                  </m:r>
                </m:den>
              </m:f>
              <m:r>
                <m:t xml:space="preserve">,   </m:t>
              </m:r>
              <m:sSup>
                <m:e>
                  <m:sSub>
                    <m:e>
                      <m:r>
                        <m:t xml:space="preserve">G</m:t>
                      </m:r>
                    </m:e>
                    <m:sub>
                      <m:r>
                        <m:t xml:space="preserve">k</m:t>
                      </m:r>
                    </m:sub>
                  </m:sSub>
                </m:e>
                <m:sup>
                  <m:r>
                    <m:t xml:space="preserve">(h)</m:t>
                  </m:r>
                </m:sup>
              </m:sSup>
              <m:r>
                <m:t xml:space="preserve"> = </m:t>
              </m:r>
              <m:sSub>
                <m:e>
                  <m:r>
                    <m:t xml:space="preserve">||</m:t>
                  </m:r>
                  <m:sSub>
                    <m:e>
                      <m:r>
                        <m:t xml:space="preserve">∇</m:t>
                      </m:r>
                    </m:e>
                    <m:sub>
                      <m:r>
                        <m:t xml:space="preserve">h</m:t>
                      </m:r>
                    </m:sub>
                  </m:sSub>
                  <m:r>
                    <m:t xml:space="preserve"> log(k)||</m:t>
                  </m:r>
                </m:e>
                <m:sub>
                  <m:r>
                    <m:t xml:space="preserve">∞</m:t>
                  </m:r>
                </m:sub>
              </m:sSub>
            </m:oMath>
          </w:p>
          <w:p>
            <w:pPr>
              <w:keepNext w:val="0"/>
              <w:keepLines/>
              <w:spacing w:line="274" w:lineRule="auto" w:before="0" w:after="60"/>
              <w:jc w:val="center"/>
            </w:pPr>
            <m:oMath>
              <m:sSub>
                <m:e>
                  <m:r>
                    <m:t xml:space="preserve">V</m:t>
                  </m:r>
                </m:e>
                <m:sub>
                  <m:r>
                    <m:t xml:space="preserve">k</m:t>
                  </m:r>
                </m:sub>
              </m:sSub>
              <m:r>
                <m:t xml:space="preserve"> = </m:t>
              </m:r>
              <m:f>
                <m:fPr>
                  <m:type m:val="bar"/>
                </m:fPr>
                <m:num>
                  <m:r>
                    <m:t xml:space="preserve">Σ|</m:t>
                  </m:r>
                  <m:sSub>
                    <m:e>
                      <m:r>
                        <m:t xml:space="preserve">Δ</m:t>
                      </m:r>
                    </m:e>
                    <m:sub>
                      <m:r>
                        <m:t xml:space="preserve">x</m:t>
                      </m:r>
                    </m:sub>
                  </m:sSub>
                  <m:r>
                    <m:t xml:space="preserve">k| + Σ|</m:t>
                  </m:r>
                  <m:sSub>
                    <m:e>
                      <m:r>
                        <m:t xml:space="preserve">Δ</m:t>
                      </m:r>
                    </m:e>
                    <m:sub>
                      <m:r>
                        <m:t xml:space="preserve">y</m:t>
                      </m:r>
                    </m:sub>
                  </m:sSub>
                  <m:r>
                    <m:t xml:space="preserve">k|</m:t>
                  </m:r>
                </m:num>
                <m:den>
                  <m:r>
                    <m:t xml:space="preserve">N−1</m:t>
                  </m:r>
                </m:den>
              </m:f>
            </m:oMath>
          </w:p>
        </w:tc>
        <w:tc>
          <w:tcPr>
            <w:tcW w:type="dxa" w:w="792"/>
          </w:tcPr>
          <w:p>
            <w:pPr>
              <w:keepLines/>
              <w:spacing w:line="274" w:lineRule="auto"/>
              <w:jc w:val="right"/>
            </w:pPr>
            <w:r>
              <w:rPr>
                <w:rFonts w:ascii="Times New Roman" w:hAnsi="Times New Roman" w:eastAsia="Times New Roman"/>
              </w:rPr>
              <w:t>(4)</w:t>
            </w:r>
          </w:p>
        </w:tc>
      </w:tr>
    </w:tbl>
    <w:p>
      <w:pPr>
        <w:pStyle w:val="IOP-CS-BodyText"/>
      </w:pPr>
      <w:r>
        <w:rPr>
          <w:rFonts w:ascii="Times New Roman" w:hAnsi="Times New Roman" w:eastAsia="Times New Roman"/>
        </w:rPr>
        <w:t>The domain is discretised on an N by N uniform grid with spacing h = 1/(N - 1). Interior unknowns are ordered lexicographically. For an interior node (i, j), the conservative five-point stencil is assembled by face-based arithmetic averaging of adjacent conductivity values in the main two-dimensional decision map. Arithmetic averaging defines the primary two-dimensional benchmark operator; harmonic averaging probes sensitivity to the interface treatment. For discontinuous coefficient fields, harmonic face averaging is also implemented and tested as a sensitivity check because it matches the series-resistance interpretation of one-dimensional layered conduction. The shared positive face weights give a sum of weighted squared nodal differences in the discrete energy. With boundary values fixed, both choices produce sparse symmetric positive definite systems for positive k and homogeneous Dirichlet boundaries.</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sSub>
                <m:e>
                  <m:r>
                    <m:t xml:space="preserve">(Au)</m:t>
                  </m:r>
                </m:e>
                <m:sub>
                  <m:r>
                    <m:t xml:space="preserve">ij</m:t>
                  </m:r>
                </m:sub>
              </m:sSub>
              <m:r>
                <m:t xml:space="preserve"> = </m:t>
              </m:r>
            </m:oMath>
          </w:p>
          <w:p>
            <w:pPr>
              <w:keepNext/>
              <w:keepLines/>
              <w:spacing w:line="274" w:lineRule="auto" w:before="0" w:after="0"/>
              <w:jc w:val="center"/>
            </w:pPr>
            <m:oMath>
              <m:sSub>
                <m:e>
                  <m:r>
                    <m:t xml:space="preserve">k</m:t>
                  </m:r>
                </m:e>
                <m:sub>
                  <m:r>
                    <m:t xml:space="preserve">i+1/2,j</m:t>
                  </m:r>
                </m:sub>
              </m:sSub>
              <m:f>
                <m:fPr>
                  <m:type m:val="bar"/>
                </m:fPr>
                <m:num>
                  <m:sSub>
                    <m:e>
                      <m:r>
                        <m:t xml:space="preserve">u</m:t>
                      </m:r>
                    </m:e>
                    <m:sub>
                      <m:r>
                        <m:t xml:space="preserve">ij</m:t>
                      </m:r>
                    </m:sub>
                  </m:sSub>
                  <m:r>
                    <m:t xml:space="preserve"> - </m:t>
                  </m:r>
                  <m:sSub>
                    <m:e>
                      <m:r>
                        <m:t xml:space="preserve">u</m:t>
                      </m:r>
                    </m:e>
                    <m:sub>
                      <m:r>
                        <m:t xml:space="preserve">i+1,j</m:t>
                      </m:r>
                    </m:sub>
                  </m:sSub>
                </m:num>
                <m:den>
                  <m:sSup>
                    <m:e>
                      <m:r>
                        <m:t xml:space="preserve">h</m:t>
                      </m:r>
                    </m:e>
                    <m:sup>
                      <m:r>
                        <m:t xml:space="preserve">2</m:t>
                      </m:r>
                    </m:sup>
                  </m:sSup>
                </m:den>
              </m:f>
              <m:r>
                <m:t xml:space="preserve"> + </m:t>
              </m:r>
              <m:sSub>
                <m:e>
                  <m:r>
                    <m:t xml:space="preserve">k</m:t>
                  </m:r>
                </m:e>
                <m:sub>
                  <m:r>
                    <m:t xml:space="preserve">i-1/2,j</m:t>
                  </m:r>
                </m:sub>
              </m:sSub>
              <m:f>
                <m:fPr>
                  <m:type m:val="bar"/>
                </m:fPr>
                <m:num>
                  <m:sSub>
                    <m:e>
                      <m:r>
                        <m:t xml:space="preserve">u</m:t>
                      </m:r>
                    </m:e>
                    <m:sub>
                      <m:r>
                        <m:t xml:space="preserve">ij</m:t>
                      </m:r>
                    </m:sub>
                  </m:sSub>
                  <m:r>
                    <m:t xml:space="preserve"> - </m:t>
                  </m:r>
                  <m:sSub>
                    <m:e>
                      <m:r>
                        <m:t xml:space="preserve">u</m:t>
                      </m:r>
                    </m:e>
                    <m:sub>
                      <m:r>
                        <m:t xml:space="preserve">i-1,j</m:t>
                      </m:r>
                    </m:sub>
                  </m:sSub>
                </m:num>
                <m:den>
                  <m:sSup>
                    <m:e>
                      <m:r>
                        <m:t xml:space="preserve">h</m:t>
                      </m:r>
                    </m:e>
                    <m:sup>
                      <m:r>
                        <m:t xml:space="preserve">2</m:t>
                      </m:r>
                    </m:sup>
                  </m:sSup>
                </m:den>
              </m:f>
            </m:oMath>
          </w:p>
          <w:p>
            <w:pPr>
              <w:keepNext w:val="0"/>
              <w:keepLines/>
              <w:spacing w:line="274" w:lineRule="auto" w:before="0" w:after="60"/>
              <w:jc w:val="center"/>
            </w:pPr>
            <m:oMath>
              <m:r>
                <m:t xml:space="preserve">+ </m:t>
              </m:r>
              <m:sSub>
                <m:e>
                  <m:r>
                    <m:t xml:space="preserve">k</m:t>
                  </m:r>
                </m:e>
                <m:sub>
                  <m:r>
                    <m:t xml:space="preserve">i,j+1/2</m:t>
                  </m:r>
                </m:sub>
              </m:sSub>
              <m:f>
                <m:fPr>
                  <m:type m:val="bar"/>
                </m:fPr>
                <m:num>
                  <m:sSub>
                    <m:e>
                      <m:r>
                        <m:t xml:space="preserve">u</m:t>
                      </m:r>
                    </m:e>
                    <m:sub>
                      <m:r>
                        <m:t xml:space="preserve">ij</m:t>
                      </m:r>
                    </m:sub>
                  </m:sSub>
                  <m:r>
                    <m:t xml:space="preserve"> - </m:t>
                  </m:r>
                  <m:sSub>
                    <m:e>
                      <m:r>
                        <m:t xml:space="preserve">u</m:t>
                      </m:r>
                    </m:e>
                    <m:sub>
                      <m:r>
                        <m:t xml:space="preserve">i,j+1</m:t>
                      </m:r>
                    </m:sub>
                  </m:sSub>
                </m:num>
                <m:den>
                  <m:sSup>
                    <m:e>
                      <m:r>
                        <m:t xml:space="preserve">h</m:t>
                      </m:r>
                    </m:e>
                    <m:sup>
                      <m:r>
                        <m:t xml:space="preserve">2</m:t>
                      </m:r>
                    </m:sup>
                  </m:sSup>
                </m:den>
              </m:f>
              <m:r>
                <m:t xml:space="preserve"> + </m:t>
              </m:r>
              <m:sSub>
                <m:e>
                  <m:r>
                    <m:t xml:space="preserve">k</m:t>
                  </m:r>
                </m:e>
                <m:sub>
                  <m:r>
                    <m:t xml:space="preserve">i,j-1/2</m:t>
                  </m:r>
                </m:sub>
              </m:sSub>
              <m:f>
                <m:fPr>
                  <m:type m:val="bar"/>
                </m:fPr>
                <m:num>
                  <m:sSub>
                    <m:e>
                      <m:r>
                        <m:t xml:space="preserve">u</m:t>
                      </m:r>
                    </m:e>
                    <m:sub>
                      <m:r>
                        <m:t xml:space="preserve">ij</m:t>
                      </m:r>
                    </m:sub>
                  </m:sSub>
                  <m:r>
                    <m:t xml:space="preserve"> - </m:t>
                  </m:r>
                  <m:sSub>
                    <m:e>
                      <m:r>
                        <m:t xml:space="preserve">u</m:t>
                      </m:r>
                    </m:e>
                    <m:sub>
                      <m:r>
                        <m:t xml:space="preserve">i,j-1</m:t>
                      </m:r>
                    </m:sub>
                  </m:sSub>
                </m:num>
                <m:den>
                  <m:sSup>
                    <m:e>
                      <m:r>
                        <m:t xml:space="preserve">h</m:t>
                      </m:r>
                    </m:e>
                    <m:sup>
                      <m:r>
                        <m:t xml:space="preserve">2</m:t>
                      </m:r>
                    </m:sup>
                  </m:sSup>
                </m:den>
              </m:f>
            </m:oMath>
          </w:p>
        </w:tc>
        <w:tc>
          <w:tcPr>
            <w:tcW w:type="dxa" w:w="792"/>
          </w:tcPr>
          <w:p>
            <w:pPr>
              <w:keepLines/>
              <w:spacing w:line="274" w:lineRule="auto"/>
              <w:jc w:val="right"/>
            </w:pPr>
            <w:r>
              <w:rPr>
                <w:rFonts w:ascii="Times New Roman" w:hAnsi="Times New Roman" w:eastAsia="Times New Roman"/>
              </w:rPr>
              <w:t>(5)</w:t>
            </w:r>
          </w:p>
        </w:tc>
      </w:tr>
    </w:tbl>
    <w:p>
      <w:pPr>
        <w:pStyle w:val="IOP-CS-BodyText"/>
      </w:pPr>
      <w:r>
        <w:rPr>
          <w:rFonts w:ascii="Times New Roman" w:hAnsi="Times New Roman" w:eastAsia="Times New Roman"/>
        </w:rPr>
        <w:t xml:space="preserve">Arithmetic faces are retained to preserve the specified nodal graph-diffusion benchmark and its historical comparisons, not because they are the preferred interface law for composite heat conduction. Interface conductivity is a standard numerical heat-transfer issue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30</w:t>
      </w:r>
      <w:r>
        <w:rPr>
          <w:rFonts w:ascii="Times New Roman" w:hAnsi="Times New Roman" w:eastAsia="Times New Roman"/>
          <w:vertAlign w:val="superscript"/>
        </w:rPr>
        <w:t xml:space="preserve">]</w:t>
      </w:r>
      <w:r>
        <w:rPr>
          <w:rFonts w:ascii="Times New Roman" w:hAnsi="Times New Roman" w:eastAsia="Times New Roman"/>
        </w:rPr>
        <w:t>. For two half-links of equal length with conductivities a and b, continuity of flux gives the series resistance h/(2a) + h/(2b), hence kH = 2ab/(a + b), whereas kA = (a + b)/2. Their difference is (a - b)²/[2(a + b)]: it is O(h²) for smooth positive conductivity, but need not be small at a jump. At contrast c = 100, kA/kH = (c + 1)²/(4c) = 25.5025 on a mixed link. This is a local conductance ratio under the half-link interface assumption, not a global temperature-error estimate. Thus the arithmetic high-contrast results describe solver behaviour for that discrete operator; they do not validate composite-material heat flux. Harmonic averaging has the correct aligned series-resistance interpretation, while a curved interface requires additional geometric treatment. The matched-field audit includes both averages so that its conclusions are not restricted to arithmetic faces.</w:t>
      </w:r>
    </w:p>
    <w:p>
      <w:pPr>
        <w:pStyle w:val="IOP-CS-BodyText"/>
      </w:pPr>
      <w:r>
        <w:rPr>
          <w:rFonts w:ascii="Times New Roman" w:hAnsi="Times New Roman" w:eastAsia="Times New Roman"/>
        </w:rPr>
        <w:t>For smooth convergence verification, the exact solution is chosen in closed form and f is generated analytically for the constant and smooth coefficient cases. Errors are reported as the interior-node root-mean-square (normalised discrete L2) and maximum norms. The observed convergence rate is obtained by a least-squares fit of log(error) against log(h). A separate one-dimensional verification problem uses k(x) = k1 for x &lt; 1/2 and k(x) = k2 for x &gt; 1/2 with u(0) = 0 and u(1) = 1. Its analytic solution is piecewise linear and satisfies continuity of both u and k ux at the interface; this test isolates whether arithmetic and harmonic face averages respect the expected interface flux.</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sSub>
                <m:e>
                  <m:r>
                    <m:t xml:space="preserve">u</m:t>
                  </m:r>
                </m:e>
                <m:sub>
                  <m:r>
                    <m:t xml:space="preserve">exact</m:t>
                  </m:r>
                </m:sub>
              </m:sSub>
              <m:r>
                <m:t xml:space="preserve">(x,y) = sin(πx) sin(πy)</m:t>
              </m:r>
            </m:oMath>
          </w:p>
        </w:tc>
        <w:tc>
          <w:tcPr>
            <w:tcW w:type="dxa" w:w="792"/>
          </w:tcPr>
          <w:p>
            <w:pPr>
              <w:keepLines/>
              <w:spacing w:line="274" w:lineRule="auto"/>
              <w:jc w:val="right"/>
            </w:pPr>
            <w:r>
              <w:rPr>
                <w:rFonts w:ascii="Times New Roman" w:hAnsi="Times New Roman" w:eastAsia="Times New Roman"/>
              </w:rPr>
              <w:t>(6)</w:t>
            </w:r>
          </w:p>
        </w:tc>
      </w:tr>
    </w:tbl>
    <w:p>
      <w:pPr>
        <w:pStyle w:val="IOP-CS-SectionHead"/>
        <w:keepNext/>
        <w:keepLines/>
      </w:pPr>
      <w:r>
        <w:rPr>
          <w:rFonts w:ascii="Times New Roman" w:hAnsi="Times New Roman" w:eastAsia="Times New Roman"/>
        </w:rPr>
        <w:t>4. Solver and Implementation Methods</w:t>
      </w:r>
    </w:p>
    <w:p>
      <w:pPr>
        <w:pStyle w:val="IOP-CS-BodyNoIndent"/>
      </w:pPr>
      <w:r>
        <w:rPr>
          <w:rFonts w:ascii="Times New Roman" w:hAnsi="Times New Roman" w:eastAsia="Times New Roman"/>
        </w:rPr>
        <w:t>The assembled sparse matrix is solved with three methods: unpreconditioned CG, Jacobi-preconditioned CG, and algebraic-multigrid preconditioned CG. The AMG case uses the tested PyAMG default smoothed-aggregation hierarchy as a V-cycle preconditioner for SciPy CG; this should be read as one concrete AMG configuration rather than a claim about all AMG parameter choices. The recorded PyAMG 5.3.0 defaults use symmetric strength, standard aggregation, Jacobi prolongation smoothing with omega = 4/3, symmetric block Gauss-Seidel pre/post smoothing, at most ten levels, and a coarse-grid limit of ten unknowns. Historical runs did not fix the random starts used in PyAMG spectral-radius estimation, so exact hierarchy-dependent results can vary across reruns. Manufactured-solution runs use a relative residual tolerance of 1e-11 so that solver error does not dominate discretisation error; solver-comparison runs use SciPy CG with relative tolerance 1e-8, zero absolute tolerance, the default zero initial guess, and a maximum of 12000 iterations in the decision map. The baseline coefficient-family solver comparisons use the same deterministic unit right-hand side at a given grid size, so the right-hand side is controlled across cases. The controlled extension below separately varies the right-hand side, which can excite different spectral components. The reported time separates preconditioner setup from iterative solve time and also gives the total time. Matrix assembly and right-hand-side construction are excluded from these times. Iterative solve times include a callback that recomputes the true relative residual after every iteration, adding one sparse matrix-vector product and norm evaluations per iteration. The reported selections and speedups therefore apply to this monitored implementation. Methods are run in a fixed order, and the first AMG setup in a fresh process also includes the PyAMG import; these timings do not isolate hierarchy construction from first-use overhead. BLAS thread settings and processor power states were not recorded, limiting exact performance replication. Failed convergence would be recorded as a structured row in the raw CSV artefact, although all baseline benchmark cases converged.</w:t>
      </w:r>
    </w:p>
    <w:p>
      <w:pPr>
        <w:pStyle w:val="IOP-CS-BodyText"/>
      </w:pPr>
      <w:r>
        <w:rPr>
          <w:rFonts w:ascii="Times New Roman" w:hAnsi="Times New Roman" w:eastAsia="Times New Roman"/>
        </w:rPr>
        <w:t xml:space="preserve">Three evidence groups have distinct timing meanings </w:t>
      </w:r>
      <w:r>
        <w:rPr>
          <w:rFonts w:ascii="Times New Roman" w:hAnsi="Times New Roman" w:eastAsia="Times New Roman"/>
          <w:vertAlign w:val="superscript"/>
        </w:rPr>
        <w:t xml:space="preserve">[</w:t>
      </w:r>
      <w:r>
        <w:rPr>
          <w:rFonts w:ascii="Times New Roman" w:hAnsi="Times New Roman" w:eastAsia="Times New Roman"/>
          <w:vertAlign w:val="superscript"/>
          <w:highlight w:val="yellow"/>
        </w:rPr>
        <w:t xml:space="preserve">31</w:t>
      </w:r>
      <w:r>
        <w:rPr>
          <w:rFonts w:ascii="Times New Roman" w:hAnsi="Times New Roman" w:eastAsia="Times New Roman"/>
          <w:vertAlign w:val="superscript"/>
        </w:rPr>
        <w:t xml:space="preserve">]</w:t>
      </w:r>
      <w:r>
        <w:rPr>
          <w:rFonts w:ascii="Times New Roman" w:hAnsi="Times New Roman" w:eastAsia="Times New Roman"/>
        </w:rPr>
        <w:t>. Historical coefficient-family results include a true-residual evaluation at every iteration, fixed method order and the first PyAMG import inside setup; their thread settings were not recorded. The controlled matched-field extension uses warm imports, shuffled order, one BLAS thread, paired setup seeds and count-only callbacks, with rtol = 1e-9 and independently checked residual at most 1e-8. The new callback calibration holds the arithmetic operator, unit source, three candidate methods, rtol = 1e-8, warm imports, one BLAS thread and setup seeds fixed, changing only the callback within each pair. All three groups exclude matrix assembly and source construction, and include fresh preconditioner setup in total time. Historical speedups are monitored-implementation results; translation reversals and empirical cost floors are within-extension comparisons. Neither time ratios nor winner boundaries are pooled across these groups. The calibration estimates callback sensitivity under its stated conditions; it cannot retrospectively separate historical import, ordering, threading or machine-state effects.</w:t>
      </w:r>
    </w:p>
    <w:p>
      <w:pPr>
        <w:pStyle w:val="IOP-CS-BodyText"/>
      </w:pPr>
      <w:r>
        <w:rPr>
          <w:rFonts w:ascii="Times New Roman" w:hAnsi="Times New Roman" w:eastAsia="Times New Roman"/>
        </w:rPr>
        <w:t>Matrix-free performance is measured with a separate stencil apply matching Equation (5). Three CPU paths are compared: NumPy vectorisation, Numba serial compilation, and Numba parallel compilation with controlled thread counts. Throughput is reported as an estimated stencil bandwidth using a fixed byte model: 11 double-precision values per interior point for the variable-coefficient stencil, or 88 bytes per point. The Jacobi crossover uses five double-precision values per interior point, or 40 bytes per point. These estimates are operational metrics for comparing implementations of the same stencil family, not hardware peak-bandwidth or direct DRAM-transaction claims.</w:t>
      </w:r>
    </w:p>
    <w:p>
      <w:pPr>
        <w:pStyle w:val="IOP-CS-BodyText"/>
      </w:pPr>
      <w:r>
        <w:rPr>
          <w:rFonts w:ascii="Times New Roman" w:hAnsi="Times New Roman" w:eastAsia="Times New Roman"/>
        </w:rPr>
        <w:t>The CUDA experiment uses a repeated Jacobi update rather than the full variable-coefficient operator. This isolates a simple memory-bound stencil and avoids conflating kernel throughput with sparse-solver algorithmics. CPU and GPU arrays are allocated once, one batch is used for warm-up, and timing continues for at least three batches and 0.2 s. CUDA uses 16 by 16 thread blocks and the Numba CPU baseline uses four threads. These are within-run averages, not independent timing replicates. CUDA timings use a host wall-clock timer around resident-data batches of 20 updates, including Python launch overhead and device synchronisation after each batch. Allocation, compilation warm-up, and host-device transfers are excluded. This boundary matches repeated time-stepping or smoother-like updates where data remain resident on the device, but it should not be read as end-to-end application speedup.</w:t>
      </w:r>
    </w:p>
    <w:p>
      <w:pPr>
        <w:pStyle w:val="IOP-CS-BodyText"/>
      </w:pPr>
      <w:r>
        <w:rPr>
          <w:rFonts w:ascii="Times New Roman" w:hAnsi="Times New Roman" w:eastAsia="Times New Roman"/>
        </w:rPr>
        <w:t>For a single solve, the decision map compares setup-plus-solve times retrospectively: all candidates have already been run, and the winning time excludes evaluation of the other candidates. It selects the fastest converged solver by setup-plus-solve time, making one-time AMG setup cost visible rather than treating iteration count as the only outcome. It is not a repeated-right-hand-side reuse model; such a model would require an explicit solve count m. We report Spearman rank correlations between Ck, Gk(h), Vk, the available-grid condition estimate, CG iterations, and the speedup of the selected solver over CG. The coefficient set is a designed benchmark grid rather than a random sample from a defined population, so rank correlations are treated as descriptive association diagnostics rather than population-level inferential estimates. Pooled rows summarise all case-size entries but are not treated as independent samples because the same coefficient family appears at multiple grid sizes. Fixed-N rows provide the safer coefficient-level reading and include deterministic case-resampling intervals. Iteration-count associations are treated as the primary solver-difficulty diagnostic; associations with selected-solver speedup are secondary and exploratory because the full decision grid uses a single timing pass per cell. Permutation p-values are archived in the CSV as diagnostics rather than used to claim pairwise descriptor separation.</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sSup>
                <m:e>
                  <m:r>
                    <m:t xml:space="preserve">s</m:t>
                  </m:r>
                </m:e>
                <m:sup>
                  <m:r>
                    <m:t xml:space="preserve">*</m:t>
                  </m:r>
                </m:sup>
              </m:sSup>
              <m:r>
                <m:t xml:space="preserve">(c,N) = </m:t>
              </m:r>
              <m:sSub>
                <m:e>
                  <m:r>
                    <m:t xml:space="preserve">arg min</m:t>
                  </m:r>
                </m:e>
                <m:sub>
                  <m:r>
                    <m:t xml:space="preserve">s ∈ S</m:t>
                  </m:r>
                </m:sub>
              </m:sSub>
              <m:r>
                <m:t xml:space="preserve"> [</m:t>
              </m:r>
              <m:sSub>
                <m:e>
                  <m:r>
                    <m:t xml:space="preserve">T</m:t>
                  </m:r>
                </m:e>
                <m:sub>
                  <m:r>
                    <m:t xml:space="preserve">setup</m:t>
                  </m:r>
                </m:sub>
              </m:sSub>
              <m:r>
                <m:t xml:space="preserve">(s,c,N) + </m:t>
              </m:r>
              <m:sSub>
                <m:e>
                  <m:r>
                    <m:t xml:space="preserve">T</m:t>
                  </m:r>
                </m:e>
                <m:sub>
                  <m:r>
                    <m:t xml:space="preserve">solve</m:t>
                  </m:r>
                </m:sub>
              </m:sSub>
              <m:r>
                <m:t xml:space="preserve">(s,c,N)]</m:t>
              </m:r>
            </m:oMath>
          </w:p>
        </w:tc>
        <w:tc>
          <w:tcPr>
            <w:tcW w:type="dxa" w:w="792"/>
          </w:tcPr>
          <w:p>
            <w:pPr>
              <w:keepLines/>
              <w:spacing w:line="274" w:lineRule="auto"/>
              <w:jc w:val="right"/>
            </w:pPr>
            <w:r>
              <w:rPr>
                <w:rFonts w:ascii="Times New Roman" w:hAnsi="Times New Roman" w:eastAsia="Times New Roman"/>
              </w:rPr>
              <w:t>(7)</w:t>
            </w:r>
          </w:p>
        </w:tc>
      </w:tr>
    </w:tbl>
    <w:p>
      <w:pPr>
        <w:pStyle w:val="IOP-CS-BodyText"/>
      </w:pPr>
      <w:r>
        <w:rPr>
          <w:rFonts w:ascii="Times New Roman" w:hAnsi="Times New Roman" w:eastAsia="Times New Roman"/>
        </w:rPr>
        <w:t>Timing stability is assessed by repeating selected decision-map cases five times and then reporting the solver chosen by median total time, the per-repeat vote fraction, and the relative interquartile range of the selected method. The full decision grid remains a single-pass benchmark, while the repeat check probes whether the most important decisions are robust or near ties.</w:t>
      </w:r>
    </w:p>
    <w:p>
      <w:pPr>
        <w:pStyle w:val="IOP-CS-BodyText"/>
      </w:pPr>
      <w:r>
        <w:rPr>
          <w:rFonts w:ascii="Times New Roman" w:hAnsi="Times New Roman" w:eastAsia="Times New Roman"/>
        </w:rPr>
        <w:t>The hardware crossover model is similarly bounded: for the repeated Jacobi kernel it fits T(n) = α + βn, where n = (N - 2)², and archives the global four-point fit as an exploratory summary rather than a validated local crossover model.</w:t>
      </w:r>
    </w:p>
    <w:p>
      <w:pPr>
        <w:pStyle w:val="IOP-CS-SectionHead"/>
        <w:keepNext/>
        <w:keepLines/>
      </w:pPr>
      <w:r>
        <w:rPr>
          <w:rFonts w:ascii="Times New Roman" w:hAnsi="Times New Roman" w:eastAsia="Times New Roman"/>
        </w:rPr>
        <w:t>5. Experiments and Results</w:t>
      </w:r>
    </w:p>
    <w:p>
      <w:pPr>
        <w:pStyle w:val="IOP-CS-BodyNoIndent"/>
      </w:pPr>
      <w:r>
        <w:rPr>
          <w:rFonts w:ascii="Times New Roman" w:hAnsi="Times New Roman" w:eastAsia="Times New Roman"/>
        </w:rPr>
        <w:t>All experiments were run on Windows 11 with Python 3.12.9, NumPy 2.4.6, SciPy 1.18.1, Numba 0.67.0, PyAMG 5.3.0, and Numba-CUDA 0.30.4. The machine used an AMD Ryzen 9 7940HS w/ Radeon 780M Graphics CPU with 8 physical cores and 16 logical processors, approximately 16 GB of system memory reported by the operating system as 15.2 GB usable, and an NVIDIA GeForce RTX 4060 Laptop GPU with compute capability 8.9. The exact raw CSV outputs, environment metadata, and scripts are included in the supplementary artefact.</w:t>
      </w:r>
    </w:p>
    <w:p>
      <w:pPr>
        <w:pStyle w:val="IOP-CS-BodyText"/>
      </w:pPr>
      <w:r>
        <w:rPr>
          <w:rFonts w:ascii="Times New Roman" w:hAnsi="Times New Roman" w:eastAsia="Times New Roman"/>
        </w:rPr>
        <w:t>The decision map covers 13 coefficient cases, three grid sizes, and three Krylov/preconditioner choices. The spectral conditioning study uses N = 32, 64, and 128. Extremal eigenvalues of the unpreconditioned matrix are estimated with SciPy eigsh (smallest/largest algebraic eigenvalue, tolerance 1e-6, maximum 20000 iterations). These estimates do not describe the preconditioned operator; the N = 256 correlations using an N = 128 spectral proxy are cross-resolution diagnostics. The rank-correlation analysis uses all 39 case-size decisions and three fixed-grid strata of 13 cases; condition numbers are matched to N = 64 and N = 128 where available, and the N = 128 condition estimate is used as the maximum-available case-level spectral proxy for N = 256. The repeated timing check uses five repeats for one constant case and four nonconstant representative cases at each of the three decision-grid sizes, covering 15 case-size cells. The face-averaging sensitivity study reruns the three discontinuous Ck = 100 stress cases with arithmetic and harmonic face averages at N = 64, 128, and 256. The hardware crossover fit used the measured Jacobi-kernel timings at N = 512, 1024, 2048, and 4096.</w:t>
      </w:r>
    </w:p>
    <w:p>
      <w:pPr>
        <w:pStyle w:val="IOP-CS-SubsectionHeading"/>
        <w:keepNext/>
        <w:keepLines/>
      </w:pPr>
      <w:r>
        <w:rPr>
          <w:rFonts w:ascii="Times New Roman" w:hAnsi="Times New Roman" w:eastAsia="Times New Roman"/>
        </w:rPr>
        <w:t>5.1. Verification and Coefficient Difficulty</w:t>
      </w:r>
    </w:p>
    <w:p>
      <w:pPr>
        <w:pStyle w:val="IOP-CS-BodyNoIndent"/>
      </w:pPr>
      <w:r>
        <w:rPr>
          <w:rFonts w:ascii="Times New Roman" w:hAnsi="Times New Roman" w:eastAsia="Times New Roman"/>
        </w:rPr>
        <w:t>The manufactured-solution study confirms the expected second-order behaviour of the finite-difference scheme. Table 1 reports fitted rates using N = 32, 64, 128, and 256 with a CG residual tolerance of 1e-11. Both the constant and smooth variable-coefficient cases produced L2 rates close to two. Figure 1 gives the same result as a log-log error plot.</w:t>
      </w:r>
    </w:p>
    <w:p>
      <w:pPr>
        <w:pStyle w:val="IOP-CS-CaptionText"/>
        <w:keepNext/>
        <w:keepLines/>
      </w:pPr>
      <w:r>
        <w:rPr>
          <w:rFonts w:ascii="Times New Roman" w:hAnsi="Times New Roman" w:eastAsia="Times New Roman"/>
        </w:rPr>
        <w:t>Table 1. Manufactured-solution convergence for the finite-difference discretisation.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Case</w:t>
            </w:r>
          </w:p>
        </w:tc>
        <w:tc>
          <w:tcPr>
            <w:tcW w:type="dxa" w:w="1814"/>
          </w:tcPr>
          <w:p>
            <w:pPr>
              <w:keepNext/>
              <w:keepLines/>
            </w:pPr>
            <w:r>
              <w:rPr>
                <w:rFonts w:ascii="Times New Roman" w:hAnsi="Times New Roman" w:eastAsia="Times New Roman"/>
                <w:b/>
                <w:sz w:val="18"/>
              </w:rPr>
              <w:t>p_L2</w:t>
            </w:r>
          </w:p>
        </w:tc>
        <w:tc>
          <w:tcPr>
            <w:tcW w:type="dxa" w:w="1814"/>
          </w:tcPr>
          <w:p>
            <w:pPr>
              <w:keepNext/>
              <w:keepLines/>
            </w:pPr>
            <w:r>
              <w:rPr>
                <w:rFonts w:ascii="Times New Roman" w:hAnsi="Times New Roman" w:eastAsia="Times New Roman"/>
                <w:b/>
                <w:sz w:val="18"/>
              </w:rPr>
              <w:t>p_inf</w:t>
            </w:r>
          </w:p>
        </w:tc>
        <w:tc>
          <w:tcPr>
            <w:tcW w:type="dxa" w:w="1814"/>
          </w:tcPr>
          <w:p>
            <w:pPr>
              <w:keepNext/>
              <w:keepLines/>
            </w:pPr>
            <w:r>
              <w:rPr>
                <w:rFonts w:ascii="Times New Roman" w:hAnsi="Times New Roman" w:eastAsia="Times New Roman"/>
                <w:b/>
                <w:sz w:val="18"/>
              </w:rPr>
              <w:t>Finest L2</w:t>
            </w:r>
          </w:p>
        </w:tc>
        <w:tc>
          <w:tcPr>
            <w:tcW w:type="dxa" w:w="1814"/>
          </w:tcPr>
          <w:p>
            <w:pPr>
              <w:keepNext/>
              <w:keepLines/>
            </w:pPr>
            <w:r>
              <w:rPr>
                <w:rFonts w:ascii="Times New Roman" w:hAnsi="Times New Roman" w:eastAsia="Times New Roman"/>
                <w:b/>
                <w:sz w:val="18"/>
              </w:rPr>
              <w:t>Residual</w:t>
            </w:r>
          </w:p>
        </w:tc>
      </w:tr>
      <w:tr>
        <w:trPr>
          <w:cantSplit/>
        </w:trPr>
        <w:tc>
          <w:tcPr>
            <w:tcW w:type="dxa" w:w="1814"/>
          </w:tcPr>
          <w:p>
            <w:pPr>
              <w:keepNext/>
              <w:keepLines/>
            </w:pPr>
            <w:r>
              <w:rPr>
                <w:rFonts w:ascii="Times New Roman" w:hAnsi="Times New Roman" w:eastAsia="Times New Roman"/>
                <w:sz w:val="18"/>
              </w:rPr>
              <w:t>Constant coefficient</w:t>
            </w:r>
          </w:p>
        </w:tc>
        <w:tc>
          <w:tcPr>
            <w:tcW w:type="dxa" w:w="1814"/>
          </w:tcPr>
          <w:p>
            <w:pPr>
              <w:keepNext/>
              <w:keepLines/>
            </w:pPr>
            <w:r>
              <w:rPr>
                <w:rFonts w:ascii="Times New Roman" w:hAnsi="Times New Roman" w:eastAsia="Times New Roman"/>
                <w:sz w:val="18"/>
              </w:rPr>
              <w:t>2.01</w:t>
            </w:r>
          </w:p>
        </w:tc>
        <w:tc>
          <w:tcPr>
            <w:tcW w:type="dxa" w:w="1814"/>
          </w:tcPr>
          <w:p>
            <w:pPr>
              <w:keepNext/>
              <w:keepLines/>
            </w:pPr>
            <w:r>
              <w:rPr>
                <w:rFonts w:ascii="Times New Roman" w:hAnsi="Times New Roman" w:eastAsia="Times New Roman"/>
                <w:sz w:val="18"/>
              </w:rPr>
              <w:t>2.00</w:t>
            </w:r>
          </w:p>
        </w:tc>
        <w:tc>
          <w:tcPr>
            <w:tcW w:type="dxa" w:w="1814"/>
          </w:tcPr>
          <w:p>
            <w:pPr>
              <w:keepNext/>
              <w:keepLines/>
            </w:pPr>
            <w:r>
              <w:rPr>
                <w:rFonts w:ascii="Times New Roman" w:hAnsi="Times New Roman" w:eastAsia="Times New Roman"/>
                <w:sz w:val="18"/>
              </w:rPr>
              <w:t>6.35e-6</w:t>
            </w:r>
          </w:p>
        </w:tc>
        <w:tc>
          <w:tcPr>
            <w:tcW w:type="dxa" w:w="1814"/>
          </w:tcPr>
          <w:p>
            <w:pPr>
              <w:keepNext/>
              <w:keepLines/>
            </w:pPr>
            <w:r>
              <w:rPr>
                <w:rFonts w:ascii="Times New Roman" w:hAnsi="Times New Roman" w:eastAsia="Times New Roman"/>
                <w:sz w:val="18"/>
              </w:rPr>
              <w:t>1.60e-12</w:t>
            </w:r>
          </w:p>
        </w:tc>
      </w:tr>
      <w:tr>
        <w:trPr>
          <w:cantSplit/>
        </w:trPr>
        <w:tc>
          <w:tcPr>
            <w:tcW w:type="dxa" w:w="1814"/>
          </w:tcPr>
          <w:p>
            <w:pPr>
              <w:keepNext w:val="0"/>
              <w:keepLines/>
            </w:pPr>
            <w:r>
              <w:rPr>
                <w:rFonts w:ascii="Times New Roman" w:hAnsi="Times New Roman" w:eastAsia="Times New Roman"/>
                <w:sz w:val="18"/>
              </w:rPr>
              <w:t>Smooth variable coefficient</w:t>
            </w:r>
          </w:p>
        </w:tc>
        <w:tc>
          <w:tcPr>
            <w:tcW w:type="dxa" w:w="1814"/>
          </w:tcPr>
          <w:p>
            <w:pPr>
              <w:keepNext w:val="0"/>
              <w:keepLines/>
            </w:pPr>
            <w:r>
              <w:rPr>
                <w:rFonts w:ascii="Times New Roman" w:hAnsi="Times New Roman" w:eastAsia="Times New Roman"/>
                <w:sz w:val="18"/>
              </w:rPr>
              <w:t>2.02</w:t>
            </w:r>
          </w:p>
        </w:tc>
        <w:tc>
          <w:tcPr>
            <w:tcW w:type="dxa" w:w="1814"/>
          </w:tcPr>
          <w:p>
            <w:pPr>
              <w:keepNext w:val="0"/>
              <w:keepLines/>
            </w:pPr>
            <w:r>
              <w:rPr>
                <w:rFonts w:ascii="Times New Roman" w:hAnsi="Times New Roman" w:eastAsia="Times New Roman"/>
                <w:sz w:val="18"/>
              </w:rPr>
              <w:t>2.00</w:t>
            </w:r>
          </w:p>
        </w:tc>
        <w:tc>
          <w:tcPr>
            <w:tcW w:type="dxa" w:w="1814"/>
          </w:tcPr>
          <w:p>
            <w:pPr>
              <w:keepNext w:val="0"/>
              <w:keepLines/>
            </w:pPr>
            <w:r>
              <w:rPr>
                <w:rFonts w:ascii="Times New Roman" w:hAnsi="Times New Roman" w:eastAsia="Times New Roman"/>
                <w:sz w:val="18"/>
              </w:rPr>
              <w:t>6.39e-6</w:t>
            </w:r>
          </w:p>
        </w:tc>
        <w:tc>
          <w:tcPr>
            <w:tcW w:type="dxa" w:w="1814"/>
          </w:tcPr>
          <w:p>
            <w:pPr>
              <w:keepNext w:val="0"/>
              <w:keepLines/>
            </w:pPr>
            <w:r>
              <w:rPr>
                <w:rFonts w:ascii="Times New Roman" w:hAnsi="Times New Roman" w:eastAsia="Times New Roman"/>
                <w:sz w:val="18"/>
              </w:rPr>
              <w:t>2.01e-11</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3064025"/>
            <wp:docPr id="1" name="Picture 1"/>
            <wp:cNvGraphicFramePr>
              <a:graphicFrameLocks noChangeAspect="1"/>
            </wp:cNvGraphicFramePr>
            <a:graphic>
              <a:graphicData uri="http://schemas.openxmlformats.org/drawingml/2006/picture">
                <pic:pic>
                  <pic:nvPicPr>
                    <pic:cNvPr id="0" name="convergence_l2.png"/>
                    <pic:cNvPicPr/>
                  </pic:nvPicPr>
                  <pic:blipFill>
                    <a:blip r:embed="rId11"/>
                    <a:stretch>
                      <a:fillRect/>
                    </a:stretch>
                  </pic:blipFill>
                  <pic:spPr>
                    <a:xfrm>
                      <a:off x="0" y="0"/>
                      <a:ext cx="4434840" cy="3064025"/>
                    </a:xfrm>
                    <a:prstGeom prst="rect"/>
                  </pic:spPr>
                </pic:pic>
              </a:graphicData>
            </a:graphic>
          </wp:inline>
        </w:drawing>
      </w:r>
    </w:p>
    <w:p>
      <w:pPr>
        <w:pStyle w:val="IOP-CS-CaptionText"/>
        <w:keepLines/>
      </w:pPr>
      <w:r>
        <w:rPr>
          <w:rFonts w:ascii="Times New Roman" w:hAnsi="Times New Roman" w:eastAsia="Times New Roman"/>
        </w:rPr>
        <w:t>Figure 1. Manufactured-solution convergence of the finite-difference operator.</w:t>
      </w:r>
    </w:p>
    <w:p>
      <w:pPr>
        <w:pStyle w:val="IOP-CS-BodyText"/>
      </w:pPr>
      <w:r>
        <w:rPr>
          <w:rFonts w:ascii="Times New Roman" w:hAnsi="Times New Roman" w:eastAsia="Times New Roman"/>
        </w:rPr>
        <w:t>The discontinuous-interface check in Table 2 isolates a different error mechanism. For an aligned one-dimensional two-material conduction problem, harmonic face averaging reproduced the analytic interface flux to roundoff, while arithmetic averaging showed a grid-refined interface error. This does not make harmonic averaging a universal choice for all multidimensional discontinuities, but it prevents the benchmark from relying only on smooth manufactured-solution evidence.</w:t>
      </w:r>
    </w:p>
    <w:p>
      <w:pPr>
        <w:pStyle w:val="IOP-CS-CaptionText"/>
        <w:keepNext/>
        <w:keepLines/>
      </w:pPr>
      <w:r>
        <w:rPr>
          <w:rFonts w:ascii="Times New Roman" w:hAnsi="Times New Roman" w:eastAsia="Times New Roman"/>
        </w:rPr>
        <w:t>Table 2. Discontinuous-interface verification on a one-dimensional two-material heat-conduction problem. Harmonic face averaging recovers the analytic flux continuity to roundoff in this aligned-interface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N</w:t>
            </w:r>
          </w:p>
        </w:tc>
        <w:tc>
          <w:tcPr>
            <w:tcW w:type="dxa" w:w="1814"/>
          </w:tcPr>
          <w:p>
            <w:pPr>
              <w:keepNext/>
              <w:keepLines/>
            </w:pPr>
            <w:r>
              <w:rPr>
                <w:rFonts w:ascii="Times New Roman" w:hAnsi="Times New Roman" w:eastAsia="Times New Roman"/>
                <w:b/>
                <w:sz w:val="18"/>
              </w:rPr>
              <w:t>L2 arithmetic</w:t>
            </w:r>
          </w:p>
        </w:tc>
        <w:tc>
          <w:tcPr>
            <w:tcW w:type="dxa" w:w="1814"/>
          </w:tcPr>
          <w:p>
            <w:pPr>
              <w:keepNext/>
              <w:keepLines/>
            </w:pPr>
            <w:r>
              <w:rPr>
                <w:rFonts w:ascii="Times New Roman" w:hAnsi="Times New Roman" w:eastAsia="Times New Roman"/>
                <w:b/>
                <w:sz w:val="18"/>
              </w:rPr>
              <w:t>L2 harmonic</w:t>
            </w:r>
          </w:p>
        </w:tc>
        <w:tc>
          <w:tcPr>
            <w:tcW w:type="dxa" w:w="1814"/>
          </w:tcPr>
          <w:p>
            <w:pPr>
              <w:keepNext/>
              <w:keepLines/>
            </w:pPr>
            <w:r>
              <w:rPr>
                <w:rFonts w:ascii="Times New Roman" w:hAnsi="Times New Roman" w:eastAsia="Times New Roman"/>
                <w:b/>
                <w:sz w:val="18"/>
              </w:rPr>
              <w:t>Flux err. arithmetic</w:t>
            </w:r>
          </w:p>
        </w:tc>
        <w:tc>
          <w:tcPr>
            <w:tcW w:type="dxa" w:w="1814"/>
          </w:tcPr>
          <w:p>
            <w:pPr>
              <w:keepNext/>
              <w:keepLines/>
            </w:pPr>
            <w:r>
              <w:rPr>
                <w:rFonts w:ascii="Times New Roman" w:hAnsi="Times New Roman" w:eastAsia="Times New Roman"/>
                <w:b/>
                <w:sz w:val="18"/>
              </w:rPr>
              <w:t>Flux err. harmonic</w:t>
            </w:r>
          </w:p>
        </w:tc>
      </w:tr>
      <w:tr>
        <w:trPr>
          <w:cantSplit/>
        </w:trPr>
        <w:tc>
          <w:tcPr>
            <w:tcW w:type="dxa" w:w="1814"/>
          </w:tcPr>
          <w:p>
            <w:pPr>
              <w:keepNext/>
              <w:keepLines/>
            </w:pPr>
            <w:r>
              <w:rPr>
                <w:rFonts w:ascii="Times New Roman" w:hAnsi="Times New Roman" w:eastAsia="Times New Roman"/>
                <w:sz w:val="18"/>
              </w:rPr>
              <w:t>32</w:t>
            </w:r>
          </w:p>
        </w:tc>
        <w:tc>
          <w:tcPr>
            <w:tcW w:type="dxa" w:w="1814"/>
          </w:tcPr>
          <w:p>
            <w:pPr>
              <w:keepNext/>
              <w:keepLines/>
            </w:pPr>
            <w:r>
              <w:rPr>
                <w:rFonts w:ascii="Times New Roman" w:hAnsi="Times New Roman" w:eastAsia="Times New Roman"/>
                <w:sz w:val="18"/>
              </w:rPr>
              <w:t>1.27e-2</w:t>
            </w:r>
          </w:p>
        </w:tc>
        <w:tc>
          <w:tcPr>
            <w:tcW w:type="dxa" w:w="1814"/>
          </w:tcPr>
          <w:p>
            <w:pPr>
              <w:keepNext/>
              <w:keepLines/>
            </w:pPr>
            <w:r>
              <w:rPr>
                <w:rFonts w:ascii="Times New Roman" w:hAnsi="Times New Roman" w:eastAsia="Times New Roman"/>
                <w:sz w:val="18"/>
              </w:rPr>
              <w:t>5.96e-16</w:t>
            </w:r>
          </w:p>
        </w:tc>
        <w:tc>
          <w:tcPr>
            <w:tcW w:type="dxa" w:w="1814"/>
          </w:tcPr>
          <w:p>
            <w:pPr>
              <w:keepNext/>
              <w:keepLines/>
            </w:pPr>
            <w:r>
              <w:rPr>
                <w:rFonts w:ascii="Times New Roman" w:hAnsi="Times New Roman" w:eastAsia="Times New Roman"/>
                <w:sz w:val="18"/>
              </w:rPr>
              <w:t>6.33e-2</w:t>
            </w:r>
          </w:p>
        </w:tc>
        <w:tc>
          <w:tcPr>
            <w:tcW w:type="dxa" w:w="1814"/>
          </w:tcPr>
          <w:p>
            <w:pPr>
              <w:keepNext/>
              <w:keepLines/>
            </w:pPr>
            <w:r>
              <w:rPr>
                <w:rFonts w:ascii="Times New Roman" w:hAnsi="Times New Roman" w:eastAsia="Times New Roman"/>
                <w:sz w:val="18"/>
              </w:rPr>
              <w:t>5.11e-15</w:t>
            </w:r>
          </w:p>
        </w:tc>
      </w:tr>
      <w:tr>
        <w:trPr>
          <w:cantSplit/>
        </w:trPr>
        <w:tc>
          <w:tcPr>
            <w:tcW w:type="dxa" w:w="1814"/>
          </w:tcPr>
          <w:p>
            <w:pPr>
              <w:keepNext/>
              <w:keepLines/>
            </w:pPr>
            <w:r>
              <w:rPr>
                <w:rFonts w:ascii="Times New Roman" w:hAnsi="Times New Roman" w:eastAsia="Times New Roman"/>
                <w:sz w:val="18"/>
              </w:rPr>
              <w:t>64</w:t>
            </w:r>
          </w:p>
        </w:tc>
        <w:tc>
          <w:tcPr>
            <w:tcW w:type="dxa" w:w="1814"/>
          </w:tcPr>
          <w:p>
            <w:pPr>
              <w:keepNext/>
              <w:keepLines/>
            </w:pPr>
            <w:r>
              <w:rPr>
                <w:rFonts w:ascii="Times New Roman" w:hAnsi="Times New Roman" w:eastAsia="Times New Roman"/>
                <w:sz w:val="18"/>
              </w:rPr>
              <w:t>6.21e-3</w:t>
            </w:r>
          </w:p>
        </w:tc>
        <w:tc>
          <w:tcPr>
            <w:tcW w:type="dxa" w:w="1814"/>
          </w:tcPr>
          <w:p>
            <w:pPr>
              <w:keepNext/>
              <w:keepLines/>
            </w:pPr>
            <w:r>
              <w:rPr>
                <w:rFonts w:ascii="Times New Roman" w:hAnsi="Times New Roman" w:eastAsia="Times New Roman"/>
                <w:sz w:val="18"/>
              </w:rPr>
              <w:t>1.56e-15</w:t>
            </w:r>
          </w:p>
        </w:tc>
        <w:tc>
          <w:tcPr>
            <w:tcW w:type="dxa" w:w="1814"/>
          </w:tcPr>
          <w:p>
            <w:pPr>
              <w:keepNext/>
              <w:keepLines/>
            </w:pPr>
            <w:r>
              <w:rPr>
                <w:rFonts w:ascii="Times New Roman" w:hAnsi="Times New Roman" w:eastAsia="Times New Roman"/>
                <w:sz w:val="18"/>
              </w:rPr>
              <w:t>3.07e-2</w:t>
            </w:r>
          </w:p>
        </w:tc>
        <w:tc>
          <w:tcPr>
            <w:tcW w:type="dxa" w:w="1814"/>
          </w:tcPr>
          <w:p>
            <w:pPr>
              <w:keepNext/>
              <w:keepLines/>
            </w:pPr>
            <w:r>
              <w:rPr>
                <w:rFonts w:ascii="Times New Roman" w:hAnsi="Times New Roman" w:eastAsia="Times New Roman"/>
                <w:sz w:val="18"/>
              </w:rPr>
              <w:t>6.66e-15</w:t>
            </w:r>
          </w:p>
        </w:tc>
      </w:tr>
      <w:tr>
        <w:trPr>
          <w:cantSplit/>
        </w:trPr>
        <w:tc>
          <w:tcPr>
            <w:tcW w:type="dxa" w:w="1814"/>
          </w:tcPr>
          <w:p>
            <w:pPr>
              <w:keepNext/>
              <w:keepLines/>
            </w:pPr>
            <w:r>
              <w:rPr>
                <w:rFonts w:ascii="Times New Roman" w:hAnsi="Times New Roman" w:eastAsia="Times New Roman"/>
                <w:sz w:val="18"/>
              </w:rPr>
              <w:t>128</w:t>
            </w:r>
          </w:p>
        </w:tc>
        <w:tc>
          <w:tcPr>
            <w:tcW w:type="dxa" w:w="1814"/>
          </w:tcPr>
          <w:p>
            <w:pPr>
              <w:keepNext/>
              <w:keepLines/>
            </w:pPr>
            <w:r>
              <w:rPr>
                <w:rFonts w:ascii="Times New Roman" w:hAnsi="Times New Roman" w:eastAsia="Times New Roman"/>
                <w:sz w:val="18"/>
              </w:rPr>
              <w:t>3.07e-3</w:t>
            </w:r>
          </w:p>
        </w:tc>
        <w:tc>
          <w:tcPr>
            <w:tcW w:type="dxa" w:w="1814"/>
          </w:tcPr>
          <w:p>
            <w:pPr>
              <w:keepNext/>
              <w:keepLines/>
            </w:pPr>
            <w:r>
              <w:rPr>
                <w:rFonts w:ascii="Times New Roman" w:hAnsi="Times New Roman" w:eastAsia="Times New Roman"/>
                <w:sz w:val="18"/>
              </w:rPr>
              <w:t>3.55e-14</w:t>
            </w:r>
          </w:p>
        </w:tc>
        <w:tc>
          <w:tcPr>
            <w:tcW w:type="dxa" w:w="1814"/>
          </w:tcPr>
          <w:p>
            <w:pPr>
              <w:keepNext/>
              <w:keepLines/>
            </w:pPr>
            <w:r>
              <w:rPr>
                <w:rFonts w:ascii="Times New Roman" w:hAnsi="Times New Roman" w:eastAsia="Times New Roman"/>
                <w:sz w:val="18"/>
              </w:rPr>
              <w:t>1.51e-2</w:t>
            </w:r>
          </w:p>
        </w:tc>
        <w:tc>
          <w:tcPr>
            <w:tcW w:type="dxa" w:w="1814"/>
          </w:tcPr>
          <w:p>
            <w:pPr>
              <w:keepNext/>
              <w:keepLines/>
            </w:pPr>
            <w:r>
              <w:rPr>
                <w:rFonts w:ascii="Times New Roman" w:hAnsi="Times New Roman" w:eastAsia="Times New Roman"/>
                <w:sz w:val="18"/>
              </w:rPr>
              <w:t>2.44e-14</w:t>
            </w:r>
          </w:p>
        </w:tc>
      </w:tr>
      <w:tr>
        <w:trPr>
          <w:cantSplit/>
        </w:trPr>
        <w:tc>
          <w:tcPr>
            <w:tcW w:type="dxa" w:w="1814"/>
          </w:tcPr>
          <w:p>
            <w:pPr>
              <w:keepNext w:val="0"/>
              <w:keepLines/>
            </w:pPr>
            <w:r>
              <w:rPr>
                <w:rFonts w:ascii="Times New Roman" w:hAnsi="Times New Roman" w:eastAsia="Times New Roman"/>
                <w:sz w:val="18"/>
              </w:rPr>
              <w:t>256</w:t>
            </w:r>
          </w:p>
        </w:tc>
        <w:tc>
          <w:tcPr>
            <w:tcW w:type="dxa" w:w="1814"/>
          </w:tcPr>
          <w:p>
            <w:pPr>
              <w:keepNext w:val="0"/>
              <w:keepLines/>
            </w:pPr>
            <w:r>
              <w:rPr>
                <w:rFonts w:ascii="Times New Roman" w:hAnsi="Times New Roman" w:eastAsia="Times New Roman"/>
                <w:sz w:val="18"/>
              </w:rPr>
              <w:t>1.53e-3</w:t>
            </w:r>
          </w:p>
        </w:tc>
        <w:tc>
          <w:tcPr>
            <w:tcW w:type="dxa" w:w="1814"/>
          </w:tcPr>
          <w:p>
            <w:pPr>
              <w:keepNext w:val="0"/>
              <w:keepLines/>
            </w:pPr>
            <w:r>
              <w:rPr>
                <w:rFonts w:ascii="Times New Roman" w:hAnsi="Times New Roman" w:eastAsia="Times New Roman"/>
                <w:sz w:val="18"/>
              </w:rPr>
              <w:t>9.51e-15</w:t>
            </w:r>
          </w:p>
        </w:tc>
        <w:tc>
          <w:tcPr>
            <w:tcW w:type="dxa" w:w="1814"/>
          </w:tcPr>
          <w:p>
            <w:pPr>
              <w:keepNext w:val="0"/>
              <w:keepLines/>
            </w:pPr>
            <w:r>
              <w:rPr>
                <w:rFonts w:ascii="Times New Roman" w:hAnsi="Times New Roman" w:eastAsia="Times New Roman"/>
                <w:sz w:val="18"/>
              </w:rPr>
              <w:t>7.49e-3</w:t>
            </w:r>
          </w:p>
        </w:tc>
        <w:tc>
          <w:tcPr>
            <w:tcW w:type="dxa" w:w="1814"/>
          </w:tcPr>
          <w:p>
            <w:pPr>
              <w:keepNext w:val="0"/>
              <w:keepLines/>
            </w:pPr>
            <w:r>
              <w:rPr>
                <w:rFonts w:ascii="Times New Roman" w:hAnsi="Times New Roman" w:eastAsia="Times New Roman"/>
                <w:sz w:val="18"/>
              </w:rPr>
              <w:t>4.91e-14</w:t>
            </w:r>
          </w:p>
        </w:tc>
      </w:tr>
    </w:tbl>
    <w:p>
      <w:pPr>
        <w:spacing w:line="240" w:lineRule="auto" w:before="0" w:after="40"/>
      </w:pPr>
      <w:r>
        <w:rPr>
          <w:sz w:val="4"/>
        </w:rPr>
        <w:t xml:space="preserve"> </w:t>
      </w:r>
    </w:p>
    <w:p>
      <w:pPr>
        <w:pStyle w:val="IOP-CS-BodyText"/>
      </w:pPr>
      <w:r>
        <w:rPr>
          <w:rFonts w:ascii="Times New Roman" w:hAnsi="Times New Roman" w:eastAsia="Times New Roman"/>
        </w:rPr>
        <w:t>Table 3 reports representative coefficient descriptors. The spectral evidence confirms that contrast alone is not a complete difficulty measure. At N = 128, the inclusion case with Ck = 100 had a computed condition-number estimate of 6.43e5, while the checkerboard case with the same contrast had a much smaller estimate of 3.12e4 under this discretisation. Figure 2 shows the same effect across the measured coefficient grid.</w:t>
      </w:r>
    </w:p>
    <w:p>
      <w:pPr>
        <w:pStyle w:val="IOP-CS-CaptionText"/>
        <w:keepNext/>
        <w:keepLines/>
      </w:pPr>
      <w:r>
        <w:rPr>
          <w:rFonts w:ascii="Times New Roman" w:hAnsi="Times New Roman" w:eastAsia="Times New Roman"/>
        </w:rPr>
        <w:t>Table 3. Representative coefficient-difficulty descriptors. Metrics use N = 64 for the discrete descriptors; kappa(A) is the largest available spectral estimate, here N = 128.</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blHeader/>
        </w:trPr>
        <w:tc>
          <w:tcPr>
            <w:tcW w:type="dxa" w:w="1512"/>
          </w:tcPr>
          <w:p>
            <w:pPr>
              <w:keepNext/>
              <w:keepLines/>
            </w:pPr>
            <w:r>
              <w:rPr>
                <w:rFonts w:ascii="Times New Roman" w:hAnsi="Times New Roman" w:eastAsia="Times New Roman"/>
                <w:b/>
                <w:sz w:val="18"/>
              </w:rPr>
              <w:t>Case</w:t>
            </w:r>
          </w:p>
        </w:tc>
        <w:tc>
          <w:tcPr>
            <w:tcW w:type="dxa" w:w="1512"/>
          </w:tcPr>
          <w:p>
            <w:pPr>
              <w:keepNext/>
              <w:keepLines/>
            </w:pPr>
            <w:r>
              <w:rPr>
                <w:rFonts w:ascii="Times New Roman" w:hAnsi="Times New Roman" w:eastAsia="Times New Roman"/>
                <w:b/>
                <w:sz w:val="18"/>
              </w:rPr>
              <w:t>Family</w:t>
            </w:r>
          </w:p>
        </w:tc>
        <w:tc>
          <w:tcPr>
            <w:tcW w:type="dxa" w:w="1512"/>
          </w:tcPr>
          <w:p>
            <w:pPr>
              <w:keepNext/>
              <w:keepLines/>
            </w:pPr>
            <w:r>
              <w:rPr>
                <w:rFonts w:ascii="Times New Roman" w:hAnsi="Times New Roman" w:eastAsia="Times New Roman"/>
                <w:b/>
                <w:sz w:val="18"/>
              </w:rPr>
              <w:t>Ck</w:t>
            </w:r>
          </w:p>
        </w:tc>
        <w:tc>
          <w:tcPr>
            <w:tcW w:type="dxa" w:w="1512"/>
          </w:tcPr>
          <w:p>
            <w:pPr>
              <w:keepNext/>
              <w:keepLines/>
            </w:pPr>
            <w:r>
              <w:rPr>
                <w:rFonts w:ascii="Times New Roman" w:hAnsi="Times New Roman" w:eastAsia="Times New Roman"/>
                <w:b/>
                <w:sz w:val="18"/>
              </w:rPr>
              <w:t>Gk(h)</w:t>
            </w:r>
          </w:p>
        </w:tc>
        <w:tc>
          <w:tcPr>
            <w:tcW w:type="dxa" w:w="1512"/>
          </w:tcPr>
          <w:p>
            <w:pPr>
              <w:keepNext/>
              <w:keepLines/>
            </w:pPr>
            <w:r>
              <w:rPr>
                <w:rFonts w:ascii="Times New Roman" w:hAnsi="Times New Roman" w:eastAsia="Times New Roman"/>
                <w:b/>
                <w:sz w:val="18"/>
              </w:rPr>
              <w:t>TV proxy</w:t>
            </w:r>
          </w:p>
        </w:tc>
        <w:tc>
          <w:tcPr>
            <w:tcW w:type="dxa" w:w="1512"/>
          </w:tcPr>
          <w:p>
            <w:pPr>
              <w:keepNext/>
              <w:keepLines/>
            </w:pPr>
            <w:r>
              <w:rPr>
                <w:rFonts w:ascii="Times New Roman" w:hAnsi="Times New Roman" w:eastAsia="Times New Roman"/>
                <w:b/>
                <w:sz w:val="18"/>
              </w:rPr>
              <w:t>kappa(A)</w:t>
            </w:r>
          </w:p>
        </w:tc>
      </w:tr>
      <w:tr>
        <w:trPr>
          <w:cantSplit/>
        </w:trPr>
        <w:tc>
          <w:tcPr>
            <w:tcW w:type="dxa" w:w="1512"/>
          </w:tcPr>
          <w:p>
            <w:pPr>
              <w:keepNext/>
              <w:keepLines/>
            </w:pPr>
            <w:r>
              <w:rPr>
                <w:rFonts w:ascii="Times New Roman" w:hAnsi="Times New Roman" w:eastAsia="Times New Roman"/>
                <w:sz w:val="18"/>
              </w:rPr>
              <w:t>constant</w:t>
            </w:r>
          </w:p>
        </w:tc>
        <w:tc>
          <w:tcPr>
            <w:tcW w:type="dxa" w:w="1512"/>
          </w:tcPr>
          <w:p>
            <w:pPr>
              <w:keepNext/>
              <w:keepLines/>
            </w:pPr>
            <w:r>
              <w:rPr>
                <w:rFonts w:ascii="Times New Roman" w:hAnsi="Times New Roman" w:eastAsia="Times New Roman"/>
                <w:sz w:val="18"/>
              </w:rPr>
              <w:t>Constant</w:t>
            </w:r>
          </w:p>
        </w:tc>
        <w:tc>
          <w:tcPr>
            <w:tcW w:type="dxa" w:w="1512"/>
          </w:tcPr>
          <w:p>
            <w:pPr>
              <w:keepNext/>
              <w:keepLines/>
            </w:pPr>
            <w:r>
              <w:rPr>
                <w:rFonts w:ascii="Times New Roman" w:hAnsi="Times New Roman" w:eastAsia="Times New Roman"/>
                <w:sz w:val="18"/>
              </w:rPr>
              <w:t>1.0</w:t>
            </w:r>
          </w:p>
        </w:tc>
        <w:tc>
          <w:tcPr>
            <w:tcW w:type="dxa" w:w="1512"/>
          </w:tcPr>
          <w:p>
            <w:pPr>
              <w:keepNext/>
              <w:keepLines/>
            </w:pPr>
            <w:r>
              <w:rPr>
                <w:rFonts w:ascii="Times New Roman" w:hAnsi="Times New Roman" w:eastAsia="Times New Roman"/>
                <w:sz w:val="18"/>
              </w:rPr>
              <w:t>0.00</w:t>
            </w:r>
          </w:p>
        </w:tc>
        <w:tc>
          <w:tcPr>
            <w:tcW w:type="dxa" w:w="1512"/>
          </w:tcPr>
          <w:p>
            <w:pPr>
              <w:keepNext/>
              <w:keepLines/>
            </w:pPr>
            <w:r>
              <w:rPr>
                <w:rFonts w:ascii="Times New Roman" w:hAnsi="Times New Roman" w:eastAsia="Times New Roman"/>
                <w:sz w:val="18"/>
              </w:rPr>
              <w:t>0.00</w:t>
            </w:r>
          </w:p>
        </w:tc>
        <w:tc>
          <w:tcPr>
            <w:tcW w:type="dxa" w:w="1512"/>
          </w:tcPr>
          <w:p>
            <w:pPr>
              <w:keepNext/>
              <w:keepLines/>
            </w:pPr>
            <w:r>
              <w:rPr>
                <w:rFonts w:ascii="Times New Roman" w:hAnsi="Times New Roman" w:eastAsia="Times New Roman"/>
                <w:sz w:val="18"/>
              </w:rPr>
              <w:t>6.54e+3</w:t>
            </w:r>
          </w:p>
        </w:tc>
      </w:tr>
      <w:tr>
        <w:trPr>
          <w:cantSplit/>
        </w:trPr>
        <w:tc>
          <w:tcPr>
            <w:tcW w:type="dxa" w:w="1512"/>
          </w:tcPr>
          <w:p>
            <w:pPr>
              <w:keepNext/>
              <w:keepLines/>
            </w:pPr>
            <w:r>
              <w:rPr>
                <w:rFonts w:ascii="Times New Roman" w:hAnsi="Times New Roman" w:eastAsia="Times New Roman"/>
                <w:sz w:val="18"/>
              </w:rPr>
              <w:t>smooth_c30</w:t>
            </w:r>
          </w:p>
        </w:tc>
        <w:tc>
          <w:tcPr>
            <w:tcW w:type="dxa" w:w="1512"/>
          </w:tcPr>
          <w:p>
            <w:pPr>
              <w:keepNext/>
              <w:keepLines/>
            </w:pPr>
            <w:r>
              <w:rPr>
                <w:rFonts w:ascii="Times New Roman" w:hAnsi="Times New Roman" w:eastAsia="Times New Roman"/>
                <w:sz w:val="18"/>
              </w:rPr>
              <w:t>Smooth</w:t>
            </w:r>
          </w:p>
        </w:tc>
        <w:tc>
          <w:tcPr>
            <w:tcW w:type="dxa" w:w="1512"/>
          </w:tcPr>
          <w:p>
            <w:pPr>
              <w:keepNext/>
              <w:keepLines/>
            </w:pPr>
            <w:r>
              <w:rPr>
                <w:rFonts w:ascii="Times New Roman" w:hAnsi="Times New Roman" w:eastAsia="Times New Roman"/>
                <w:sz w:val="18"/>
              </w:rPr>
              <w:t>29.7</w:t>
            </w:r>
          </w:p>
        </w:tc>
        <w:tc>
          <w:tcPr>
            <w:tcW w:type="dxa" w:w="1512"/>
          </w:tcPr>
          <w:p>
            <w:pPr>
              <w:keepNext/>
              <w:keepLines/>
            </w:pPr>
            <w:r>
              <w:rPr>
                <w:rFonts w:ascii="Times New Roman" w:hAnsi="Times New Roman" w:eastAsia="Times New Roman"/>
                <w:sz w:val="18"/>
              </w:rPr>
              <w:t>16.41</w:t>
            </w:r>
          </w:p>
        </w:tc>
        <w:tc>
          <w:tcPr>
            <w:tcW w:type="dxa" w:w="1512"/>
          </w:tcPr>
          <w:p>
            <w:pPr>
              <w:keepNext/>
              <w:keepLines/>
            </w:pPr>
            <w:r>
              <w:rPr>
                <w:rFonts w:ascii="Times New Roman" w:hAnsi="Times New Roman" w:eastAsia="Times New Roman"/>
                <w:sz w:val="18"/>
              </w:rPr>
              <w:t>4.76</w:t>
            </w:r>
          </w:p>
        </w:tc>
        <w:tc>
          <w:tcPr>
            <w:tcW w:type="dxa" w:w="1512"/>
          </w:tcPr>
          <w:p>
            <w:pPr>
              <w:keepNext/>
              <w:keepLines/>
            </w:pPr>
            <w:r>
              <w:rPr>
                <w:rFonts w:ascii="Times New Roman" w:hAnsi="Times New Roman" w:eastAsia="Times New Roman"/>
                <w:sz w:val="18"/>
              </w:rPr>
              <w:t>1.38e+4</w:t>
            </w:r>
          </w:p>
        </w:tc>
      </w:tr>
      <w:tr>
        <w:trPr>
          <w:cantSplit/>
        </w:trPr>
        <w:tc>
          <w:tcPr>
            <w:tcW w:type="dxa" w:w="1512"/>
          </w:tcPr>
          <w:p>
            <w:pPr>
              <w:keepNext/>
              <w:keepLines/>
            </w:pPr>
            <w:r>
              <w:rPr>
                <w:rFonts w:ascii="Times New Roman" w:hAnsi="Times New Roman" w:eastAsia="Times New Roman"/>
                <w:sz w:val="18"/>
              </w:rPr>
              <w:t>inclusion_c100</w:t>
            </w:r>
          </w:p>
        </w:tc>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100.0</w:t>
            </w:r>
          </w:p>
        </w:tc>
        <w:tc>
          <w:tcPr>
            <w:tcW w:type="dxa" w:w="1512"/>
          </w:tcPr>
          <w:p>
            <w:pPr>
              <w:keepNext/>
              <w:keepLines/>
            </w:pPr>
            <w:r>
              <w:rPr>
                <w:rFonts w:ascii="Times New Roman" w:hAnsi="Times New Roman" w:eastAsia="Times New Roman"/>
                <w:sz w:val="18"/>
              </w:rPr>
              <w:t>205.15</w:t>
            </w:r>
          </w:p>
        </w:tc>
        <w:tc>
          <w:tcPr>
            <w:tcW w:type="dxa" w:w="1512"/>
          </w:tcPr>
          <w:p>
            <w:pPr>
              <w:keepNext/>
              <w:keepLines/>
            </w:pPr>
            <w:r>
              <w:rPr>
                <w:rFonts w:ascii="Times New Roman" w:hAnsi="Times New Roman" w:eastAsia="Times New Roman"/>
                <w:sz w:val="18"/>
              </w:rPr>
              <w:t>113.14</w:t>
            </w:r>
          </w:p>
        </w:tc>
        <w:tc>
          <w:tcPr>
            <w:tcW w:type="dxa" w:w="1512"/>
          </w:tcPr>
          <w:p>
            <w:pPr>
              <w:keepNext/>
              <w:keepLines/>
            </w:pPr>
            <w:r>
              <w:rPr>
                <w:rFonts w:ascii="Times New Roman" w:hAnsi="Times New Roman" w:eastAsia="Times New Roman"/>
                <w:sz w:val="18"/>
              </w:rPr>
              <w:t>6.43e+5</w:t>
            </w:r>
          </w:p>
        </w:tc>
      </w:tr>
      <w:tr>
        <w:trPr>
          <w:cantSplit/>
        </w:trPr>
        <w:tc>
          <w:tcPr>
            <w:tcW w:type="dxa" w:w="1512"/>
          </w:tcPr>
          <w:p>
            <w:pPr>
              <w:keepNext/>
              <w:keepLines/>
            </w:pPr>
            <w:r>
              <w:rPr>
                <w:rFonts w:ascii="Times New Roman" w:hAnsi="Times New Roman" w:eastAsia="Times New Roman"/>
                <w:sz w:val="18"/>
              </w:rPr>
              <w:t>layered_c100</w:t>
            </w:r>
          </w:p>
        </w:tc>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100.0</w:t>
            </w:r>
          </w:p>
        </w:tc>
        <w:tc>
          <w:tcPr>
            <w:tcW w:type="dxa" w:w="1512"/>
          </w:tcPr>
          <w:p>
            <w:pPr>
              <w:keepNext/>
              <w:keepLines/>
            </w:pPr>
            <w:r>
              <w:rPr>
                <w:rFonts w:ascii="Times New Roman" w:hAnsi="Times New Roman" w:eastAsia="Times New Roman"/>
                <w:sz w:val="18"/>
              </w:rPr>
              <w:t>145.06</w:t>
            </w:r>
          </w:p>
        </w:tc>
        <w:tc>
          <w:tcPr>
            <w:tcW w:type="dxa" w:w="1512"/>
          </w:tcPr>
          <w:p>
            <w:pPr>
              <w:keepNext/>
              <w:keepLines/>
            </w:pPr>
            <w:r>
              <w:rPr>
                <w:rFonts w:ascii="Times New Roman" w:hAnsi="Times New Roman" w:eastAsia="Times New Roman"/>
                <w:sz w:val="18"/>
              </w:rPr>
              <w:t>100.57</w:t>
            </w:r>
          </w:p>
        </w:tc>
        <w:tc>
          <w:tcPr>
            <w:tcW w:type="dxa" w:w="1512"/>
          </w:tcPr>
          <w:p>
            <w:pPr>
              <w:keepNext/>
              <w:keepLines/>
            </w:pPr>
            <w:r>
              <w:rPr>
                <w:rFonts w:ascii="Times New Roman" w:hAnsi="Times New Roman" w:eastAsia="Times New Roman"/>
                <w:sz w:val="18"/>
              </w:rPr>
              <w:t>2.61e+5</w:t>
            </w:r>
          </w:p>
        </w:tc>
      </w:tr>
      <w:tr>
        <w:trPr>
          <w:cantSplit/>
        </w:trPr>
        <w:tc>
          <w:tcPr>
            <w:tcW w:type="dxa" w:w="1512"/>
          </w:tcPr>
          <w:p>
            <w:pPr>
              <w:keepNext w:val="0"/>
              <w:keepLines/>
            </w:pPr>
            <w:r>
              <w:rPr>
                <w:rFonts w:ascii="Times New Roman" w:hAnsi="Times New Roman" w:eastAsia="Times New Roman"/>
                <w:sz w:val="18"/>
              </w:rPr>
              <w:t>checkerboard_c100</w:t>
            </w:r>
          </w:p>
        </w:tc>
        <w:tc>
          <w:tcPr>
            <w:tcW w:type="dxa" w:w="1512"/>
          </w:tcPr>
          <w:p>
            <w:pPr>
              <w:keepNext w:val="0"/>
              <w:keepLines/>
            </w:pPr>
            <w:r>
              <w:rPr>
                <w:rFonts w:ascii="Times New Roman" w:hAnsi="Times New Roman" w:eastAsia="Times New Roman"/>
                <w:sz w:val="18"/>
              </w:rPr>
              <w:t>Checkerboard</w:t>
            </w:r>
          </w:p>
        </w:tc>
        <w:tc>
          <w:tcPr>
            <w:tcW w:type="dxa" w:w="1512"/>
          </w:tcPr>
          <w:p>
            <w:pPr>
              <w:keepNext w:val="0"/>
              <w:keepLines/>
            </w:pPr>
            <w:r>
              <w:rPr>
                <w:rFonts w:ascii="Times New Roman" w:hAnsi="Times New Roman" w:eastAsia="Times New Roman"/>
                <w:sz w:val="18"/>
              </w:rPr>
              <w:t>100.0</w:t>
            </w:r>
          </w:p>
        </w:tc>
        <w:tc>
          <w:tcPr>
            <w:tcW w:type="dxa" w:w="1512"/>
          </w:tcPr>
          <w:p>
            <w:pPr>
              <w:keepNext w:val="0"/>
              <w:keepLines/>
            </w:pPr>
            <w:r>
              <w:rPr>
                <w:rFonts w:ascii="Times New Roman" w:hAnsi="Times New Roman" w:eastAsia="Times New Roman"/>
                <w:sz w:val="18"/>
              </w:rPr>
              <w:t>205.15</w:t>
            </w:r>
          </w:p>
        </w:tc>
        <w:tc>
          <w:tcPr>
            <w:tcW w:type="dxa" w:w="1512"/>
          </w:tcPr>
          <w:p>
            <w:pPr>
              <w:keepNext w:val="0"/>
              <w:keepLines/>
            </w:pPr>
            <w:r>
              <w:rPr>
                <w:rFonts w:ascii="Times New Roman" w:hAnsi="Times New Roman" w:eastAsia="Times New Roman"/>
                <w:sz w:val="18"/>
              </w:rPr>
              <w:t>1408.00</w:t>
            </w:r>
          </w:p>
        </w:tc>
        <w:tc>
          <w:tcPr>
            <w:tcW w:type="dxa" w:w="1512"/>
          </w:tcPr>
          <w:p>
            <w:pPr>
              <w:keepNext w:val="0"/>
              <w:keepLines/>
            </w:pPr>
            <w:r>
              <w:rPr>
                <w:rFonts w:ascii="Times New Roman" w:hAnsi="Times New Roman" w:eastAsia="Times New Roman"/>
                <w:sz w:val="18"/>
              </w:rPr>
              <w:t>3.12e+4</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804840"/>
            <wp:docPr id="2" name="Picture 2"/>
            <wp:cNvGraphicFramePr>
              <a:graphicFrameLocks noChangeAspect="1"/>
            </wp:cNvGraphicFramePr>
            <a:graphic>
              <a:graphicData uri="http://schemas.openxmlformats.org/drawingml/2006/picture">
                <pic:pic>
                  <pic:nvPicPr>
                    <pic:cNvPr id="0" name="conditioning.png"/>
                    <pic:cNvPicPr/>
                  </pic:nvPicPr>
                  <pic:blipFill>
                    <a:blip r:embed="rId12"/>
                    <a:stretch>
                      <a:fillRect/>
                    </a:stretch>
                  </pic:blipFill>
                  <pic:spPr>
                    <a:xfrm>
                      <a:off x="0" y="0"/>
                      <a:ext cx="4434840" cy="2804840"/>
                    </a:xfrm>
                    <a:prstGeom prst="rect"/>
                  </pic:spPr>
                </pic:pic>
              </a:graphicData>
            </a:graphic>
          </wp:inline>
        </w:drawing>
      </w:r>
    </w:p>
    <w:p>
      <w:pPr>
        <w:pStyle w:val="IOP-CS-CaptionText"/>
        <w:keepLines/>
      </w:pPr>
      <w:r>
        <w:rPr>
          <w:rFonts w:ascii="Times New Roman" w:hAnsi="Times New Roman" w:eastAsia="Times New Roman"/>
        </w:rPr>
        <w:t>Figure 2. Computed condition-number response to coefficient contrast and coefficient geometry.</w:t>
      </w:r>
    </w:p>
    <w:p>
      <w:pPr>
        <w:pStyle w:val="IOP-CS-BodyText"/>
      </w:pPr>
      <w:r>
        <w:rPr>
          <w:rFonts w:ascii="Times New Roman" w:hAnsi="Times New Roman" w:eastAsia="Times New Roman"/>
        </w:rPr>
        <w:t>The supplementary rank-correlation table distinguishes pooled size effects from fixed-grid coefficient comparisons. The matched condition estimate has pooled correlation 0.94 with selected-solver speedup, but fixed-grid samples contain only 13 cases and their case-resampling intervals overlap. These are descriptive ordering signals, not population confidence guarantees. The matched-field audit below tests descriptor sufficiency directly, rather than inferring it from pooled correlation.</w:t>
      </w:r>
    </w:p>
    <w:p>
      <w:pPr>
        <w:pStyle w:val="IOP-CS-SubsectionHeading"/>
        <w:keepNext/>
        <w:keepLines/>
      </w:pPr>
      <w:r>
        <w:rPr>
          <w:rFonts w:ascii="Times New Roman" w:hAnsi="Times New Roman" w:eastAsia="Times New Roman"/>
        </w:rPr>
        <w:t>5.2. Solver Decision Map and Preconditioner Effect</w:t>
      </w:r>
    </w:p>
    <w:p>
      <w:pPr>
        <w:pStyle w:val="IOP-CS-BodyNoIndent"/>
      </w:pPr>
      <w:r>
        <w:rPr>
          <w:rFonts w:ascii="Times New Roman" w:hAnsi="Times New Roman" w:eastAsia="Times New Roman"/>
        </w:rPr>
        <w:t>The single-pass setup-inclusive decision map records a resolution-dependent outcome. Within each grid size the winning class is the same across all tested coefficient fields, so this map supplies no evidence that descriptors improve prediction of the winner beyond resolution alone. Over the 13 coefficient cases, Jacobi-PCG was fastest in every N = 64 run, while AMG-PCG was fastest in every N = 128 and N = 256 run. Table 4 summarises this transition. The median speedup of the selected solver over CG increased from 2.79x at N = 64 to 7.80x at N = 256, and the largest speedup reached 25.72x for the layered Ck = 100 case. Because each decision-map cell uses one timing pass, this map is interpreted together with the repeated representative cases below.</w:t>
      </w:r>
    </w:p>
    <w:p>
      <w:pPr>
        <w:pStyle w:val="IOP-CS-CaptionText"/>
        <w:keepNext/>
        <w:keepLines/>
      </w:pPr>
      <w:r>
        <w:rPr>
          <w:rFonts w:ascii="Times New Roman" w:hAnsi="Times New Roman" w:eastAsia="Times New Roman"/>
        </w:rPr>
        <w:t>Table 4. Setup-inclusive single-solve decision summary over the coefficient-family grid. Counts report the fastest converged method by setup-plus-solve time from one timing pass per cell.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tblHeader/>
        </w:trPr>
        <w:tc>
          <w:tcPr>
            <w:tcW w:type="dxa" w:w="1296"/>
          </w:tcPr>
          <w:p>
            <w:pPr>
              <w:keepNext/>
              <w:keepLines/>
            </w:pPr>
            <w:r>
              <w:rPr>
                <w:rFonts w:ascii="Times New Roman" w:hAnsi="Times New Roman" w:eastAsia="Times New Roman"/>
                <w:b/>
                <w:sz w:val="18"/>
              </w:rPr>
              <w:t>N</w:t>
            </w:r>
          </w:p>
        </w:tc>
        <w:tc>
          <w:tcPr>
            <w:tcW w:type="dxa" w:w="1296"/>
          </w:tcPr>
          <w:p>
            <w:pPr>
              <w:keepNext/>
              <w:keepLines/>
            </w:pPr>
            <w:r>
              <w:rPr>
                <w:rFonts w:ascii="Times New Roman" w:hAnsi="Times New Roman" w:eastAsia="Times New Roman"/>
                <w:b/>
                <w:sz w:val="18"/>
              </w:rPr>
              <w:t>Cases</w:t>
            </w:r>
          </w:p>
        </w:tc>
        <w:tc>
          <w:tcPr>
            <w:tcW w:type="dxa" w:w="1296"/>
          </w:tcPr>
          <w:p>
            <w:pPr>
              <w:keepNext/>
              <w:keepLines/>
            </w:pPr>
            <w:r>
              <w:rPr>
                <w:rFonts w:ascii="Times New Roman" w:hAnsi="Times New Roman" w:eastAsia="Times New Roman"/>
                <w:b/>
                <w:sz w:val="18"/>
              </w:rPr>
              <w:t>CG</w:t>
            </w:r>
          </w:p>
        </w:tc>
        <w:tc>
          <w:tcPr>
            <w:tcW w:type="dxa" w:w="1296"/>
          </w:tcPr>
          <w:p>
            <w:pPr>
              <w:keepNext/>
              <w:keepLines/>
            </w:pPr>
            <w:r>
              <w:rPr>
                <w:rFonts w:ascii="Times New Roman" w:hAnsi="Times New Roman" w:eastAsia="Times New Roman"/>
                <w:b/>
                <w:sz w:val="18"/>
              </w:rPr>
              <w:t>Jacobi-PCG</w:t>
            </w:r>
          </w:p>
        </w:tc>
        <w:tc>
          <w:tcPr>
            <w:tcW w:type="dxa" w:w="1296"/>
          </w:tcPr>
          <w:p>
            <w:pPr>
              <w:keepNext/>
              <w:keepLines/>
            </w:pPr>
            <w:r>
              <w:rPr>
                <w:rFonts w:ascii="Times New Roman" w:hAnsi="Times New Roman" w:eastAsia="Times New Roman"/>
                <w:b/>
                <w:sz w:val="18"/>
              </w:rPr>
              <w:t>AMG-PCG</w:t>
            </w:r>
          </w:p>
        </w:tc>
        <w:tc>
          <w:tcPr>
            <w:tcW w:type="dxa" w:w="1296"/>
          </w:tcPr>
          <w:p>
            <w:pPr>
              <w:keepNext/>
              <w:keepLines/>
            </w:pPr>
            <w:r>
              <w:rPr>
                <w:rFonts w:ascii="Times New Roman" w:hAnsi="Times New Roman" w:eastAsia="Times New Roman"/>
                <w:b/>
                <w:sz w:val="18"/>
              </w:rPr>
              <w:t>Median speedup</w:t>
            </w:r>
          </w:p>
        </w:tc>
        <w:tc>
          <w:tcPr>
            <w:tcW w:type="dxa" w:w="1296"/>
          </w:tcPr>
          <w:p>
            <w:pPr>
              <w:keepNext/>
              <w:keepLines/>
            </w:pPr>
            <w:r>
              <w:rPr>
                <w:rFonts w:ascii="Times New Roman" w:hAnsi="Times New Roman" w:eastAsia="Times New Roman"/>
                <w:b/>
                <w:sz w:val="18"/>
              </w:rPr>
              <w:t>Max speedup</w:t>
            </w:r>
          </w:p>
        </w:tc>
      </w:tr>
      <w:tr>
        <w:trPr>
          <w:cantSplit/>
        </w:trPr>
        <w:tc>
          <w:tcPr>
            <w:tcW w:type="dxa" w:w="1296"/>
          </w:tcPr>
          <w:p>
            <w:pPr>
              <w:keepNext/>
              <w:keepLines/>
            </w:pPr>
            <w:r>
              <w:rPr>
                <w:rFonts w:ascii="Times New Roman" w:hAnsi="Times New Roman" w:eastAsia="Times New Roman"/>
                <w:sz w:val="18"/>
              </w:rPr>
              <w:t>64</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2.79</w:t>
            </w:r>
          </w:p>
        </w:tc>
        <w:tc>
          <w:tcPr>
            <w:tcW w:type="dxa" w:w="1296"/>
          </w:tcPr>
          <w:p>
            <w:pPr>
              <w:keepNext/>
              <w:keepLines/>
            </w:pPr>
            <w:r>
              <w:rPr>
                <w:rFonts w:ascii="Times New Roman" w:hAnsi="Times New Roman" w:eastAsia="Times New Roman"/>
                <w:sz w:val="18"/>
              </w:rPr>
              <w:t>6.76</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5.44</w:t>
            </w:r>
          </w:p>
        </w:tc>
        <w:tc>
          <w:tcPr>
            <w:tcW w:type="dxa" w:w="1296"/>
          </w:tcPr>
          <w:p>
            <w:pPr>
              <w:keepNext/>
              <w:keepLines/>
            </w:pPr>
            <w:r>
              <w:rPr>
                <w:rFonts w:ascii="Times New Roman" w:hAnsi="Times New Roman" w:eastAsia="Times New Roman"/>
                <w:sz w:val="18"/>
              </w:rPr>
              <w:t>19.40</w:t>
            </w:r>
          </w:p>
        </w:tc>
      </w:tr>
      <w:tr>
        <w:trPr>
          <w:cantSplit/>
        </w:trPr>
        <w:tc>
          <w:tcPr>
            <w:tcW w:type="dxa" w:w="1296"/>
          </w:tcPr>
          <w:p>
            <w:pPr>
              <w:keepNext w:val="0"/>
              <w:keepLines/>
            </w:pPr>
            <w:r>
              <w:rPr>
                <w:rFonts w:ascii="Times New Roman" w:hAnsi="Times New Roman" w:eastAsia="Times New Roman"/>
                <w:sz w:val="18"/>
              </w:rPr>
              <w:t>256</w:t>
            </w:r>
          </w:p>
        </w:tc>
        <w:tc>
          <w:tcPr>
            <w:tcW w:type="dxa" w:w="1296"/>
          </w:tcPr>
          <w:p>
            <w:pPr>
              <w:keepNext w:val="0"/>
              <w:keepLines/>
            </w:pPr>
            <w:r>
              <w:rPr>
                <w:rFonts w:ascii="Times New Roman" w:hAnsi="Times New Roman" w:eastAsia="Times New Roman"/>
                <w:sz w:val="18"/>
              </w:rPr>
              <w:t>13</w:t>
            </w:r>
          </w:p>
        </w:tc>
        <w:tc>
          <w:tcPr>
            <w:tcW w:type="dxa" w:w="1296"/>
          </w:tcPr>
          <w:p>
            <w:pPr>
              <w:keepNext w:val="0"/>
              <w:keepLines/>
            </w:pPr>
            <w:r>
              <w:rPr>
                <w:rFonts w:ascii="Times New Roman" w:hAnsi="Times New Roman" w:eastAsia="Times New Roman"/>
                <w:sz w:val="18"/>
              </w:rPr>
              <w:t>0</w:t>
            </w:r>
          </w:p>
        </w:tc>
        <w:tc>
          <w:tcPr>
            <w:tcW w:type="dxa" w:w="1296"/>
          </w:tcPr>
          <w:p>
            <w:pPr>
              <w:keepNext w:val="0"/>
              <w:keepLines/>
            </w:pPr>
            <w:r>
              <w:rPr>
                <w:rFonts w:ascii="Times New Roman" w:hAnsi="Times New Roman" w:eastAsia="Times New Roman"/>
                <w:sz w:val="18"/>
              </w:rPr>
              <w:t>0</w:t>
            </w:r>
          </w:p>
        </w:tc>
        <w:tc>
          <w:tcPr>
            <w:tcW w:type="dxa" w:w="1296"/>
          </w:tcPr>
          <w:p>
            <w:pPr>
              <w:keepNext w:val="0"/>
              <w:keepLines/>
            </w:pPr>
            <w:r>
              <w:rPr>
                <w:rFonts w:ascii="Times New Roman" w:hAnsi="Times New Roman" w:eastAsia="Times New Roman"/>
                <w:sz w:val="18"/>
              </w:rPr>
              <w:t>13</w:t>
            </w:r>
          </w:p>
        </w:tc>
        <w:tc>
          <w:tcPr>
            <w:tcW w:type="dxa" w:w="1296"/>
          </w:tcPr>
          <w:p>
            <w:pPr>
              <w:keepNext w:val="0"/>
              <w:keepLines/>
            </w:pPr>
            <w:r>
              <w:rPr>
                <w:rFonts w:ascii="Times New Roman" w:hAnsi="Times New Roman" w:eastAsia="Times New Roman"/>
                <w:sz w:val="18"/>
              </w:rPr>
              <w:t>7.80</w:t>
            </w:r>
          </w:p>
        </w:tc>
        <w:tc>
          <w:tcPr>
            <w:tcW w:type="dxa" w:w="1296"/>
          </w:tcPr>
          <w:p>
            <w:pPr>
              <w:keepNext w:val="0"/>
              <w:keepLines/>
            </w:pPr>
            <w:r>
              <w:rPr>
                <w:rFonts w:ascii="Times New Roman" w:hAnsi="Times New Roman" w:eastAsia="Times New Roman"/>
                <w:sz w:val="18"/>
              </w:rPr>
              <w:t>25.72</w:t>
            </w:r>
          </w:p>
        </w:tc>
      </w:tr>
    </w:tbl>
    <w:p>
      <w:pPr>
        <w:spacing w:line="240" w:lineRule="auto" w:before="0" w:after="40"/>
      </w:pPr>
      <w:r>
        <w:rPr>
          <w:sz w:val="4"/>
        </w:rPr>
        <w:t xml:space="preserve"> </w:t>
      </w:r>
    </w:p>
    <w:p>
      <w:pPr>
        <w:pStyle w:val="IOP-CS-BodyText"/>
      </w:pPr>
      <w:r>
        <w:rPr>
          <w:rFonts w:ascii="Times New Roman" w:hAnsi="Times New Roman" w:eastAsia="Times New Roman"/>
        </w:rPr>
        <w:t>The complete arithmetic/harmonic sensitivity results are reported below in Table 6.</w:t>
      </w:r>
    </w:p>
    <w:p>
      <w:pPr>
        <w:pStyle w:val="IOP-CS-BodyText"/>
      </w:pPr>
      <w:r>
        <w:rPr>
          <w:rFonts w:ascii="Times New Roman" w:hAnsi="Times New Roman" w:eastAsia="Times New Roman"/>
        </w:rPr>
        <w:t>The supplementary timing-stability table reports all 15 case-size cells in the existing repeated-timing dataset. The median-best solver also won all five individual repeats in 14 cells: Jacobi-PCG for the four nonconstant N = 64 cases, and AMG-PCG for all five cases at both N = 128 and N = 256. The constant N = 64 cell is a near tie: the median favours Jacobi-PCG by only 1.03x, while CG wins four repeats. For constant conductivity on this uniform grid, the diagonal is a scalar multiple of the identity; Jacobi therefore does not improve the spectral condition number and yields equivalent CG iterates in exact arithmetic. The archived single-pass CG and Jacobi-PCG iteration counts agree at all three sizes. Their small-grid timing difference is not evidence of an iteration-reduction benefit.</w:t>
      </w:r>
    </w:p>
    <w:p>
      <w:pPr>
        <w:pStyle w:val="IOP-CS-BodyText"/>
      </w:pPr>
      <w:r>
        <w:rPr>
          <w:rFonts w:ascii="Times New Roman" w:hAnsi="Times New Roman" w:eastAsia="Times New Roman"/>
        </w:rPr>
        <w:t>Solver behaviour changed substantially when the coefficient field became high contrast. At N = 256, unpreconditioned CG required 4370 iterations in the high-contrast case, compared with 770 iterations in the smooth case. Jacobi preconditioning reduced the high-contrast iteration count to 535, while AMG-PCG reduced it to 12. Total time fell from 6.155 s for CG to 0.288 s for AMG-PCG in the high-contrast case. Table 5 summarises the finest-grid comparison, and Figure 3 shows total-time scaling across grid sizes. The iteration-scaling figure is retained in the supplementary artefact.</w:t>
      </w:r>
    </w:p>
    <w:p>
      <w:pPr>
        <w:pStyle w:val="IOP-CS-CaptionText"/>
        <w:keepNext/>
        <w:keepLines/>
      </w:pPr>
      <w:r>
        <w:rPr>
          <w:rFonts w:ascii="Times New Roman" w:hAnsi="Times New Roman" w:eastAsia="Times New Roman"/>
        </w:rPr>
        <w:t>Table 5. Solver comparison at N = 256 grid points in each direction.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Case</w:t>
            </w:r>
          </w:p>
        </w:tc>
        <w:tc>
          <w:tcPr>
            <w:tcW w:type="dxa" w:w="1814"/>
          </w:tcPr>
          <w:p>
            <w:pPr>
              <w:keepNext/>
              <w:keepLines/>
            </w:pPr>
            <w:r>
              <w:rPr>
                <w:rFonts w:ascii="Times New Roman" w:hAnsi="Times New Roman" w:eastAsia="Times New Roman"/>
                <w:b/>
                <w:sz w:val="18"/>
              </w:rPr>
              <w:t>Method</w:t>
            </w:r>
          </w:p>
        </w:tc>
        <w:tc>
          <w:tcPr>
            <w:tcW w:type="dxa" w:w="1814"/>
          </w:tcPr>
          <w:p>
            <w:pPr>
              <w:keepNext/>
              <w:keepLines/>
            </w:pPr>
            <w:r>
              <w:rPr>
                <w:rFonts w:ascii="Times New Roman" w:hAnsi="Times New Roman" w:eastAsia="Times New Roman"/>
                <w:b/>
                <w:sz w:val="18"/>
              </w:rPr>
              <w:t>Iter.</w:t>
            </w:r>
          </w:p>
        </w:tc>
        <w:tc>
          <w:tcPr>
            <w:tcW w:type="dxa" w:w="1814"/>
          </w:tcPr>
          <w:p>
            <w:pPr>
              <w:keepNext/>
              <w:keepLines/>
            </w:pPr>
            <w:r>
              <w:rPr>
                <w:rFonts w:ascii="Times New Roman" w:hAnsi="Times New Roman" w:eastAsia="Times New Roman"/>
                <w:b/>
                <w:sz w:val="18"/>
              </w:rPr>
              <w:t>Time (s)</w:t>
            </w:r>
          </w:p>
        </w:tc>
        <w:tc>
          <w:tcPr>
            <w:tcW w:type="dxa" w:w="1814"/>
          </w:tcPr>
          <w:p>
            <w:pPr>
              <w:keepNext/>
              <w:keepLines/>
            </w:pPr>
            <w:r>
              <w:rPr>
                <w:rFonts w:ascii="Times New Roman" w:hAnsi="Times New Roman" w:eastAsia="Times New Roman"/>
                <w:b/>
                <w:sz w:val="18"/>
              </w:rPr>
              <w:t>Rel. residual</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CG</w:t>
            </w:r>
          </w:p>
        </w:tc>
        <w:tc>
          <w:tcPr>
            <w:tcW w:type="dxa" w:w="1814"/>
          </w:tcPr>
          <w:p>
            <w:pPr>
              <w:keepNext/>
              <w:keepLines/>
            </w:pPr>
            <w:r>
              <w:rPr>
                <w:rFonts w:ascii="Times New Roman" w:hAnsi="Times New Roman" w:eastAsia="Times New Roman"/>
                <w:sz w:val="18"/>
              </w:rPr>
              <w:t>770</w:t>
            </w:r>
          </w:p>
        </w:tc>
        <w:tc>
          <w:tcPr>
            <w:tcW w:type="dxa" w:w="1814"/>
          </w:tcPr>
          <w:p>
            <w:pPr>
              <w:keepNext/>
              <w:keepLines/>
            </w:pPr>
            <w:r>
              <w:rPr>
                <w:rFonts w:ascii="Times New Roman" w:hAnsi="Times New Roman" w:eastAsia="Times New Roman"/>
                <w:sz w:val="18"/>
              </w:rPr>
              <w:t>0.939</w:t>
            </w:r>
          </w:p>
        </w:tc>
        <w:tc>
          <w:tcPr>
            <w:tcW w:type="dxa" w:w="1814"/>
          </w:tcPr>
          <w:p>
            <w:pPr>
              <w:keepNext/>
              <w:keepLines/>
            </w:pPr>
            <w:r>
              <w:rPr>
                <w:rFonts w:ascii="Times New Roman" w:hAnsi="Times New Roman" w:eastAsia="Times New Roman"/>
                <w:sz w:val="18"/>
              </w:rPr>
              <w:t>9.71e-9</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Jacobi-PCG</w:t>
            </w:r>
          </w:p>
        </w:tc>
        <w:tc>
          <w:tcPr>
            <w:tcW w:type="dxa" w:w="1814"/>
          </w:tcPr>
          <w:p>
            <w:pPr>
              <w:keepNext/>
              <w:keepLines/>
            </w:pPr>
            <w:r>
              <w:rPr>
                <w:rFonts w:ascii="Times New Roman" w:hAnsi="Times New Roman" w:eastAsia="Times New Roman"/>
                <w:sz w:val="18"/>
              </w:rPr>
              <w:t>605</w:t>
            </w:r>
          </w:p>
        </w:tc>
        <w:tc>
          <w:tcPr>
            <w:tcW w:type="dxa" w:w="1814"/>
          </w:tcPr>
          <w:p>
            <w:pPr>
              <w:keepNext/>
              <w:keepLines/>
            </w:pPr>
            <w:r>
              <w:rPr>
                <w:rFonts w:ascii="Times New Roman" w:hAnsi="Times New Roman" w:eastAsia="Times New Roman"/>
                <w:sz w:val="18"/>
              </w:rPr>
              <w:t>0.829</w:t>
            </w:r>
          </w:p>
        </w:tc>
        <w:tc>
          <w:tcPr>
            <w:tcW w:type="dxa" w:w="1814"/>
          </w:tcPr>
          <w:p>
            <w:pPr>
              <w:keepNext/>
              <w:keepLines/>
            </w:pPr>
            <w:r>
              <w:rPr>
                <w:rFonts w:ascii="Times New Roman" w:hAnsi="Times New Roman" w:eastAsia="Times New Roman"/>
                <w:sz w:val="18"/>
              </w:rPr>
              <w:t>9.88e-9</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AMG-PCG</w:t>
            </w:r>
          </w:p>
        </w:tc>
        <w:tc>
          <w:tcPr>
            <w:tcW w:type="dxa" w:w="1814"/>
          </w:tcPr>
          <w:p>
            <w:pPr>
              <w:keepNext/>
              <w:keepLines/>
            </w:pPr>
            <w:r>
              <w:rPr>
                <w:rFonts w:ascii="Times New Roman" w:hAnsi="Times New Roman" w:eastAsia="Times New Roman"/>
                <w:sz w:val="18"/>
              </w:rPr>
              <w:t>9</w:t>
            </w:r>
          </w:p>
        </w:tc>
        <w:tc>
          <w:tcPr>
            <w:tcW w:type="dxa" w:w="1814"/>
          </w:tcPr>
          <w:p>
            <w:pPr>
              <w:keepNext/>
              <w:keepLines/>
            </w:pPr>
            <w:r>
              <w:rPr>
                <w:rFonts w:ascii="Times New Roman" w:hAnsi="Times New Roman" w:eastAsia="Times New Roman"/>
                <w:sz w:val="18"/>
              </w:rPr>
              <w:t>0.240</w:t>
            </w:r>
          </w:p>
        </w:tc>
        <w:tc>
          <w:tcPr>
            <w:tcW w:type="dxa" w:w="1814"/>
          </w:tcPr>
          <w:p>
            <w:pPr>
              <w:keepNext/>
              <w:keepLines/>
            </w:pPr>
            <w:r>
              <w:rPr>
                <w:rFonts w:ascii="Times New Roman" w:hAnsi="Times New Roman" w:eastAsia="Times New Roman"/>
                <w:sz w:val="18"/>
              </w:rPr>
              <w:t>4.82e-9</w:t>
            </w:r>
          </w:p>
        </w:tc>
      </w:tr>
      <w:tr>
        <w:trPr>
          <w:cantSplit/>
        </w:trPr>
        <w:tc>
          <w:tcPr>
            <w:tcW w:type="dxa" w:w="1814"/>
          </w:tcPr>
          <w:p>
            <w:pPr>
              <w:keepNext/>
              <w:keepLines/>
            </w:pPr>
            <w:r>
              <w:rPr>
                <w:rFonts w:ascii="Times New Roman" w:hAnsi="Times New Roman" w:eastAsia="Times New Roman"/>
                <w:sz w:val="18"/>
              </w:rPr>
              <w:t>High contrast</w:t>
            </w:r>
          </w:p>
        </w:tc>
        <w:tc>
          <w:tcPr>
            <w:tcW w:type="dxa" w:w="1814"/>
          </w:tcPr>
          <w:p>
            <w:pPr>
              <w:keepNext/>
              <w:keepLines/>
            </w:pPr>
            <w:r>
              <w:rPr>
                <w:rFonts w:ascii="Times New Roman" w:hAnsi="Times New Roman" w:eastAsia="Times New Roman"/>
                <w:sz w:val="18"/>
              </w:rPr>
              <w:t>CG</w:t>
            </w:r>
          </w:p>
        </w:tc>
        <w:tc>
          <w:tcPr>
            <w:tcW w:type="dxa" w:w="1814"/>
          </w:tcPr>
          <w:p>
            <w:pPr>
              <w:keepNext/>
              <w:keepLines/>
            </w:pPr>
            <w:r>
              <w:rPr>
                <w:rFonts w:ascii="Times New Roman" w:hAnsi="Times New Roman" w:eastAsia="Times New Roman"/>
                <w:sz w:val="18"/>
              </w:rPr>
              <w:t>4370</w:t>
            </w:r>
          </w:p>
        </w:tc>
        <w:tc>
          <w:tcPr>
            <w:tcW w:type="dxa" w:w="1814"/>
          </w:tcPr>
          <w:p>
            <w:pPr>
              <w:keepNext/>
              <w:keepLines/>
            </w:pPr>
            <w:r>
              <w:rPr>
                <w:rFonts w:ascii="Times New Roman" w:hAnsi="Times New Roman" w:eastAsia="Times New Roman"/>
                <w:sz w:val="18"/>
              </w:rPr>
              <w:t>6.155</w:t>
            </w:r>
          </w:p>
        </w:tc>
        <w:tc>
          <w:tcPr>
            <w:tcW w:type="dxa" w:w="1814"/>
          </w:tcPr>
          <w:p>
            <w:pPr>
              <w:keepNext/>
              <w:keepLines/>
            </w:pPr>
            <w:r>
              <w:rPr>
                <w:rFonts w:ascii="Times New Roman" w:hAnsi="Times New Roman" w:eastAsia="Times New Roman"/>
                <w:sz w:val="18"/>
              </w:rPr>
              <w:t>9.95e-9</w:t>
            </w:r>
          </w:p>
        </w:tc>
      </w:tr>
      <w:tr>
        <w:trPr>
          <w:cantSplit/>
        </w:trPr>
        <w:tc>
          <w:tcPr>
            <w:tcW w:type="dxa" w:w="1814"/>
          </w:tcPr>
          <w:p>
            <w:pPr>
              <w:keepNext/>
              <w:keepLines/>
            </w:pPr>
            <w:r>
              <w:rPr>
                <w:rFonts w:ascii="Times New Roman" w:hAnsi="Times New Roman" w:eastAsia="Times New Roman"/>
                <w:sz w:val="18"/>
              </w:rPr>
              <w:t>High contrast</w:t>
            </w:r>
          </w:p>
        </w:tc>
        <w:tc>
          <w:tcPr>
            <w:tcW w:type="dxa" w:w="1814"/>
          </w:tcPr>
          <w:p>
            <w:pPr>
              <w:keepNext/>
              <w:keepLines/>
            </w:pPr>
            <w:r>
              <w:rPr>
                <w:rFonts w:ascii="Times New Roman" w:hAnsi="Times New Roman" w:eastAsia="Times New Roman"/>
                <w:sz w:val="18"/>
              </w:rPr>
              <w:t>Jacobi-PCG</w:t>
            </w:r>
          </w:p>
        </w:tc>
        <w:tc>
          <w:tcPr>
            <w:tcW w:type="dxa" w:w="1814"/>
          </w:tcPr>
          <w:p>
            <w:pPr>
              <w:keepNext/>
              <w:keepLines/>
            </w:pPr>
            <w:r>
              <w:rPr>
                <w:rFonts w:ascii="Times New Roman" w:hAnsi="Times New Roman" w:eastAsia="Times New Roman"/>
                <w:sz w:val="18"/>
              </w:rPr>
              <w:t>535</w:t>
            </w:r>
          </w:p>
        </w:tc>
        <w:tc>
          <w:tcPr>
            <w:tcW w:type="dxa" w:w="1814"/>
          </w:tcPr>
          <w:p>
            <w:pPr>
              <w:keepNext/>
              <w:keepLines/>
            </w:pPr>
            <w:r>
              <w:rPr>
                <w:rFonts w:ascii="Times New Roman" w:hAnsi="Times New Roman" w:eastAsia="Times New Roman"/>
                <w:sz w:val="18"/>
              </w:rPr>
              <w:t>0.728</w:t>
            </w:r>
          </w:p>
        </w:tc>
        <w:tc>
          <w:tcPr>
            <w:tcW w:type="dxa" w:w="1814"/>
          </w:tcPr>
          <w:p>
            <w:pPr>
              <w:keepNext/>
              <w:keepLines/>
            </w:pPr>
            <w:r>
              <w:rPr>
                <w:rFonts w:ascii="Times New Roman" w:hAnsi="Times New Roman" w:eastAsia="Times New Roman"/>
                <w:sz w:val="18"/>
              </w:rPr>
              <w:t>9.14e-9</w:t>
            </w:r>
          </w:p>
        </w:tc>
      </w:tr>
      <w:tr>
        <w:trPr>
          <w:cantSplit/>
        </w:trPr>
        <w:tc>
          <w:tcPr>
            <w:tcW w:type="dxa" w:w="1814"/>
          </w:tcPr>
          <w:p>
            <w:pPr>
              <w:keepNext w:val="0"/>
              <w:keepLines/>
            </w:pPr>
            <w:r>
              <w:rPr>
                <w:rFonts w:ascii="Times New Roman" w:hAnsi="Times New Roman" w:eastAsia="Times New Roman"/>
                <w:sz w:val="18"/>
              </w:rPr>
              <w:t>High contrast</w:t>
            </w:r>
          </w:p>
        </w:tc>
        <w:tc>
          <w:tcPr>
            <w:tcW w:type="dxa" w:w="1814"/>
          </w:tcPr>
          <w:p>
            <w:pPr>
              <w:keepNext w:val="0"/>
              <w:keepLines/>
            </w:pPr>
            <w:r>
              <w:rPr>
                <w:rFonts w:ascii="Times New Roman" w:hAnsi="Times New Roman" w:eastAsia="Times New Roman"/>
                <w:sz w:val="18"/>
              </w:rPr>
              <w:t>AMG-PCG</w:t>
            </w:r>
          </w:p>
        </w:tc>
        <w:tc>
          <w:tcPr>
            <w:tcW w:type="dxa" w:w="1814"/>
          </w:tcPr>
          <w:p>
            <w:pPr>
              <w:keepNext w:val="0"/>
              <w:keepLines/>
            </w:pPr>
            <w:r>
              <w:rPr>
                <w:rFonts w:ascii="Times New Roman" w:hAnsi="Times New Roman" w:eastAsia="Times New Roman"/>
                <w:sz w:val="18"/>
              </w:rPr>
              <w:t>12</w:t>
            </w:r>
          </w:p>
        </w:tc>
        <w:tc>
          <w:tcPr>
            <w:tcW w:type="dxa" w:w="1814"/>
          </w:tcPr>
          <w:p>
            <w:pPr>
              <w:keepNext w:val="0"/>
              <w:keepLines/>
            </w:pPr>
            <w:r>
              <w:rPr>
                <w:rFonts w:ascii="Times New Roman" w:hAnsi="Times New Roman" w:eastAsia="Times New Roman"/>
                <w:sz w:val="18"/>
              </w:rPr>
              <w:t>0.288</w:t>
            </w:r>
          </w:p>
        </w:tc>
        <w:tc>
          <w:tcPr>
            <w:tcW w:type="dxa" w:w="1814"/>
          </w:tcPr>
          <w:p>
            <w:pPr>
              <w:keepNext w:val="0"/>
              <w:keepLines/>
            </w:pPr>
            <w:r>
              <w:rPr>
                <w:rFonts w:ascii="Times New Roman" w:hAnsi="Times New Roman" w:eastAsia="Times New Roman"/>
                <w:sz w:val="18"/>
              </w:rPr>
              <w:t>4.44e-9</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690483"/>
            <wp:docPr id="3" name="Picture 3"/>
            <wp:cNvGraphicFramePr>
              <a:graphicFrameLocks noChangeAspect="1"/>
            </wp:cNvGraphicFramePr>
            <a:graphic>
              <a:graphicData uri="http://schemas.openxmlformats.org/drawingml/2006/picture">
                <pic:pic>
                  <pic:nvPicPr>
                    <pic:cNvPr id="0" name="solver_runtime.png"/>
                    <pic:cNvPicPr/>
                  </pic:nvPicPr>
                  <pic:blipFill>
                    <a:blip r:embed="rId13"/>
                    <a:stretch>
                      <a:fillRect/>
                    </a:stretch>
                  </pic:blipFill>
                  <pic:spPr>
                    <a:xfrm>
                      <a:off x="0" y="0"/>
                      <a:ext cx="4434840" cy="2690483"/>
                    </a:xfrm>
                    <a:prstGeom prst="rect"/>
                  </pic:spPr>
                </pic:pic>
              </a:graphicData>
            </a:graphic>
          </wp:inline>
        </w:drawing>
      </w:r>
    </w:p>
    <w:p>
      <w:pPr>
        <w:pStyle w:val="IOP-CS-CaptionText"/>
        <w:keepLines/>
      </w:pPr>
      <w:r>
        <w:rPr>
          <w:rFonts w:ascii="Times New Roman" w:hAnsi="Times New Roman" w:eastAsia="Times New Roman"/>
        </w:rPr>
        <w:t>Figure 3. Total setup plus solve time for CG, Jacobi-PCG, and AMG-PCG.</w:t>
      </w:r>
    </w:p>
    <w:p>
      <w:pPr>
        <w:pStyle w:val="IOP-CS-BodyText"/>
      </w:pPr>
      <w:r>
        <w:rPr>
          <w:rFonts w:ascii="Times New Roman" w:hAnsi="Times New Roman" w:eastAsia="Times New Roman"/>
        </w:rPr>
        <w:t>The complete face-averaging check in Table 6 reports all nine historical case-size cells. Arithmetic/harmonic iteration counts differ substantially, including AMG changes for checkerboard fields, although the setup-inclusive winner is unchanged in these single passes. Agreement of winners does not establish physical equivalence of the operators, timing stability, or identical solution accuracy. The aligned one-dimensional verification and the two-dimensional solver-cost sensitivity answer separate questions.</w:t>
      </w:r>
    </w:p>
    <w:p>
      <w:pPr>
        <w:pStyle w:val="IOP-CS-CaptionText"/>
        <w:keepNext/>
        <w:keepLines/>
      </w:pPr>
      <w:r>
        <w:rPr>
          <w:rFonts w:ascii="Times New Roman" w:hAnsi="Times New Roman" w:eastAsia="Times New Roman"/>
        </w:rPr>
        <w:t>Table 6. Complete contrast-100 face-averaging check under the historical monitored protocol. Entries are arithmetic/harmonic iteration counts and setup-inclusive winners (J = Jacobi-PCG, SA = AMG-PCG). These are single timing passes, not uncertainty estimates.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blHeader/>
        </w:trPr>
        <w:tc>
          <w:tcPr>
            <w:tcW w:type="dxa" w:w="1512"/>
          </w:tcPr>
          <w:p>
            <w:pPr>
              <w:keepNext/>
              <w:keepLines/>
            </w:pPr>
            <w:r>
              <w:rPr>
                <w:rFonts w:ascii="Times New Roman" w:hAnsi="Times New Roman" w:eastAsia="Times New Roman"/>
                <w:b/>
                <w:sz w:val="18"/>
              </w:rPr>
              <w:t>Case</w:t>
            </w:r>
          </w:p>
        </w:tc>
        <w:tc>
          <w:tcPr>
            <w:tcW w:type="dxa" w:w="1512"/>
          </w:tcPr>
          <w:p>
            <w:pPr>
              <w:keepNext/>
              <w:keepLines/>
            </w:pPr>
            <w:r>
              <w:rPr>
                <w:rFonts w:ascii="Times New Roman" w:hAnsi="Times New Roman" w:eastAsia="Times New Roman"/>
                <w:b/>
                <w:sz w:val="18"/>
              </w:rPr>
              <w:t>N</w:t>
            </w:r>
          </w:p>
        </w:tc>
        <w:tc>
          <w:tcPr>
            <w:tcW w:type="dxa" w:w="1512"/>
          </w:tcPr>
          <w:p>
            <w:pPr>
              <w:keepNext/>
              <w:keepLines/>
            </w:pPr>
            <w:r>
              <w:rPr>
                <w:rFonts w:ascii="Times New Roman" w:hAnsi="Times New Roman" w:eastAsia="Times New Roman"/>
                <w:b/>
                <w:sz w:val="18"/>
              </w:rPr>
              <w:t>CG</w:t>
            </w:r>
          </w:p>
        </w:tc>
        <w:tc>
          <w:tcPr>
            <w:tcW w:type="dxa" w:w="1512"/>
          </w:tcPr>
          <w:p>
            <w:pPr>
              <w:keepNext/>
              <w:keepLines/>
            </w:pPr>
            <w:r>
              <w:rPr>
                <w:rFonts w:ascii="Times New Roman" w:hAnsi="Times New Roman" w:eastAsia="Times New Roman"/>
                <w:b/>
                <w:sz w:val="18"/>
              </w:rPr>
              <w:t>J</w:t>
            </w:r>
          </w:p>
        </w:tc>
        <w:tc>
          <w:tcPr>
            <w:tcW w:type="dxa" w:w="1512"/>
          </w:tcPr>
          <w:p>
            <w:pPr>
              <w:keepNext/>
              <w:keepLines/>
            </w:pPr>
            <w:r>
              <w:rPr>
                <w:rFonts w:ascii="Times New Roman" w:hAnsi="Times New Roman" w:eastAsia="Times New Roman"/>
                <w:b/>
                <w:sz w:val="18"/>
              </w:rPr>
              <w:t>SA</w:t>
            </w:r>
          </w:p>
        </w:tc>
        <w:tc>
          <w:tcPr>
            <w:tcW w:type="dxa" w:w="1512"/>
          </w:tcPr>
          <w:p>
            <w:pPr>
              <w:keepNext/>
              <w:keepLines/>
            </w:pPr>
            <w:r>
              <w:rPr>
                <w:rFonts w:ascii="Times New Roman" w:hAnsi="Times New Roman" w:eastAsia="Times New Roman"/>
                <w:b/>
                <w:sz w:val="18"/>
              </w:rPr>
              <w:t>Winner</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796/725</w:t>
            </w:r>
          </w:p>
        </w:tc>
        <w:tc>
          <w:tcPr>
            <w:tcW w:type="dxa" w:w="1512"/>
          </w:tcPr>
          <w:p>
            <w:pPr>
              <w:keepNext/>
              <w:keepLines/>
            </w:pPr>
            <w:r>
              <w:rPr>
                <w:rFonts w:ascii="Times New Roman" w:hAnsi="Times New Roman" w:eastAsia="Times New Roman"/>
                <w:sz w:val="18"/>
              </w:rPr>
              <w:t>129/129</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1963/1891</w:t>
            </w:r>
          </w:p>
        </w:tc>
        <w:tc>
          <w:tcPr>
            <w:tcW w:type="dxa" w:w="1512"/>
          </w:tcPr>
          <w:p>
            <w:pPr>
              <w:keepNext/>
              <w:keepLines/>
            </w:pPr>
            <w:r>
              <w:rPr>
                <w:rFonts w:ascii="Times New Roman" w:hAnsi="Times New Roman" w:eastAsia="Times New Roman"/>
                <w:sz w:val="18"/>
              </w:rPr>
              <w:t>264/263</w:t>
            </w:r>
          </w:p>
        </w:tc>
        <w:tc>
          <w:tcPr>
            <w:tcW w:type="dxa" w:w="1512"/>
          </w:tcPr>
          <w:p>
            <w:pPr>
              <w:keepNext/>
              <w:keepLines/>
            </w:pPr>
            <w:r>
              <w:rPr>
                <w:rFonts w:ascii="Times New Roman" w:hAnsi="Times New Roman" w:eastAsia="Times New Roman"/>
                <w:sz w:val="18"/>
              </w:rPr>
              <w:t>12/11</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256</w:t>
            </w:r>
          </w:p>
        </w:tc>
        <w:tc>
          <w:tcPr>
            <w:tcW w:type="dxa" w:w="1512"/>
          </w:tcPr>
          <w:p>
            <w:pPr>
              <w:keepNext/>
              <w:keepLines/>
            </w:pPr>
            <w:r>
              <w:rPr>
                <w:rFonts w:ascii="Times New Roman" w:hAnsi="Times New Roman" w:eastAsia="Times New Roman"/>
                <w:sz w:val="18"/>
              </w:rPr>
              <w:t>4370/4326</w:t>
            </w:r>
          </w:p>
        </w:tc>
        <w:tc>
          <w:tcPr>
            <w:tcW w:type="dxa" w:w="1512"/>
          </w:tcPr>
          <w:p>
            <w:pPr>
              <w:keepNext/>
              <w:keepLines/>
            </w:pPr>
            <w:r>
              <w:rPr>
                <w:rFonts w:ascii="Times New Roman" w:hAnsi="Times New Roman" w:eastAsia="Times New Roman"/>
                <w:sz w:val="18"/>
              </w:rPr>
              <w:t>535/535</w:t>
            </w:r>
          </w:p>
        </w:tc>
        <w:tc>
          <w:tcPr>
            <w:tcW w:type="dxa" w:w="1512"/>
          </w:tcPr>
          <w:p>
            <w:pPr>
              <w:keepNext/>
              <w:keepLines/>
            </w:pPr>
            <w:r>
              <w:rPr>
                <w:rFonts w:ascii="Times New Roman" w:hAnsi="Times New Roman" w:eastAsia="Times New Roman"/>
                <w:sz w:val="18"/>
              </w:rPr>
              <w:t>12/12</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1136/1120</w:t>
            </w:r>
          </w:p>
        </w:tc>
        <w:tc>
          <w:tcPr>
            <w:tcW w:type="dxa" w:w="1512"/>
          </w:tcPr>
          <w:p>
            <w:pPr>
              <w:keepNext/>
              <w:keepLines/>
            </w:pPr>
            <w:r>
              <w:rPr>
                <w:rFonts w:ascii="Times New Roman" w:hAnsi="Times New Roman" w:eastAsia="Times New Roman"/>
                <w:sz w:val="18"/>
              </w:rPr>
              <w:t>164/181</w:t>
            </w:r>
          </w:p>
        </w:tc>
        <w:tc>
          <w:tcPr>
            <w:tcW w:type="dxa" w:w="1512"/>
          </w:tcPr>
          <w:p>
            <w:pPr>
              <w:keepNext/>
              <w:keepLines/>
            </w:pPr>
            <w:r>
              <w:rPr>
                <w:rFonts w:ascii="Times New Roman" w:hAnsi="Times New Roman" w:eastAsia="Times New Roman"/>
                <w:sz w:val="18"/>
              </w:rPr>
              <w:t>9/9</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2447/2442</w:t>
            </w:r>
          </w:p>
        </w:tc>
        <w:tc>
          <w:tcPr>
            <w:tcW w:type="dxa" w:w="1512"/>
          </w:tcPr>
          <w:p>
            <w:pPr>
              <w:keepNext/>
              <w:keepLines/>
            </w:pPr>
            <w:r>
              <w:rPr>
                <w:rFonts w:ascii="Times New Roman" w:hAnsi="Times New Roman" w:eastAsia="Times New Roman"/>
                <w:sz w:val="18"/>
              </w:rPr>
              <w:t>325/367</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256</w:t>
            </w:r>
          </w:p>
        </w:tc>
        <w:tc>
          <w:tcPr>
            <w:tcW w:type="dxa" w:w="1512"/>
          </w:tcPr>
          <w:p>
            <w:pPr>
              <w:keepNext/>
              <w:keepLines/>
            </w:pPr>
            <w:r>
              <w:rPr>
                <w:rFonts w:ascii="Times New Roman" w:hAnsi="Times New Roman" w:eastAsia="Times New Roman"/>
                <w:sz w:val="18"/>
              </w:rPr>
              <w:t>5055/5054</w:t>
            </w:r>
          </w:p>
        </w:tc>
        <w:tc>
          <w:tcPr>
            <w:tcW w:type="dxa" w:w="1512"/>
          </w:tcPr>
          <w:p>
            <w:pPr>
              <w:keepNext/>
              <w:keepLines/>
            </w:pPr>
            <w:r>
              <w:rPr>
                <w:rFonts w:ascii="Times New Roman" w:hAnsi="Times New Roman" w:eastAsia="Times New Roman"/>
                <w:sz w:val="18"/>
              </w:rPr>
              <w:t>657/715</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Checkerboard</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443/557</w:t>
            </w:r>
          </w:p>
        </w:tc>
        <w:tc>
          <w:tcPr>
            <w:tcW w:type="dxa" w:w="1512"/>
          </w:tcPr>
          <w:p>
            <w:pPr>
              <w:keepNext/>
              <w:keepLines/>
            </w:pPr>
            <w:r>
              <w:rPr>
                <w:rFonts w:ascii="Times New Roman" w:hAnsi="Times New Roman" w:eastAsia="Times New Roman"/>
                <w:sz w:val="18"/>
              </w:rPr>
              <w:t>171/190</w:t>
            </w:r>
          </w:p>
        </w:tc>
        <w:tc>
          <w:tcPr>
            <w:tcW w:type="dxa" w:w="1512"/>
          </w:tcPr>
          <w:p>
            <w:pPr>
              <w:keepNext/>
              <w:keepLines/>
            </w:pPr>
            <w:r>
              <w:rPr>
                <w:rFonts w:ascii="Times New Roman" w:hAnsi="Times New Roman" w:eastAsia="Times New Roman"/>
                <w:sz w:val="18"/>
              </w:rPr>
              <w:t>13/28</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Checkerboard</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1050/1308</w:t>
            </w:r>
          </w:p>
        </w:tc>
        <w:tc>
          <w:tcPr>
            <w:tcW w:type="dxa" w:w="1512"/>
          </w:tcPr>
          <w:p>
            <w:pPr>
              <w:keepNext/>
              <w:keepLines/>
            </w:pPr>
            <w:r>
              <w:rPr>
                <w:rFonts w:ascii="Times New Roman" w:hAnsi="Times New Roman" w:eastAsia="Times New Roman"/>
                <w:sz w:val="18"/>
              </w:rPr>
              <w:t>350/388</w:t>
            </w:r>
          </w:p>
        </w:tc>
        <w:tc>
          <w:tcPr>
            <w:tcW w:type="dxa" w:w="1512"/>
          </w:tcPr>
          <w:p>
            <w:pPr>
              <w:keepNext/>
              <w:keepLines/>
            </w:pPr>
            <w:r>
              <w:rPr>
                <w:rFonts w:ascii="Times New Roman" w:hAnsi="Times New Roman" w:eastAsia="Times New Roman"/>
                <w:sz w:val="18"/>
              </w:rPr>
              <w:t>17/32</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val="0"/>
              <w:keepLines/>
            </w:pPr>
            <w:r>
              <w:rPr>
                <w:rFonts w:ascii="Times New Roman" w:hAnsi="Times New Roman" w:eastAsia="Times New Roman"/>
                <w:sz w:val="18"/>
              </w:rPr>
              <w:t>Checkerboard</w:t>
            </w:r>
          </w:p>
        </w:tc>
        <w:tc>
          <w:tcPr>
            <w:tcW w:type="dxa" w:w="1512"/>
          </w:tcPr>
          <w:p>
            <w:pPr>
              <w:keepNext w:val="0"/>
              <w:keepLines/>
            </w:pPr>
            <w:r>
              <w:rPr>
                <w:rFonts w:ascii="Times New Roman" w:hAnsi="Times New Roman" w:eastAsia="Times New Roman"/>
                <w:sz w:val="18"/>
              </w:rPr>
              <w:t>256</w:t>
            </w:r>
          </w:p>
        </w:tc>
        <w:tc>
          <w:tcPr>
            <w:tcW w:type="dxa" w:w="1512"/>
          </w:tcPr>
          <w:p>
            <w:pPr>
              <w:keepNext w:val="0"/>
              <w:keepLines/>
            </w:pPr>
            <w:r>
              <w:rPr>
                <w:rFonts w:ascii="Times New Roman" w:hAnsi="Times New Roman" w:eastAsia="Times New Roman"/>
                <w:sz w:val="18"/>
              </w:rPr>
              <w:t>2268/2809</w:t>
            </w:r>
          </w:p>
        </w:tc>
        <w:tc>
          <w:tcPr>
            <w:tcW w:type="dxa" w:w="1512"/>
          </w:tcPr>
          <w:p>
            <w:pPr>
              <w:keepNext w:val="0"/>
              <w:keepLines/>
            </w:pPr>
            <w:r>
              <w:rPr>
                <w:rFonts w:ascii="Times New Roman" w:hAnsi="Times New Roman" w:eastAsia="Times New Roman"/>
                <w:sz w:val="18"/>
              </w:rPr>
              <w:t>718/783</w:t>
            </w:r>
          </w:p>
        </w:tc>
        <w:tc>
          <w:tcPr>
            <w:tcW w:type="dxa" w:w="1512"/>
          </w:tcPr>
          <w:p>
            <w:pPr>
              <w:keepNext w:val="0"/>
              <w:keepLines/>
            </w:pPr>
            <w:r>
              <w:rPr>
                <w:rFonts w:ascii="Times New Roman" w:hAnsi="Times New Roman" w:eastAsia="Times New Roman"/>
                <w:sz w:val="18"/>
              </w:rPr>
              <w:t>17/31</w:t>
            </w:r>
          </w:p>
        </w:tc>
        <w:tc>
          <w:tcPr>
            <w:tcW w:type="dxa" w:w="1512"/>
          </w:tcPr>
          <w:p>
            <w:pPr>
              <w:keepNext w:val="0"/>
              <w:keepLines/>
            </w:pPr>
            <w:r>
              <w:rPr>
                <w:rFonts w:ascii="Times New Roman" w:hAnsi="Times New Roman" w:eastAsia="Times New Roman"/>
                <w:sz w:val="18"/>
              </w:rPr>
              <w:t>SA/SA</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5.3. Paired Callback Calibration</w:t>
      </w:r>
    </w:p>
    <w:p>
      <w:pPr>
        <w:pStyle w:val="IOP-CS-BodyText"/>
      </w:pPr>
      <w:r>
        <w:rPr>
          <w:rFonts w:ascii="Times New Roman" w:hAnsi="Times New Roman" w:eastAsia="Times New Roman"/>
        </w:rPr>
        <w:t>A prospective calibration covers constant, inclusion and checkerboard conductivity (contrast 100 for the latter two), N = 64, 128, 256, three methods, two callback modes and seven repeats: 378 recorded solves. Each repeat shuffles all 54 jobs; each solve constructs a fresh preconditioner with a seed matched across callback modes. Every run satisfies the independent residual threshold of 1e-8. All 189 paired solutions have identical byte hashes and iteration counts. Median paired monitored/count-only solve-time ratios range from 1.54 to 1.84 for CG, 1.58 to 1.77 for Jacobi-PCG, and 1.03 to 1.06 for AMG-PCG. These method-dependent penalties change reported speedups even when the median winner is unchanged.</w:t>
      </w:r>
    </w:p>
    <w:p>
      <w:pPr>
        <w:pStyle w:val="IOP-CS-BodyText"/>
      </w:pPr>
      <w:r>
        <w:rPr>
          <w:rFonts w:ascii="Times New Roman" w:hAnsi="Times New Roman" w:eastAsia="Times New Roman"/>
        </w:rPr>
        <w:t>Table 7 reports every case-size cell, including vote instability. The median winner agrees between callbacks in all nine cells. At constant N = 256, however, count-only AMG wins only three of seven repeats despite having the lowest method median; the median winner and majority vote answer different questions. The archived method summaries retain setup, solve and total-time quartiles for all candidates. Several N = 128 winners differ from the historical map under both callback modes, so callback removal alone cannot explain the historical-to-calibration difference. No universal N = 128 AMG crossover is inferred. The calibration does not measure cold-import overhead or control operating-system, power or thermal variation.</w:t>
      </w:r>
    </w:p>
    <w:p>
      <w:pPr>
        <w:pStyle w:val="IOP-CS-CaptionText"/>
        <w:keepNext/>
        <w:keepLines/>
      </w:pPr>
      <w:r>
        <w:rPr>
          <w:rFonts w:ascii="Times New Roman" w:hAnsi="Times New Roman" w:eastAsia="Times New Roman"/>
        </w:rPr>
        <w:t>Table 7. Paired callback calibration. Winner entries give method, median total milliseconds and votes out of seven. Last columns give median paired monitored/count-only solve-time ratios. J = Jacobi-PCG; SA = AMG-PCG.</w:t>
      </w:r>
    </w:p>
    <w:tbl>
      <w:tblPr>
        <w:tblStyle w:val="TableGrid"/>
        <w:tblW w:type="auto" w:w="0"/>
        <w:tblLayout w:type="fixed"/>
        <w:tblLook w:firstColumn="1" w:firstRow="1" w:lastColumn="0" w:lastRow="0" w:noHBand="0" w:noVBand="1" w:val="04A0"/>
      </w:tblPr>
      <w:tblGrid>
        <w:gridCol w:w="1483"/>
        <w:gridCol w:w="605"/>
        <w:gridCol w:w="2117"/>
        <w:gridCol w:w="2117"/>
        <w:gridCol w:w="893"/>
        <w:gridCol w:w="893"/>
        <w:gridCol w:w="893"/>
      </w:tblGrid>
      <w:tr>
        <w:trPr>
          <w:tblHeader/>
        </w:trPr>
        <w:tc>
          <w:tcPr>
            <w:tcW w:type="dxa" w:w="1483"/>
          </w:tcPr>
          <w:p>
            <w:pPr>
              <w:keepNext/>
              <w:keepLines/>
            </w:pPr>
            <w:r>
              <w:rPr>
                <w:rFonts w:ascii="Times New Roman" w:hAnsi="Times New Roman" w:eastAsia="Times New Roman"/>
                <w:b/>
                <w:sz w:val="18"/>
              </w:rPr>
              <w:t>Case</w:t>
            </w:r>
          </w:p>
        </w:tc>
        <w:tc>
          <w:tcPr>
            <w:tcW w:type="dxa" w:w="605"/>
          </w:tcPr>
          <w:p>
            <w:pPr>
              <w:keepNext/>
              <w:keepLines/>
            </w:pPr>
            <w:r>
              <w:rPr>
                <w:rFonts w:ascii="Times New Roman" w:hAnsi="Times New Roman" w:eastAsia="Times New Roman"/>
                <w:b/>
                <w:sz w:val="18"/>
              </w:rPr>
              <w:t>N</w:t>
            </w:r>
          </w:p>
        </w:tc>
        <w:tc>
          <w:tcPr>
            <w:tcW w:type="dxa" w:w="2117"/>
          </w:tcPr>
          <w:p>
            <w:pPr>
              <w:keepNext/>
              <w:keepLines/>
            </w:pPr>
            <w:r>
              <w:rPr>
                <w:rFonts w:ascii="Times New Roman" w:hAnsi="Times New Roman" w:eastAsia="Times New Roman"/>
                <w:b/>
                <w:sz w:val="18"/>
              </w:rPr>
              <w:t>Monitored</w:t>
            </w:r>
          </w:p>
        </w:tc>
        <w:tc>
          <w:tcPr>
            <w:tcW w:type="dxa" w:w="2117"/>
          </w:tcPr>
          <w:p>
            <w:pPr>
              <w:keepNext/>
              <w:keepLines/>
            </w:pPr>
            <w:r>
              <w:rPr>
                <w:rFonts w:ascii="Times New Roman" w:hAnsi="Times New Roman" w:eastAsia="Times New Roman"/>
                <w:b/>
                <w:sz w:val="18"/>
              </w:rPr>
              <w:t>Count-only</w:t>
            </w:r>
          </w:p>
        </w:tc>
        <w:tc>
          <w:tcPr>
            <w:tcW w:type="dxa" w:w="893"/>
          </w:tcPr>
          <w:p>
            <w:pPr>
              <w:keepNext/>
              <w:keepLines/>
            </w:pPr>
            <w:r>
              <w:rPr>
                <w:rFonts w:ascii="Times New Roman" w:hAnsi="Times New Roman" w:eastAsia="Times New Roman"/>
                <w:b/>
                <w:sz w:val="18"/>
              </w:rPr>
              <w:t>CG</w:t>
            </w:r>
          </w:p>
        </w:tc>
        <w:tc>
          <w:tcPr>
            <w:tcW w:type="dxa" w:w="893"/>
          </w:tcPr>
          <w:p>
            <w:pPr>
              <w:keepNext/>
              <w:keepLines/>
            </w:pPr>
            <w:r>
              <w:rPr>
                <w:rFonts w:ascii="Times New Roman" w:hAnsi="Times New Roman" w:eastAsia="Times New Roman"/>
                <w:b/>
                <w:sz w:val="18"/>
              </w:rPr>
              <w:t>J</w:t>
            </w:r>
          </w:p>
        </w:tc>
        <w:tc>
          <w:tcPr>
            <w:tcW w:type="dxa" w:w="893"/>
          </w:tcPr>
          <w:p>
            <w:pPr>
              <w:keepNext/>
              <w:keepLines/>
            </w:pPr>
            <w:r>
              <w:rPr>
                <w:rFonts w:ascii="Times New Roman" w:hAnsi="Times New Roman" w:eastAsia="Times New Roman"/>
                <w:b/>
                <w:sz w:val="18"/>
              </w:rPr>
              <w:t>SA</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CG 5.64 (7/7)</w:t>
            </w:r>
          </w:p>
        </w:tc>
        <w:tc>
          <w:tcPr>
            <w:tcW w:type="dxa" w:w="2117"/>
          </w:tcPr>
          <w:p>
            <w:pPr>
              <w:keepNext/>
              <w:keepLines/>
            </w:pPr>
            <w:r>
              <w:rPr>
                <w:rFonts w:ascii="Times New Roman" w:hAnsi="Times New Roman" w:eastAsia="Times New Roman"/>
                <w:sz w:val="18"/>
              </w:rPr>
              <w:t>CG 3.55 (5/7)</w:t>
            </w:r>
          </w:p>
        </w:tc>
        <w:tc>
          <w:tcPr>
            <w:tcW w:type="dxa" w:w="893"/>
          </w:tcPr>
          <w:p>
            <w:pPr>
              <w:keepNext/>
              <w:keepLines/>
            </w:pPr>
            <w:r>
              <w:rPr>
                <w:rFonts w:ascii="Times New Roman" w:hAnsi="Times New Roman" w:eastAsia="Times New Roman"/>
                <w:sz w:val="18"/>
              </w:rPr>
              <w:t>1.58</w:t>
            </w:r>
          </w:p>
        </w:tc>
        <w:tc>
          <w:tcPr>
            <w:tcW w:type="dxa" w:w="893"/>
          </w:tcPr>
          <w:p>
            <w:pPr>
              <w:keepNext/>
              <w:keepLines/>
            </w:pPr>
            <w:r>
              <w:rPr>
                <w:rFonts w:ascii="Times New Roman" w:hAnsi="Times New Roman" w:eastAsia="Times New Roman"/>
                <w:sz w:val="18"/>
              </w:rPr>
              <w:t>1.58</w:t>
            </w:r>
          </w:p>
        </w:tc>
        <w:tc>
          <w:tcPr>
            <w:tcW w:type="dxa" w:w="893"/>
          </w:tcPr>
          <w:p>
            <w:pPr>
              <w:keepNext/>
              <w:keepLines/>
            </w:pPr>
            <w:r>
              <w:rPr>
                <w:rFonts w:ascii="Times New Roman" w:hAnsi="Times New Roman" w:eastAsia="Times New Roman"/>
                <w:sz w:val="18"/>
              </w:rPr>
              <w:t>1.05</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CG 31.22 (6/7)</w:t>
            </w:r>
          </w:p>
        </w:tc>
        <w:tc>
          <w:tcPr>
            <w:tcW w:type="dxa" w:w="2117"/>
          </w:tcPr>
          <w:p>
            <w:pPr>
              <w:keepNext/>
              <w:keepLines/>
            </w:pPr>
            <w:r>
              <w:rPr>
                <w:rFonts w:ascii="Times New Roman" w:hAnsi="Times New Roman" w:eastAsia="Times New Roman"/>
                <w:sz w:val="18"/>
              </w:rPr>
              <w:t>CG 19.11 (7/7)</w:t>
            </w:r>
          </w:p>
        </w:tc>
        <w:tc>
          <w:tcPr>
            <w:tcW w:type="dxa" w:w="893"/>
          </w:tcPr>
          <w:p>
            <w:pPr>
              <w:keepNext/>
              <w:keepLines/>
            </w:pPr>
            <w:r>
              <w:rPr>
                <w:rFonts w:ascii="Times New Roman" w:hAnsi="Times New Roman" w:eastAsia="Times New Roman"/>
                <w:sz w:val="18"/>
              </w:rPr>
              <w:t>1.67</w:t>
            </w:r>
          </w:p>
        </w:tc>
        <w:tc>
          <w:tcPr>
            <w:tcW w:type="dxa" w:w="893"/>
          </w:tcPr>
          <w:p>
            <w:pPr>
              <w:keepNext/>
              <w:keepLines/>
            </w:pPr>
            <w:r>
              <w:rPr>
                <w:rFonts w:ascii="Times New Roman" w:hAnsi="Times New Roman" w:eastAsia="Times New Roman"/>
                <w:sz w:val="18"/>
              </w:rPr>
              <w:t>1.70</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256</w:t>
            </w:r>
          </w:p>
        </w:tc>
        <w:tc>
          <w:tcPr>
            <w:tcW w:type="dxa" w:w="2117"/>
          </w:tcPr>
          <w:p>
            <w:pPr>
              <w:keepNext/>
              <w:keepLines/>
            </w:pPr>
            <w:r>
              <w:rPr>
                <w:rFonts w:ascii="Times New Roman" w:hAnsi="Times New Roman" w:eastAsia="Times New Roman"/>
                <w:sz w:val="18"/>
              </w:rPr>
              <w:t>SA 141.18 (7/7)</w:t>
            </w:r>
          </w:p>
        </w:tc>
        <w:tc>
          <w:tcPr>
            <w:tcW w:type="dxa" w:w="2117"/>
          </w:tcPr>
          <w:p>
            <w:pPr>
              <w:keepNext/>
              <w:keepLines/>
            </w:pPr>
            <w:r>
              <w:rPr>
                <w:rFonts w:ascii="Times New Roman" w:hAnsi="Times New Roman" w:eastAsia="Times New Roman"/>
                <w:sz w:val="18"/>
              </w:rPr>
              <w:t>SA 147.70 (3/7)</w:t>
            </w:r>
          </w:p>
        </w:tc>
        <w:tc>
          <w:tcPr>
            <w:tcW w:type="dxa" w:w="893"/>
          </w:tcPr>
          <w:p>
            <w:pPr>
              <w:keepNext/>
              <w:keepLines/>
            </w:pPr>
            <w:r>
              <w:rPr>
                <w:rFonts w:ascii="Times New Roman" w:hAnsi="Times New Roman" w:eastAsia="Times New Roman"/>
                <w:sz w:val="18"/>
              </w:rPr>
              <w:t>1.84</w:t>
            </w:r>
          </w:p>
        </w:tc>
        <w:tc>
          <w:tcPr>
            <w:tcW w:type="dxa" w:w="893"/>
          </w:tcPr>
          <w:p>
            <w:pPr>
              <w:keepNext/>
              <w:keepLines/>
            </w:pPr>
            <w:r>
              <w:rPr>
                <w:rFonts w:ascii="Times New Roman" w:hAnsi="Times New Roman" w:eastAsia="Times New Roman"/>
                <w:sz w:val="18"/>
              </w:rPr>
              <w:t>1.76</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J 6.67 (7/7)</w:t>
            </w:r>
          </w:p>
        </w:tc>
        <w:tc>
          <w:tcPr>
            <w:tcW w:type="dxa" w:w="2117"/>
          </w:tcPr>
          <w:p>
            <w:pPr>
              <w:keepNext/>
              <w:keepLines/>
            </w:pPr>
            <w:r>
              <w:rPr>
                <w:rFonts w:ascii="Times New Roman" w:hAnsi="Times New Roman" w:eastAsia="Times New Roman"/>
                <w:sz w:val="18"/>
              </w:rPr>
              <w:t>J 4.12 (7/7)</w:t>
            </w:r>
          </w:p>
        </w:tc>
        <w:tc>
          <w:tcPr>
            <w:tcW w:type="dxa" w:w="893"/>
          </w:tcPr>
          <w:p>
            <w:pPr>
              <w:keepNext/>
              <w:keepLines/>
            </w:pPr>
            <w:r>
              <w:rPr>
                <w:rFonts w:ascii="Times New Roman" w:hAnsi="Times New Roman" w:eastAsia="Times New Roman"/>
                <w:sz w:val="18"/>
              </w:rPr>
              <w:t>1.63</w:t>
            </w:r>
          </w:p>
        </w:tc>
        <w:tc>
          <w:tcPr>
            <w:tcW w:type="dxa" w:w="893"/>
          </w:tcPr>
          <w:p>
            <w:pPr>
              <w:keepNext/>
              <w:keepLines/>
            </w:pPr>
            <w:r>
              <w:rPr>
                <w:rFonts w:ascii="Times New Roman" w:hAnsi="Times New Roman" w:eastAsia="Times New Roman"/>
                <w:sz w:val="18"/>
              </w:rPr>
              <w:t>1.62</w:t>
            </w:r>
          </w:p>
        </w:tc>
        <w:tc>
          <w:tcPr>
            <w:tcW w:type="dxa" w:w="893"/>
          </w:tcPr>
          <w:p>
            <w:pPr>
              <w:keepNext/>
              <w:keepLines/>
            </w:pPr>
            <w:r>
              <w:rPr>
                <w:rFonts w:ascii="Times New Roman" w:hAnsi="Times New Roman" w:eastAsia="Times New Roman"/>
                <w:sz w:val="18"/>
              </w:rPr>
              <w:t>1.03</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J 38.28 (7/7)</w:t>
            </w:r>
          </w:p>
        </w:tc>
        <w:tc>
          <w:tcPr>
            <w:tcW w:type="dxa" w:w="2117"/>
          </w:tcPr>
          <w:p>
            <w:pPr>
              <w:keepNext/>
              <w:keepLines/>
            </w:pPr>
            <w:r>
              <w:rPr>
                <w:rFonts w:ascii="Times New Roman" w:hAnsi="Times New Roman" w:eastAsia="Times New Roman"/>
                <w:sz w:val="18"/>
              </w:rPr>
              <w:t>J 22.34 (7/7)</w:t>
            </w:r>
          </w:p>
        </w:tc>
        <w:tc>
          <w:tcPr>
            <w:tcW w:type="dxa" w:w="893"/>
          </w:tcPr>
          <w:p>
            <w:pPr>
              <w:keepNext/>
              <w:keepLines/>
            </w:pPr>
            <w:r>
              <w:rPr>
                <w:rFonts w:ascii="Times New Roman" w:hAnsi="Times New Roman" w:eastAsia="Times New Roman"/>
                <w:sz w:val="18"/>
              </w:rPr>
              <w:t>1.72</w:t>
            </w:r>
          </w:p>
        </w:tc>
        <w:tc>
          <w:tcPr>
            <w:tcW w:type="dxa" w:w="893"/>
          </w:tcPr>
          <w:p>
            <w:pPr>
              <w:keepNext/>
              <w:keepLines/>
            </w:pPr>
            <w:r>
              <w:rPr>
                <w:rFonts w:ascii="Times New Roman" w:hAnsi="Times New Roman" w:eastAsia="Times New Roman"/>
                <w:sz w:val="18"/>
              </w:rPr>
              <w:t>1.61</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256</w:t>
            </w:r>
          </w:p>
        </w:tc>
        <w:tc>
          <w:tcPr>
            <w:tcW w:type="dxa" w:w="2117"/>
          </w:tcPr>
          <w:p>
            <w:pPr>
              <w:keepNext/>
              <w:keepLines/>
            </w:pPr>
            <w:r>
              <w:rPr>
                <w:rFonts w:ascii="Times New Roman" w:hAnsi="Times New Roman" w:eastAsia="Times New Roman"/>
                <w:sz w:val="18"/>
              </w:rPr>
              <w:t>SA 156.23 (7/7)</w:t>
            </w:r>
          </w:p>
        </w:tc>
        <w:tc>
          <w:tcPr>
            <w:tcW w:type="dxa" w:w="2117"/>
          </w:tcPr>
          <w:p>
            <w:pPr>
              <w:keepNext/>
              <w:keepLines/>
            </w:pPr>
            <w:r>
              <w:rPr>
                <w:rFonts w:ascii="Times New Roman" w:hAnsi="Times New Roman" w:eastAsia="Times New Roman"/>
                <w:sz w:val="18"/>
              </w:rPr>
              <w:t>SA 152.34 (6/7)</w:t>
            </w:r>
          </w:p>
        </w:tc>
        <w:tc>
          <w:tcPr>
            <w:tcW w:type="dxa" w:w="893"/>
          </w:tcPr>
          <w:p>
            <w:pPr>
              <w:keepNext/>
              <w:keepLines/>
            </w:pPr>
            <w:r>
              <w:rPr>
                <w:rFonts w:ascii="Times New Roman" w:hAnsi="Times New Roman" w:eastAsia="Times New Roman"/>
                <w:sz w:val="18"/>
              </w:rPr>
              <w:t>1.79</w:t>
            </w:r>
          </w:p>
        </w:tc>
        <w:tc>
          <w:tcPr>
            <w:tcW w:type="dxa" w:w="893"/>
          </w:tcPr>
          <w:p>
            <w:pPr>
              <w:keepNext/>
              <w:keepLines/>
            </w:pPr>
            <w:r>
              <w:rPr>
                <w:rFonts w:ascii="Times New Roman" w:hAnsi="Times New Roman" w:eastAsia="Times New Roman"/>
                <w:sz w:val="18"/>
              </w:rPr>
              <w:t>1.77</w:t>
            </w:r>
          </w:p>
        </w:tc>
        <w:tc>
          <w:tcPr>
            <w:tcW w:type="dxa" w:w="893"/>
          </w:tcPr>
          <w:p>
            <w:pPr>
              <w:keepNext/>
              <w:keepLines/>
            </w:pPr>
            <w:r>
              <w:rPr>
                <w:rFonts w:ascii="Times New Roman" w:hAnsi="Times New Roman" w:eastAsia="Times New Roman"/>
                <w:sz w:val="18"/>
              </w:rPr>
              <w:t>1.03</w:t>
            </w:r>
          </w:p>
        </w:tc>
      </w:tr>
      <w:tr>
        <w:trPr>
          <w:cantSplit/>
        </w:trPr>
        <w:tc>
          <w:tcPr>
            <w:tcW w:type="dxa" w:w="1483"/>
          </w:tcPr>
          <w:p>
            <w:pPr>
              <w:keepNext/>
              <w:keepLines/>
            </w:pPr>
            <w:r>
              <w:rPr>
                <w:rFonts w:ascii="Times New Roman" w:hAnsi="Times New Roman" w:eastAsia="Times New Roman"/>
                <w:sz w:val="18"/>
              </w:rPr>
              <w:t>Checkerboard</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J 8.69 (6/7)</w:t>
            </w:r>
          </w:p>
        </w:tc>
        <w:tc>
          <w:tcPr>
            <w:tcW w:type="dxa" w:w="2117"/>
          </w:tcPr>
          <w:p>
            <w:pPr>
              <w:keepNext/>
              <w:keepLines/>
            </w:pPr>
            <w:r>
              <w:rPr>
                <w:rFonts w:ascii="Times New Roman" w:hAnsi="Times New Roman" w:eastAsia="Times New Roman"/>
                <w:sz w:val="18"/>
              </w:rPr>
              <w:t>J 5.63 (7/7)</w:t>
            </w:r>
          </w:p>
        </w:tc>
        <w:tc>
          <w:tcPr>
            <w:tcW w:type="dxa" w:w="893"/>
          </w:tcPr>
          <w:p>
            <w:pPr>
              <w:keepNext/>
              <w:keepLines/>
            </w:pPr>
            <w:r>
              <w:rPr>
                <w:rFonts w:ascii="Times New Roman" w:hAnsi="Times New Roman" w:eastAsia="Times New Roman"/>
                <w:sz w:val="18"/>
              </w:rPr>
              <w:t>1.54</w:t>
            </w:r>
          </w:p>
        </w:tc>
        <w:tc>
          <w:tcPr>
            <w:tcW w:type="dxa" w:w="893"/>
          </w:tcPr>
          <w:p>
            <w:pPr>
              <w:keepNext/>
              <w:keepLines/>
            </w:pPr>
            <w:r>
              <w:rPr>
                <w:rFonts w:ascii="Times New Roman" w:hAnsi="Times New Roman" w:eastAsia="Times New Roman"/>
                <w:sz w:val="18"/>
              </w:rPr>
              <w:t>1.59</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Checkerboard</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J 50.18 (5/7)</w:t>
            </w:r>
          </w:p>
        </w:tc>
        <w:tc>
          <w:tcPr>
            <w:tcW w:type="dxa" w:w="2117"/>
          </w:tcPr>
          <w:p>
            <w:pPr>
              <w:keepNext/>
              <w:keepLines/>
            </w:pPr>
            <w:r>
              <w:rPr>
                <w:rFonts w:ascii="Times New Roman" w:hAnsi="Times New Roman" w:eastAsia="Times New Roman"/>
                <w:sz w:val="18"/>
              </w:rPr>
              <w:t>J 29.65 (7/7)</w:t>
            </w:r>
          </w:p>
        </w:tc>
        <w:tc>
          <w:tcPr>
            <w:tcW w:type="dxa" w:w="893"/>
          </w:tcPr>
          <w:p>
            <w:pPr>
              <w:keepNext/>
              <w:keepLines/>
            </w:pPr>
            <w:r>
              <w:rPr>
                <w:rFonts w:ascii="Times New Roman" w:hAnsi="Times New Roman" w:eastAsia="Times New Roman"/>
                <w:sz w:val="18"/>
              </w:rPr>
              <w:t>1.73</w:t>
            </w:r>
          </w:p>
        </w:tc>
        <w:tc>
          <w:tcPr>
            <w:tcW w:type="dxa" w:w="893"/>
          </w:tcPr>
          <w:p>
            <w:pPr>
              <w:keepNext/>
              <w:keepLines/>
            </w:pPr>
            <w:r>
              <w:rPr>
                <w:rFonts w:ascii="Times New Roman" w:hAnsi="Times New Roman" w:eastAsia="Times New Roman"/>
                <w:sz w:val="18"/>
              </w:rPr>
              <w:t>1.65</w:t>
            </w:r>
          </w:p>
        </w:tc>
        <w:tc>
          <w:tcPr>
            <w:tcW w:type="dxa" w:w="893"/>
          </w:tcPr>
          <w:p>
            <w:pPr>
              <w:keepNext/>
              <w:keepLines/>
            </w:pPr>
            <w:r>
              <w:rPr>
                <w:rFonts w:ascii="Times New Roman" w:hAnsi="Times New Roman" w:eastAsia="Times New Roman"/>
                <w:sz w:val="18"/>
              </w:rPr>
              <w:t>1.06</w:t>
            </w:r>
          </w:p>
        </w:tc>
      </w:tr>
      <w:tr>
        <w:trPr>
          <w:cantSplit/>
        </w:trPr>
        <w:tc>
          <w:tcPr>
            <w:tcW w:type="dxa" w:w="1483"/>
          </w:tcPr>
          <w:p>
            <w:pPr>
              <w:keepNext w:val="0"/>
              <w:keepLines/>
            </w:pPr>
            <w:r>
              <w:rPr>
                <w:rFonts w:ascii="Times New Roman" w:hAnsi="Times New Roman" w:eastAsia="Times New Roman"/>
                <w:sz w:val="18"/>
              </w:rPr>
              <w:t>Checkerboard</w:t>
            </w:r>
          </w:p>
        </w:tc>
        <w:tc>
          <w:tcPr>
            <w:tcW w:type="dxa" w:w="605"/>
          </w:tcPr>
          <w:p>
            <w:pPr>
              <w:keepNext w:val="0"/>
              <w:keepLines/>
            </w:pPr>
            <w:r>
              <w:rPr>
                <w:rFonts w:ascii="Times New Roman" w:hAnsi="Times New Roman" w:eastAsia="Times New Roman"/>
                <w:sz w:val="18"/>
              </w:rPr>
              <w:t>256</w:t>
            </w:r>
          </w:p>
        </w:tc>
        <w:tc>
          <w:tcPr>
            <w:tcW w:type="dxa" w:w="2117"/>
          </w:tcPr>
          <w:p>
            <w:pPr>
              <w:keepNext w:val="0"/>
              <w:keepLines/>
            </w:pPr>
            <w:r>
              <w:rPr>
                <w:rFonts w:ascii="Times New Roman" w:hAnsi="Times New Roman" w:eastAsia="Times New Roman"/>
                <w:sz w:val="18"/>
              </w:rPr>
              <w:t>SA 192.31 (7/7)</w:t>
            </w:r>
          </w:p>
        </w:tc>
        <w:tc>
          <w:tcPr>
            <w:tcW w:type="dxa" w:w="2117"/>
          </w:tcPr>
          <w:p>
            <w:pPr>
              <w:keepNext w:val="0"/>
              <w:keepLines/>
            </w:pPr>
            <w:r>
              <w:rPr>
                <w:rFonts w:ascii="Times New Roman" w:hAnsi="Times New Roman" w:eastAsia="Times New Roman"/>
                <w:sz w:val="18"/>
              </w:rPr>
              <w:t>SA 180.24 (7/7)</w:t>
            </w:r>
          </w:p>
        </w:tc>
        <w:tc>
          <w:tcPr>
            <w:tcW w:type="dxa" w:w="893"/>
          </w:tcPr>
          <w:p>
            <w:pPr>
              <w:keepNext w:val="0"/>
              <w:keepLines/>
            </w:pPr>
            <w:r>
              <w:rPr>
                <w:rFonts w:ascii="Times New Roman" w:hAnsi="Times New Roman" w:eastAsia="Times New Roman"/>
                <w:sz w:val="18"/>
              </w:rPr>
              <w:t>1.79</w:t>
            </w:r>
          </w:p>
        </w:tc>
        <w:tc>
          <w:tcPr>
            <w:tcW w:type="dxa" w:w="893"/>
          </w:tcPr>
          <w:p>
            <w:pPr>
              <w:keepNext w:val="0"/>
              <w:keepLines/>
            </w:pPr>
            <w:r>
              <w:rPr>
                <w:rFonts w:ascii="Times New Roman" w:hAnsi="Times New Roman" w:eastAsia="Times New Roman"/>
                <w:sz w:val="18"/>
              </w:rPr>
              <w:t>1.67</w:t>
            </w:r>
          </w:p>
        </w:tc>
        <w:tc>
          <w:tcPr>
            <w:tcW w:type="dxa" w:w="893"/>
          </w:tcPr>
          <w:p>
            <w:pPr>
              <w:keepNext w:val="0"/>
              <w:keepLines/>
            </w:pPr>
            <w:r>
              <w:rPr>
                <w:rFonts w:ascii="Times New Roman" w:hAnsi="Times New Roman" w:eastAsia="Times New Roman"/>
                <w:sz w:val="18"/>
              </w:rPr>
              <w:t>1.06</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5.4. Matched-Field and Forcing Audit</w:t>
      </w:r>
    </w:p>
    <w:p>
      <w:pPr>
        <w:pStyle w:val="IOP-CS-BodyText"/>
      </w:pPr>
      <w:r>
        <w:rPr>
          <w:rFonts w:ascii="Times New Roman" w:hAnsi="Times New Roman" w:eastAsia="Times New Roman"/>
        </w:rPr>
        <w:t>Matched fields. Two 2-by-8 binary motifs contain 12 high cells and 20 high/low boundary edges but have one and two connected components, respectively. Integer dilation by s = N/16 and low-conductivity padding embed each motif in the unit square. The high phase has k = c and the background k = 1. For the tested grids, both fields have 12s² high nodes, mean 1 + (c - 1)12s²/N², total variation (c - 1)20s/(N - 1), and maximum log-gradient √2 (N - 1) log(c)/2. These counting identities are checked after embedding. A one-node translation preserves these quantities, component sizes, shape, and topology; it changes position relative to the source and boundary. Matching these invariants does not isolate topology as the sole cause of a performance difference.</w:t>
      </w:r>
    </w:p>
    <w:p>
      <w:pPr>
        <w:keepNext/>
        <w:keepLines/>
        <w:jc w:val="center"/>
      </w:pPr>
      <w:r>
        <w:drawing>
          <wp:inline xmlns:a="http://schemas.openxmlformats.org/drawingml/2006/main" xmlns:pic="http://schemas.openxmlformats.org/drawingml/2006/picture">
            <wp:extent cx="5623560" cy="4295775"/>
            <wp:docPr id="4" name="Picture 4"/>
            <wp:cNvGraphicFramePr>
              <a:graphicFrameLocks noChangeAspect="1"/>
            </wp:cNvGraphicFramePr>
            <a:graphic>
              <a:graphicData uri="http://schemas.openxmlformats.org/drawingml/2006/picture">
                <pic:pic>
                  <pic:nvPicPr>
                    <pic:cNvPr id="0" name="counterfactual_audit.png"/>
                    <pic:cNvPicPr/>
                  </pic:nvPicPr>
                  <pic:blipFill>
                    <a:blip r:embed="rId14"/>
                    <a:stretch>
                      <a:fillRect/>
                    </a:stretch>
                  </pic:blipFill>
                  <pic:spPr>
                    <a:xfrm>
                      <a:off x="0" y="0"/>
                      <a:ext cx="5623560" cy="4295775"/>
                    </a:xfrm>
                    <a:prstGeom prst="rect"/>
                  </pic:spPr>
                </pic:pic>
              </a:graphicData>
            </a:graphic>
          </wp:inline>
        </w:drawing>
      </w:r>
    </w:p>
    <w:p>
      <w:pPr>
        <w:pStyle w:val="IOP-CS-CaptionText"/>
        <w:keepLines/>
      </w:pPr>
      <w:r>
        <w:rPr>
          <w:rFonts w:ascii="Times New Roman" w:hAnsi="Times New Roman" w:eastAsia="Times New Roman"/>
        </w:rPr>
        <w:t>Figure 4. Matched coefficient motifs and the forcing/translation audit. Bars show median setup-plus-solve times; whiskers span five runs. Iteration counts are annotated. The fields share scalar coefficient descriptors, while a rigid translation also preserves shape and connectivity.</w:t>
      </w:r>
    </w:p>
    <w:p>
      <w:pPr>
        <w:pStyle w:val="IOP-CS-BodyText"/>
      </w:pPr>
      <w:r>
        <w:rPr>
          <w:rFonts w:ascii="Times New Roman" w:hAnsi="Times New Roman" w:eastAsia="Times New Roman"/>
        </w:rPr>
        <w:t>Controlled protocol. Following an exploratory 576-solve screen, confirmation uses c = 1000 and N = 96, 128, 192; centered, jointly transposed, and one-node x-shifted configurations; arithmetic and harmonic faces; and four unit-norm sources: constant, sin(2 pi x)sin(pi y), sin(pi x)sin(2 pi y), and a fixed-seed Gaussian vector. Jacobi-PCG and default SA-PCG each use five fresh setups per case, paired recorded setup seeds, shuffled method/source order, warm imports, and one BLAS thread. SA uses symmetric strength with theta = 0 and retains hierarchy diagnostics (keep=True). Count-only callbacks avoid the baseline residual-monitor overhead. CG uses rtol = 1e-9, zero initial guess, and at most 8000 iterations; an independent true relative residual must be at most 1e-8. Assembly and source construction are shared and excluded. The two timing protocols are not pooled.</w:t>
      </w:r>
    </w:p>
    <w:p>
      <w:pPr>
        <w:pStyle w:val="IOP-CS-BodyText"/>
      </w:pPr>
      <w:r>
        <w:rPr>
          <w:rFonts w:ascii="Times New Roman" w:hAnsi="Times New Roman" w:eastAsia="Times New Roman"/>
        </w:rPr>
        <w:t>A separate 3-by-6 motif family samples four connected and four disconnected patterns before observing their solver outcomes, retaining 12 occupied cells and 20 interface edges. It supplies 640 solves at N = 128, 192. This is a balanced constructed family, not a random sample of engineering materials. An additional 132-solve perturbation study varies translation direction and source admixtures with three repeats. The 1440 confirmation, 640 independent-family, and 132 perturbation solves all pass the true-residual check; the largest residual is below 3e-9. The pilot archive retains 84 failed acceptance checks, mainly at higher contrast or the CG iteration limit. No failed pilot timing is relabelled as a successful solve.</w:t>
      </w:r>
    </w:p>
    <w:p>
      <w:pPr>
        <w:pStyle w:val="IOP-CS-BodyText"/>
      </w:pPr>
      <w:r>
        <w:rPr>
          <w:rFonts w:ascii="Times New Roman" w:hAnsi="Times New Roman" w:eastAsia="Times New Roman"/>
        </w:rPr>
        <w:t>Mechanism. Let R reflect interior nodes in x and let D be the diagonal of A. If RA = AR, then R also commutes with D and the symmetrically scaled matrix S. For an odd source Rb = -b, every vector in the zero-start Krylov space generated by S and the scaled source g is odd. It is orthogonal to x-even eigenvectors in exact arithmetic. The centered two-island field satisfies this identity; its two slowest Jacobi-scaled modes are x-even. At N = 64 and c = 10000, computed squared source overlaps are below 1e-30 for both face averages. A transpose of both operator and source preserves Jacobi iteration counts, whereas translating the field in x breaks the reflection identity. This is a standard invariant-subspace explanation, not new convergence theory.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S = </m:t>
              </m:r>
              <m:sSup>
                <m:e>
                  <m:r>
                    <m:t xml:space="preserve">D</m:t>
                  </m:r>
                </m:e>
                <m:sup>
                  <m:r>
                    <m:t xml:space="preserve">−1/2</m:t>
                  </m:r>
                </m:sup>
              </m:sSup>
              <m:r>
                <m:t xml:space="preserve"> A </m:t>
              </m:r>
              <m:sSup>
                <m:e>
                  <m:r>
                    <m:t xml:space="preserve">D</m:t>
                  </m:r>
                </m:e>
                <m:sup>
                  <m:r>
                    <m:t xml:space="preserve">−1/2</m:t>
                  </m:r>
                </m:sup>
              </m:sSup>
              <m:r>
                <m:t xml:space="preserve">,   g = </m:t>
              </m:r>
              <m:sSup>
                <m:e>
                  <m:r>
                    <m:t xml:space="preserve">D</m:t>
                  </m:r>
                </m:e>
                <m:sup>
                  <m:r>
                    <m:t xml:space="preserve">−1/2</m:t>
                  </m:r>
                </m:sup>
              </m:sSup>
              <m:r>
                <m:t xml:space="preserve"> b,   Rb = −b</m:t>
              </m:r>
            </m:oMath>
          </w:p>
        </w:tc>
        <w:tc>
          <w:tcPr>
            <w:tcW w:type="dxa" w:w="792"/>
          </w:tcPr>
          <w:p>
            <w:pPr>
              <w:keepLines/>
              <w:spacing w:line="274" w:lineRule="auto"/>
              <w:jc w:val="right"/>
            </w:pPr>
            <w:r>
              <w:rPr>
                <w:rFonts w:ascii="Times New Roman" w:hAnsi="Times New Roman" w:eastAsia="Times New Roman"/>
              </w:rPr>
              <w:t>(8)</w:t>
            </w:r>
          </w:p>
        </w:tc>
      </w:tr>
    </w:tbl>
    <w:p>
      <w:pPr>
        <w:pStyle w:val="IOP-CS-BodyText"/>
      </w:pPr>
      <w:r>
        <w:rPr>
          <w:rFonts w:ascii="Times New Roman" w:hAnsi="Times New Roman" w:eastAsia="Times New Roman"/>
        </w:rPr>
        <w:t>Figure 4 shows a concrete decision consequence at N = 192 with harmonic faces and c = 1000. For the odd-x source, the centered two-island field takes 403 Jacobi iterations and 72.2 ms, versus 17 AMG-PCG iterations and 101.0 ms. A one-node x translation increases Jacobi to 677 iterations and 125.1 ms, while AMG-PCG takes 16 iterations and 97.5 ms. Each winner is unchanged across the five repeats. With the same centered operator but a random source, Jacobi takes 949 iterations and 166.2 ms, and AMG-PCG takes 15 iterations and 94.3 ms. These are measured medians on this workstation, not universal crossover thresholds.</w:t>
      </w:r>
    </w:p>
    <w:p>
      <w:pPr>
        <w:pStyle w:val="IOP-CS-BodyText"/>
      </w:pPr>
      <w:r>
        <w:rPr>
          <w:rFonts w:ascii="Times New Roman" w:hAnsi="Times New Roman" w:eastAsia="Times New Roman"/>
        </w:rPr>
        <w:t>The full confirmation has a consistent per-repeat winner in 124 of 144 cells; the independent motif family has 55 of 64. Only two of the 48 centered-versus-x-shifted pairs reverse their winner consistently in all five repeats, so the reversal is a counterexample rather than a population-frequency claim. For the odd-x example within the Jacobi/SA portfolio, any deterministic rule restricted to the preserved coefficient invariants must choose the same method for both positions. Let T(j,s) be the median setup-plus-solve time for position j and candidate s in portfolio P. The least excess cost of a fixed choice across the equally weighted pair is E(P), defined below. For the two-method example, 1 + E(P) = 1.142. This empirical floor is not a statistical lower confidence bound, a bound for other solver portfolios, or a proposed selector. The raw tables include all pairs, unstable cells, and both methods.</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E(P) = </m:t>
              </m:r>
              <m:sSub>
                <m:e>
                  <m:r>
                    <m:t xml:space="preserve">min</m:t>
                  </m:r>
                </m:e>
                <m:sub>
                  <m:r>
                    <m:t xml:space="preserve">s ∈ P</m:t>
                  </m:r>
                </m:sub>
              </m:sSub>
              <m:r>
                <m:t xml:space="preserve"> [</m:t>
              </m:r>
              <m:f>
                <m:fPr>
                  <m:type m:val="bar"/>
                </m:fPr>
                <m:num>
                  <m:r>
                    <m:t xml:space="preserve">1</m:t>
                  </m:r>
                </m:num>
                <m:den>
                  <m:r>
                    <m:t xml:space="preserve">2</m:t>
                  </m:r>
                </m:den>
              </m:f>
              <m:r>
                <m:t xml:space="preserve"> </m:t>
              </m:r>
              <m:sSub>
                <m:e>
                  <m:r>
                    <m:t xml:space="preserve">Σ</m:t>
                  </m:r>
                </m:e>
                <m:sub>
                  <m:r>
                    <m:t xml:space="preserve">j=0,1</m:t>
                  </m:r>
                </m:sub>
              </m:sSub>
              <m:r>
                <m:t xml:space="preserve"> </m:t>
              </m:r>
              <m:f>
                <m:fPr>
                  <m:type m:val="bar"/>
                </m:fPr>
                <m:num>
                  <m:r>
                    <m:t xml:space="preserve">T(j,s)</m:t>
                  </m:r>
                </m:num>
                <m:den>
                  <m:sSub>
                    <m:e>
                      <m:r>
                        <m:t xml:space="preserve">min</m:t>
                      </m:r>
                    </m:e>
                    <m:sub>
                      <m:r>
                        <m:t xml:space="preserve">t ∈ P</m:t>
                      </m:r>
                    </m:sub>
                  </m:sSub>
                  <m:r>
                    <m:t xml:space="preserve"> T(j,t)</m:t>
                  </m:r>
                </m:den>
              </m:f>
              <m:r>
                <m:t xml:space="preserve">] − 1</m:t>
              </m:r>
            </m:oMath>
          </w:p>
        </w:tc>
        <w:tc>
          <w:tcPr>
            <w:tcW w:type="dxa" w:w="792"/>
          </w:tcPr>
          <w:p>
            <w:pPr>
              <w:keepLines/>
              <w:spacing w:line="274" w:lineRule="auto"/>
              <w:jc w:val="right"/>
            </w:pPr>
            <w:r>
              <w:rPr>
                <w:rFonts w:ascii="Times New Roman" w:hAnsi="Times New Roman" w:eastAsia="Times New Roman"/>
              </w:rPr>
              <w:t>(9)</w:t>
            </w:r>
          </w:p>
        </w:tc>
      </w:tr>
    </w:tbl>
    <w:p>
      <w:pPr>
        <w:pStyle w:val="IOP-CS-BodyText"/>
      </w:pPr>
      <w:r>
        <w:rPr>
          <w:rFonts w:ascii="Times New Roman" w:hAnsi="Times New Roman" w:eastAsia="Times New Roman"/>
        </w:rPr>
        <w:t>Source perturbations test the interpretation without changing A: at N = 192, adding a constant component of amplitude 1e-8 to the unit odd source raises Jacobi from 403 to 569 iterations under the same stopping tolerance. A y translation preserves x reflection but can change the remaining spectrum and other symmetry sectors; parity alone is therefore not a complete runtime predictor. Offline spectra use symmetric Jacobi scaling and the nonsymmetric operator BA for the AMG inverse preconditioner B. Small-grid dense symmetrisation checks validate the numerical spectral procedure. Neither eigenvalue computations nor the reflection audit is included in a claimed low-cost selection policy.</w:t>
      </w:r>
    </w:p>
    <w:p>
      <w:pPr>
        <w:pStyle w:val="IOP-CS-BodyText"/>
      </w:pPr>
      <w:r>
        <w:rPr>
          <w:rFonts w:ascii="Times New Roman" w:hAnsi="Times New Roman" w:eastAsia="Times New Roman"/>
        </w:rPr>
        <w:t>Candidate-solver sensitivity. A separate 240-solve screen adds SA with symmetric-strength theta = 0.25 and classical Ruge-Stueben AMG with classical strength theta = 0.25. A subsequent 504-solve confirmation compares Jacobi, SA with theta = 0, and classical AMG at N = 128, 160, 192, using the two-island motif and the previously tested symmetric 3-by-6 anchor, whose three rows are each 110011. Each of seven repeats interleaves both field positions, both sources, both motifs, and all three methods at a fixed N. All 744 solves pass the same residual acceptance check; their timings are not pooled with earlier stages. The confirmation has 17 of 24 cells with the same winner in every repeat, and three of 12 translated pairs reverse their winner in all seven repeats. Table 8 reports all 12 pairs, including unstable cells and zero floors. For the original motif at N = 128 with odd-x forcing, centered Jacobi and classical AMG take 24.3 and 36.8 ms; after translation they take 42.3 and 34.2 ms. Jacobi iterations rise from 266 to 450, while classical AMG takes 11 in both positions. The three-method empirical excess-cost floor for this pair is 11.91%. At N = 192, classical AMG has the lowest median time at both positions, giving zero median-based floor for that pair, although the centered winner is not identical in all repeats. Thus translation sensitivity survives a stronger baseline, but its measured decision boundary and cost consequence depend on the candidate solver set.</w:t>
      </w:r>
    </w:p>
    <w:p>
      <w:pPr>
        <w:pStyle w:val="IOP-CS-CaptionText"/>
        <w:keepNext/>
        <w:keepLines/>
      </w:pPr>
      <w:r>
        <w:rPr>
          <w:rFonts w:ascii="Times New Roman" w:hAnsi="Times New Roman" w:eastAsia="Times New Roman"/>
        </w:rPr>
        <w:t>Table 8. All 12 translated pairs in the interleaved confirmation. Winners use median total time: J = Jacobi-PCG, RS = classical AMG-PCG; SA was also a candidate. Stable means both positions retain their respective winner in all seven repeats. E(P) uses measured medians even for unstable pairs; it is not a confidence bound.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tblHeader/>
        </w:trPr>
        <w:tc>
          <w:tcPr>
            <w:tcW w:type="dxa" w:w="1296"/>
          </w:tcPr>
          <w:p>
            <w:pPr>
              <w:keepNext/>
              <w:keepLines/>
            </w:pPr>
            <w:r>
              <w:rPr>
                <w:rFonts w:ascii="Times New Roman" w:hAnsi="Times New Roman" w:eastAsia="Times New Roman"/>
                <w:b/>
                <w:sz w:val="18"/>
              </w:rPr>
              <w:t>N</w:t>
            </w:r>
          </w:p>
        </w:tc>
        <w:tc>
          <w:tcPr>
            <w:tcW w:type="dxa" w:w="1296"/>
          </w:tcPr>
          <w:p>
            <w:pPr>
              <w:keepNext/>
              <w:keepLines/>
            </w:pPr>
            <w:r>
              <w:rPr>
                <w:rFonts w:ascii="Times New Roman" w:hAnsi="Times New Roman" w:eastAsia="Times New Roman"/>
                <w:b/>
                <w:sz w:val="18"/>
              </w:rPr>
              <w:t>Motif</w:t>
            </w:r>
          </w:p>
        </w:tc>
        <w:tc>
          <w:tcPr>
            <w:tcW w:type="dxa" w:w="1296"/>
          </w:tcPr>
          <w:p>
            <w:pPr>
              <w:keepNext/>
              <w:keepLines/>
            </w:pPr>
            <w:r>
              <w:rPr>
                <w:rFonts w:ascii="Times New Roman" w:hAnsi="Times New Roman" w:eastAsia="Times New Roman"/>
                <w:b/>
                <w:sz w:val="18"/>
              </w:rPr>
              <w:t>Source</w:t>
            </w:r>
          </w:p>
        </w:tc>
        <w:tc>
          <w:tcPr>
            <w:tcW w:type="dxa" w:w="1296"/>
          </w:tcPr>
          <w:p>
            <w:pPr>
              <w:keepNext/>
              <w:keepLines/>
            </w:pPr>
            <w:r>
              <w:rPr>
                <w:rFonts w:ascii="Times New Roman" w:hAnsi="Times New Roman" w:eastAsia="Times New Roman"/>
                <w:b/>
                <w:sz w:val="18"/>
              </w:rPr>
              <w:t>Centered</w:t>
            </w:r>
          </w:p>
        </w:tc>
        <w:tc>
          <w:tcPr>
            <w:tcW w:type="dxa" w:w="1296"/>
          </w:tcPr>
          <w:p>
            <w:pPr>
              <w:keepNext/>
              <w:keepLines/>
            </w:pPr>
            <w:r>
              <w:rPr>
                <w:rFonts w:ascii="Times New Roman" w:hAnsi="Times New Roman" w:eastAsia="Times New Roman"/>
                <w:b/>
                <w:sz w:val="18"/>
              </w:rPr>
              <w:t>Shifted</w:t>
            </w:r>
          </w:p>
        </w:tc>
        <w:tc>
          <w:tcPr>
            <w:tcW w:type="dxa" w:w="1296"/>
          </w:tcPr>
          <w:p>
            <w:pPr>
              <w:keepNext/>
              <w:keepLines/>
            </w:pPr>
            <w:r>
              <w:rPr>
                <w:rFonts w:ascii="Times New Roman" w:hAnsi="Times New Roman" w:eastAsia="Times New Roman"/>
                <w:b/>
                <w:sz w:val="18"/>
              </w:rPr>
              <w:t>Stable</w:t>
            </w:r>
          </w:p>
        </w:tc>
        <w:tc>
          <w:tcPr>
            <w:tcW w:type="dxa" w:w="1296"/>
          </w:tcPr>
          <w:p>
            <w:pPr>
              <w:keepNext/>
              <w:keepLines/>
            </w:pPr>
            <w:r>
              <w:rPr>
                <w:rFonts w:ascii="Times New Roman" w:hAnsi="Times New Roman" w:eastAsia="Times New Roman"/>
                <w:b/>
                <w:sz w:val="18"/>
              </w:rPr>
              <w:t>E(P) (%)</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12.42</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11.91</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9.69</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4.86</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val="0"/>
              <w:keepLines/>
            </w:pPr>
            <w:r>
              <w:rPr>
                <w:rFonts w:ascii="Times New Roman" w:hAnsi="Times New Roman" w:eastAsia="Times New Roman"/>
                <w:sz w:val="18"/>
              </w:rPr>
              <w:t>192</w:t>
            </w:r>
          </w:p>
        </w:tc>
        <w:tc>
          <w:tcPr>
            <w:tcW w:type="dxa" w:w="1296"/>
          </w:tcPr>
          <w:p>
            <w:pPr>
              <w:keepNext w:val="0"/>
              <w:keepLines/>
            </w:pPr>
            <w:r>
              <w:rPr>
                <w:rFonts w:ascii="Times New Roman" w:hAnsi="Times New Roman" w:eastAsia="Times New Roman"/>
                <w:sz w:val="18"/>
              </w:rPr>
              <w:t>2x8</w:t>
            </w:r>
          </w:p>
        </w:tc>
        <w:tc>
          <w:tcPr>
            <w:tcW w:type="dxa" w:w="1296"/>
          </w:tcPr>
          <w:p>
            <w:pPr>
              <w:keepNext w:val="0"/>
              <w:keepLines/>
            </w:pPr>
            <w:r>
              <w:rPr>
                <w:rFonts w:ascii="Times New Roman" w:hAnsi="Times New Roman" w:eastAsia="Times New Roman"/>
                <w:sz w:val="18"/>
              </w:rPr>
              <w:t>Random</w:t>
            </w:r>
          </w:p>
        </w:tc>
        <w:tc>
          <w:tcPr>
            <w:tcW w:type="dxa" w:w="1296"/>
          </w:tcPr>
          <w:p>
            <w:pPr>
              <w:keepNext w:val="0"/>
              <w:keepLines/>
            </w:pPr>
            <w:r>
              <w:rPr>
                <w:rFonts w:ascii="Times New Roman" w:hAnsi="Times New Roman" w:eastAsia="Times New Roman"/>
                <w:sz w:val="18"/>
              </w:rPr>
              <w:t>RS</w:t>
            </w:r>
          </w:p>
        </w:tc>
        <w:tc>
          <w:tcPr>
            <w:tcW w:type="dxa" w:w="1296"/>
          </w:tcPr>
          <w:p>
            <w:pPr>
              <w:keepNext w:val="0"/>
              <w:keepLines/>
            </w:pPr>
            <w:r>
              <w:rPr>
                <w:rFonts w:ascii="Times New Roman" w:hAnsi="Times New Roman" w:eastAsia="Times New Roman"/>
                <w:sz w:val="18"/>
              </w:rPr>
              <w:t>RS</w:t>
            </w:r>
          </w:p>
        </w:tc>
        <w:tc>
          <w:tcPr>
            <w:tcW w:type="dxa" w:w="1296"/>
          </w:tcPr>
          <w:p>
            <w:pPr>
              <w:keepNext w:val="0"/>
              <w:keepLines/>
            </w:pPr>
            <w:r>
              <w:rPr>
                <w:rFonts w:ascii="Times New Roman" w:hAnsi="Times New Roman" w:eastAsia="Times New Roman"/>
                <w:sz w:val="18"/>
              </w:rPr>
              <w:t>Yes</w:t>
            </w:r>
          </w:p>
        </w:tc>
        <w:tc>
          <w:tcPr>
            <w:tcW w:type="dxa" w:w="1296"/>
          </w:tcPr>
          <w:p>
            <w:pPr>
              <w:keepNext w:val="0"/>
              <w:keepLines/>
            </w:pPr>
            <w:r>
              <w:rPr>
                <w:rFonts w:ascii="Times New Roman" w:hAnsi="Times New Roman" w:eastAsia="Times New Roman"/>
                <w:sz w:val="18"/>
              </w:rPr>
              <w:t>0.00</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5.5. CPU and CUDA Stencil Scaling</w:t>
      </w:r>
    </w:p>
    <w:p>
      <w:pPr>
        <w:pStyle w:val="IOP-CS-BodyNoIndent"/>
      </w:pPr>
      <w:r>
        <w:rPr>
          <w:rFonts w:ascii="Times New Roman" w:hAnsi="Times New Roman" w:eastAsia="Times New Roman"/>
        </w:rPr>
        <w:t>At N = 2048, NumPy required 0.1813 s per apply, while Numba serial required 0.005325 s and Numba parallel with four threads required 0.003725 s. Increasing thread count beyond four did not improve the largest case in this run; the measurements alone do not distinguish memory-system limits from scheduling overhead.</w:t>
      </w:r>
    </w:p>
    <w:p>
      <w:pPr>
        <w:pStyle w:val="IOP-CS-BodyText"/>
      </w:pPr>
      <w:r>
        <w:rPr>
          <w:rFonts w:ascii="Times New Roman" w:hAnsi="Times New Roman" w:eastAsia="Times New Roman"/>
        </w:rPr>
        <w:t>The CUDA Jacobi benchmark measures the resident-data update cost. At N = 512, GPU and CPU kernel times were essentially equal. At N = 1024, CUDA reached 1.52x speedup. At N = 2048 and N = 4096, the speedups increased to 3.23x and 3.51x, respectively. The measurements describe this kernel and workstation. They do not imply the same speedup for an end-to-end sparse solver.</w:t>
      </w:r>
    </w:p>
    <w:p>
      <w:pPr>
        <w:pStyle w:val="IOP-CS-CaptionText"/>
        <w:keepNext/>
        <w:keepLines/>
      </w:pPr>
      <w:r>
        <w:rPr>
          <w:rFonts w:ascii="Times New Roman" w:hAnsi="Times New Roman" w:eastAsia="Times New Roman"/>
        </w:rPr>
        <w:t>Table 9. Representative stencil-throughput measurements. CPU entries use the variable-coefficient operator at N = 2048; CUDA entries are kernel-only Jacobi steps with arrays resident on the device.</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Experiment</w:t>
            </w:r>
          </w:p>
        </w:tc>
        <w:tc>
          <w:tcPr>
            <w:tcW w:type="dxa" w:w="1814"/>
          </w:tcPr>
          <w:p>
            <w:pPr>
              <w:keepNext/>
              <w:keepLines/>
            </w:pPr>
            <w:r>
              <w:rPr>
                <w:rFonts w:ascii="Times New Roman" w:hAnsi="Times New Roman" w:eastAsia="Times New Roman"/>
                <w:b/>
                <w:sz w:val="18"/>
              </w:rPr>
              <w:t>Method</w:t>
            </w:r>
          </w:p>
        </w:tc>
        <w:tc>
          <w:tcPr>
            <w:tcW w:type="dxa" w:w="1814"/>
          </w:tcPr>
          <w:p>
            <w:pPr>
              <w:keepNext/>
              <w:keepLines/>
            </w:pPr>
            <w:r>
              <w:rPr>
                <w:rFonts w:ascii="Times New Roman" w:hAnsi="Times New Roman" w:eastAsia="Times New Roman"/>
                <w:b/>
                <w:sz w:val="18"/>
              </w:rPr>
              <w:t>N</w:t>
            </w:r>
          </w:p>
        </w:tc>
        <w:tc>
          <w:tcPr>
            <w:tcW w:type="dxa" w:w="1814"/>
          </w:tcPr>
          <w:p>
            <w:pPr>
              <w:keepNext/>
              <w:keepLines/>
            </w:pPr>
            <w:r>
              <w:rPr>
                <w:rFonts w:ascii="Times New Roman" w:hAnsi="Times New Roman" w:eastAsia="Times New Roman"/>
                <w:b/>
                <w:sz w:val="18"/>
              </w:rPr>
              <w:t>Time</w:t>
            </w:r>
          </w:p>
        </w:tc>
        <w:tc>
          <w:tcPr>
            <w:tcW w:type="dxa" w:w="1814"/>
          </w:tcPr>
          <w:p>
            <w:pPr>
              <w:keepNext/>
              <w:keepLines/>
            </w:pPr>
            <w:r>
              <w:rPr>
                <w:rFonts w:ascii="Times New Roman" w:hAnsi="Times New Roman" w:eastAsia="Times New Roman"/>
                <w:b/>
                <w:sz w:val="18"/>
              </w:rPr>
              <w:t>Throughput/speedup</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NumPy</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0.1813 s/apply</w:t>
            </w:r>
          </w:p>
        </w:tc>
        <w:tc>
          <w:tcPr>
            <w:tcW w:type="dxa" w:w="1814"/>
          </w:tcPr>
          <w:p>
            <w:pPr>
              <w:keepNext/>
              <w:keepLines/>
            </w:pPr>
            <w:r>
              <w:rPr>
                <w:rFonts w:ascii="Times New Roman" w:hAnsi="Times New Roman" w:eastAsia="Times New Roman"/>
                <w:sz w:val="18"/>
              </w:rPr>
              <w:t>2.03 GB/s</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Numba serial</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0.005325 s/apply</w:t>
            </w:r>
          </w:p>
        </w:tc>
        <w:tc>
          <w:tcPr>
            <w:tcW w:type="dxa" w:w="1814"/>
          </w:tcPr>
          <w:p>
            <w:pPr>
              <w:keepNext/>
              <w:keepLines/>
            </w:pPr>
            <w:r>
              <w:rPr>
                <w:rFonts w:ascii="Times New Roman" w:hAnsi="Times New Roman" w:eastAsia="Times New Roman"/>
                <w:sz w:val="18"/>
              </w:rPr>
              <w:t>69.18 GB/s</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Numba parallel, 4 threads</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0.003725 s/apply</w:t>
            </w:r>
          </w:p>
        </w:tc>
        <w:tc>
          <w:tcPr>
            <w:tcW w:type="dxa" w:w="1814"/>
          </w:tcPr>
          <w:p>
            <w:pPr>
              <w:keepNext/>
              <w:keepLines/>
            </w:pPr>
            <w:r>
              <w:rPr>
                <w:rFonts w:ascii="Times New Roman" w:hAnsi="Times New Roman" w:eastAsia="Times New Roman"/>
                <w:sz w:val="18"/>
              </w:rPr>
              <w:t>98.90 GB/s</w:t>
            </w:r>
          </w:p>
        </w:tc>
      </w:tr>
      <w:tr>
        <w:trPr>
          <w:cantSplit/>
        </w:trPr>
        <w:tc>
          <w:tcPr>
            <w:tcW w:type="dxa" w:w="1814"/>
          </w:tcPr>
          <w:p>
            <w:pPr>
              <w:keepNext/>
              <w:keepLines/>
            </w:pPr>
            <w:r>
              <w:rPr>
                <w:rFonts w:ascii="Times New Roman" w:hAnsi="Times New Roman" w:eastAsia="Times New Roman"/>
                <w:sz w:val="18"/>
              </w:rPr>
              <w:t>GPU crossover</w:t>
            </w:r>
          </w:p>
        </w:tc>
        <w:tc>
          <w:tcPr>
            <w:tcW w:type="dxa" w:w="1814"/>
          </w:tcPr>
          <w:p>
            <w:pPr>
              <w:keepNext/>
              <w:keepLines/>
            </w:pPr>
            <w:r>
              <w:rPr>
                <w:rFonts w:ascii="Times New Roman" w:hAnsi="Times New Roman" w:eastAsia="Times New Roman"/>
                <w:sz w:val="18"/>
              </w:rPr>
              <w:t>CUDA kernel</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7.97e-4 s/step</w:t>
            </w:r>
          </w:p>
        </w:tc>
        <w:tc>
          <w:tcPr>
            <w:tcW w:type="dxa" w:w="1814"/>
          </w:tcPr>
          <w:p>
            <w:pPr>
              <w:keepNext/>
              <w:keepLines/>
            </w:pPr>
            <w:r>
              <w:rPr>
                <w:rFonts w:ascii="Times New Roman" w:hAnsi="Times New Roman" w:eastAsia="Times New Roman"/>
                <w:sz w:val="18"/>
              </w:rPr>
              <w:t>3.23x vs CPU</w:t>
            </w:r>
          </w:p>
        </w:tc>
      </w:tr>
      <w:tr>
        <w:trPr>
          <w:cantSplit/>
        </w:trPr>
        <w:tc>
          <w:tcPr>
            <w:tcW w:type="dxa" w:w="1814"/>
          </w:tcPr>
          <w:p>
            <w:pPr>
              <w:keepNext w:val="0"/>
              <w:keepLines/>
            </w:pPr>
            <w:r>
              <w:rPr>
                <w:rFonts w:ascii="Times New Roman" w:hAnsi="Times New Roman" w:eastAsia="Times New Roman"/>
                <w:sz w:val="18"/>
              </w:rPr>
              <w:t>GPU crossover</w:t>
            </w:r>
          </w:p>
        </w:tc>
        <w:tc>
          <w:tcPr>
            <w:tcW w:type="dxa" w:w="1814"/>
          </w:tcPr>
          <w:p>
            <w:pPr>
              <w:keepNext w:val="0"/>
              <w:keepLines/>
            </w:pPr>
            <w:r>
              <w:rPr>
                <w:rFonts w:ascii="Times New Roman" w:hAnsi="Times New Roman" w:eastAsia="Times New Roman"/>
                <w:sz w:val="18"/>
              </w:rPr>
              <w:t>CUDA kernel</w:t>
            </w:r>
          </w:p>
        </w:tc>
        <w:tc>
          <w:tcPr>
            <w:tcW w:type="dxa" w:w="1814"/>
          </w:tcPr>
          <w:p>
            <w:pPr>
              <w:keepNext w:val="0"/>
              <w:keepLines/>
            </w:pPr>
            <w:r>
              <w:rPr>
                <w:rFonts w:ascii="Times New Roman" w:hAnsi="Times New Roman" w:eastAsia="Times New Roman"/>
                <w:sz w:val="18"/>
              </w:rPr>
              <w:t>4096</w:t>
            </w:r>
          </w:p>
        </w:tc>
        <w:tc>
          <w:tcPr>
            <w:tcW w:type="dxa" w:w="1814"/>
          </w:tcPr>
          <w:p>
            <w:pPr>
              <w:keepNext w:val="0"/>
              <w:keepLines/>
            </w:pPr>
            <w:r>
              <w:rPr>
                <w:rFonts w:ascii="Times New Roman" w:hAnsi="Times New Roman" w:eastAsia="Times New Roman"/>
                <w:sz w:val="18"/>
              </w:rPr>
              <w:t>3.15e-3 s/step</w:t>
            </w:r>
          </w:p>
        </w:tc>
        <w:tc>
          <w:tcPr>
            <w:tcW w:type="dxa" w:w="1814"/>
          </w:tcPr>
          <w:p>
            <w:pPr>
              <w:keepNext w:val="0"/>
              <w:keepLines/>
            </w:pPr>
            <w:r>
              <w:rPr>
                <w:rFonts w:ascii="Times New Roman" w:hAnsi="Times New Roman" w:eastAsia="Times New Roman"/>
                <w:sz w:val="18"/>
              </w:rPr>
              <w:t>3.51x vs CPU</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689165"/>
            <wp:docPr id="5" name="Picture 5"/>
            <wp:cNvGraphicFramePr>
              <a:graphicFrameLocks noChangeAspect="1"/>
            </wp:cNvGraphicFramePr>
            <a:graphic>
              <a:graphicData uri="http://schemas.openxmlformats.org/drawingml/2006/picture">
                <pic:pic>
                  <pic:nvPicPr>
                    <pic:cNvPr id="0" name="cpu_scaling.png"/>
                    <pic:cNvPicPr/>
                  </pic:nvPicPr>
                  <pic:blipFill>
                    <a:blip r:embed="rId15"/>
                    <a:stretch>
                      <a:fillRect/>
                    </a:stretch>
                  </pic:blipFill>
                  <pic:spPr>
                    <a:xfrm>
                      <a:off x="0" y="0"/>
                      <a:ext cx="4434840" cy="2689165"/>
                    </a:xfrm>
                    <a:prstGeom prst="rect"/>
                  </pic:spPr>
                </pic:pic>
              </a:graphicData>
            </a:graphic>
          </wp:inline>
        </w:drawing>
      </w:r>
    </w:p>
    <w:p>
      <w:pPr>
        <w:pStyle w:val="IOP-CS-CaptionText"/>
        <w:keepLines/>
      </w:pPr>
      <w:r>
        <w:rPr>
          <w:rFonts w:ascii="Times New Roman" w:hAnsi="Times New Roman" w:eastAsia="Times New Roman"/>
        </w:rPr>
        <w:t>Figure 5. Estimated CPU stencil bandwidth for the variable-coefficient stencil apply.</w:t>
      </w:r>
    </w:p>
    <w:p>
      <w:pPr>
        <w:keepNext/>
        <w:keepLines/>
        <w:jc w:val="center"/>
      </w:pPr>
      <w:r>
        <w:drawing>
          <wp:inline xmlns:a="http://schemas.openxmlformats.org/drawingml/2006/main" xmlns:pic="http://schemas.openxmlformats.org/drawingml/2006/picture">
            <wp:extent cx="4434840" cy="2724564"/>
            <wp:docPr id="6" name="Picture 6"/>
            <wp:cNvGraphicFramePr>
              <a:graphicFrameLocks noChangeAspect="1"/>
            </wp:cNvGraphicFramePr>
            <a:graphic>
              <a:graphicData uri="http://schemas.openxmlformats.org/drawingml/2006/picture">
                <pic:pic>
                  <pic:nvPicPr>
                    <pic:cNvPr id="0" name="gpu_crossover.png"/>
                    <pic:cNvPicPr/>
                  </pic:nvPicPr>
                  <pic:blipFill>
                    <a:blip r:embed="rId16"/>
                    <a:stretch>
                      <a:fillRect/>
                    </a:stretch>
                  </pic:blipFill>
                  <pic:spPr>
                    <a:xfrm>
                      <a:off x="0" y="0"/>
                      <a:ext cx="4434840" cy="2724564"/>
                    </a:xfrm>
                    <a:prstGeom prst="rect"/>
                  </pic:spPr>
                </pic:pic>
              </a:graphicData>
            </a:graphic>
          </wp:inline>
        </w:drawing>
      </w:r>
    </w:p>
    <w:p>
      <w:pPr>
        <w:pStyle w:val="IOP-CS-CaptionText"/>
        <w:keepLines/>
      </w:pPr>
      <w:r>
        <w:rPr>
          <w:rFonts w:ascii="Times New Roman" w:hAnsi="Times New Roman" w:eastAsia="Times New Roman"/>
        </w:rPr>
        <w:t>Figure 6. CUDA kernel-only speedup for repeated Jacobi updates relative to a four-thread Numba CPU baseline.</w:t>
      </w:r>
    </w:p>
    <w:p>
      <w:pPr>
        <w:pStyle w:val="IOP-CS-BodyText"/>
      </w:pPr>
      <w:r>
        <w:rPr>
          <w:rFonts w:ascii="Times New Roman" w:hAnsi="Times New Roman" w:eastAsia="Times New Roman"/>
        </w:rPr>
        <w:t>The measured timings are approximately equal at N = 512, and CUDA is faster at N = 1024. The supplementary artefact retains the exploratory four-point linear fit. Its negative CPU-time prediction at the measured N = 512 point invalidates its use as a crossover-location estimate; no fitted hardware-selection threshold is claimed.</w:t>
      </w:r>
    </w:p>
    <w:p>
      <w:pPr>
        <w:pStyle w:val="IOP-CS-SectionHead"/>
        <w:keepNext/>
        <w:keepLines/>
      </w:pPr>
      <w:r>
        <w:rPr>
          <w:rFonts w:ascii="Times New Roman" w:hAnsi="Times New Roman" w:eastAsia="Times New Roman"/>
        </w:rPr>
        <w:t>6. Discussion</w:t>
      </w:r>
    </w:p>
    <w:p>
      <w:pPr>
        <w:pStyle w:val="IOP-CS-BodyNoIndent"/>
      </w:pPr>
      <w:r>
        <w:rPr>
          <w:rFonts w:ascii="Times New Roman" w:hAnsi="Times New Roman" w:eastAsia="Times New Roman"/>
        </w:rPr>
        <w:t>The matched-field audit qualifies the baseline resolution-dependent decision map. The original monitored runs show the expected setup-versus-iteration trade-off, but their uniform winner at each resolution does not establish descriptor sufficiency. In the controlled extension, a rigid translation or a source perturbation changes the effective Krylov workload while retaining the listed coefficient invariants. The practical recommendation is to test forcing, alignment, and candidate-solver sensitivity before interpreting a coefficient-stratified timing map as a reusable decision rule. The classical-AMG check shows why a cost floor established for two methods must be recomputed when the portfolio changes. Symmetric sources can be physically appropriate; their fast solves should be reported as workload-specific evidence, not treated as an error or extrapolated to arbitrary forcing.</w:t>
      </w:r>
    </w:p>
    <w:p>
      <w:pPr>
        <w:pStyle w:val="IOP-CS-BodyText"/>
      </w:pPr>
      <w:r>
        <w:rPr>
          <w:rFonts w:ascii="Times New Roman" w:hAnsi="Times New Roman" w:eastAsia="Times New Roman"/>
        </w:rPr>
        <w:t>For physical composite-conduction use, the face law must be chosen from the interface geometry and resistance model before comparing solvers. The arithmetic benchmark is not evidence of accurate cross-interface flux at high contrast. For performance use, the callback calibration shows that an iteration monitor can disproportionately penalise inexpensive iterations; solver rankings and their uncertainty must therefore be reported with the callback, setup and execution protocol.</w:t>
      </w:r>
    </w:p>
    <w:p>
      <w:pPr>
        <w:pStyle w:val="IOP-CS-BodyText"/>
      </w:pPr>
      <w:r>
        <w:rPr>
          <w:rFonts w:ascii="Times New Roman" w:hAnsi="Times New Roman" w:eastAsia="Times New Roman"/>
        </w:rPr>
        <w:t>The coefficient descriptors are empirical summaries, not conditioning theory. Their uncertainty intervals overlap, and small fixed-grid strata do not establish a reliable ordering of predictive importance. Pooled correlations also reflect resolution; N = 256 uses an N = 128 condition estimate. Case-resampling intervals describe sensitivity to this constructed dataset, not population confidence or performance on unseen geometries.</w:t>
      </w:r>
    </w:p>
    <w:p>
      <w:pPr>
        <w:pStyle w:val="IOP-CS-BodyText"/>
      </w:pPr>
      <w:r>
        <w:rPr>
          <w:rFonts w:ascii="Times New Roman" w:hAnsi="Times New Roman" w:eastAsia="Times New Roman"/>
        </w:rPr>
        <w:t>The stencil measurements demonstrate implementation and size effects. Nonmonotone CPU scaling is consistent with bandwidth or scheduling limits, but no hardware counters separate these causes. CUDA timings include launch and final synchronisation with data resident on the device. They exclude transfer costs and full sparse solves; the four-point fit cannot validate a crossover threshold.</w:t>
      </w:r>
    </w:p>
    <w:p>
      <w:pPr>
        <w:pStyle w:val="IOP-CS-BodyText"/>
      </w:pPr>
      <w:r>
        <w:rPr>
          <w:rFonts w:ascii="Times New Roman" w:hAnsi="Times New Roman" w:eastAsia="Times New Roman"/>
        </w:rPr>
        <w:t>The scope is two-dimensional structured grids, synthetic coefficients and one workstation. Harmonic averaging does not resolve curved interfaces cutting grid cells. Industrial geometries, unstructured finite elements and transient multiphysics remain outside the evidence. The contribution is a reproducible audit of numerical correctness and conditional solver costs, not production solver robustness.</w:t>
      </w:r>
    </w:p>
    <w:p>
      <w:pPr>
        <w:pStyle w:val="IOP-CS-SectionHead"/>
        <w:keepNext/>
        <w:keepLines/>
      </w:pPr>
      <w:r>
        <w:rPr>
          <w:rFonts w:ascii="Times New Roman" w:hAnsi="Times New Roman" w:eastAsia="Times New Roman"/>
        </w:rPr>
        <w:t>7. Reproducibility Artefact</w:t>
      </w:r>
    </w:p>
    <w:p>
      <w:pPr>
        <w:pStyle w:val="IOP-CS-BodyNoIndent"/>
      </w:pPr>
      <w:r>
        <w:rPr>
          <w:rFonts w:ascii="Times New Roman" w:hAnsi="Times New Roman" w:eastAsia="Times New Roman"/>
        </w:rPr>
        <w:t xml:space="preserve">The previously published baseline and controlled extension are archived at https://doi.org/10.5281/zenodo.22668106, with the earlier baseline at https://doi.org/10.5281/zenodo.22303525. The present revision additionally supplies the callback calibration in results/raw/protocol_sensitivity, its prospective protocol in experiments/protocol_sensitivity.md, and complete generated summaries in results/analysis/protocol_sensitivity through the accompanying supplementary package. The </w:t>
      </w:r>
      <w:r>
        <w:rPr>
          <w:rFonts w:ascii="Times New Roman" w:hAnsi="Times New Roman" w:eastAsia="Times New Roman"/>
          <w:highlight w:val="yellow"/>
        </w:rPr>
        <w:t xml:space="preserve">numerical</w:t>
      </w:r>
      <w:r>
        <w:rPr>
          <w:rFonts w:ascii="Times New Roman" w:hAnsi="Times New Roman" w:eastAsia="Times New Roman"/>
        </w:rPr>
        <w:t xml:space="preserve"> </w:t>
      </w:r>
      <w:r>
        <w:rPr>
          <w:rFonts w:ascii="Times New Roman" w:hAnsi="Times New Roman" w:eastAsia="Times New Roman"/>
          <w:highlight w:val="yellow"/>
        </w:rPr>
        <w:t xml:space="preserve">evidence</w:t>
      </w:r>
      <w:r>
        <w:rPr>
          <w:rFonts w:ascii="Times New Roman" w:hAnsi="Times New Roman" w:eastAsia="Times New Roman"/>
        </w:rPr>
        <w:t xml:space="preserve"> </w:t>
      </w:r>
      <w:r>
        <w:rPr>
          <w:rFonts w:ascii="Times New Roman" w:hAnsi="Times New Roman" w:eastAsia="Times New Roman"/>
          <w:highlight w:val="yellow"/>
        </w:rPr>
        <w:t xml:space="preserve">and accompanying scripts</w:t>
      </w:r>
      <w:r>
        <w:rPr>
          <w:rFonts w:ascii="Times New Roman" w:hAnsi="Times New Roman" w:eastAsia="Times New Roman"/>
        </w:rPr>
        <w:t xml:space="preserve">, including these calibration files, </w:t>
      </w:r>
      <w:r>
        <w:rPr>
          <w:rFonts w:ascii="Times New Roman" w:hAnsi="Times New Roman" w:eastAsia="Times New Roman"/>
          <w:highlight w:val="yellow"/>
        </w:rPr>
        <w:t xml:space="preserve">are</w:t>
      </w:r>
      <w:r>
        <w:rPr>
          <w:rFonts w:ascii="Times New Roman" w:hAnsi="Times New Roman" w:eastAsia="Times New Roman"/>
        </w:rPr>
        <w:t xml:space="preserve"> archived at https://doi.org/10.5281/zenodo.22874266 (version v5). Raw histories are retained unchanged. Run experiments/analyze_protocol_sensitivity.py to regenerate the two new tables from the recorded CSV files. Recorded configurations and source hashes document the calibration. The reproduction instructions distinguish historical monitored runs from controlled count-only runs and preserve pilot failures. Tests check flux-energy identities, matched descriptors, reflection invariance and transpose equivalence. CPU-only tests explicitly skip unavailable CUDA tests; CUDA-required mode treats missing GPU support as an error. Timing reruns may differ with machine state.</w:t>
      </w:r>
    </w:p>
    <w:p>
      <w:pPr>
        <w:pStyle w:val="IOP-CS-SectionHead"/>
        <w:keepNext/>
        <w:keepLines/>
      </w:pPr>
      <w:r>
        <w:rPr>
          <w:rFonts w:ascii="Times New Roman" w:hAnsi="Times New Roman" w:eastAsia="Times New Roman"/>
        </w:rPr>
        <w:t>8. Conclusion</w:t>
      </w:r>
    </w:p>
    <w:p>
      <w:pPr>
        <w:pStyle w:val="IOP-CS-BodyNoIndent"/>
      </w:pPr>
      <w:r>
        <w:rPr>
          <w:rFonts w:ascii="Times New Roman" w:hAnsi="Times New Roman" w:eastAsia="Times New Roman"/>
        </w:rPr>
        <w:t>In the controlled heat-conduction tests, preserving scalar coefficient descriptors, shape and connectivity does not guarantee the same fastest solver: source and alignment changes can alter the measured setup-inclusive choice. The classical-AMG comparison shows that the reversal also depends on the candidate solver set. These findings support checking forcing, alignment and candidate solvers before reusing a coefficient-based decision map, alongside operator verification, complete setup timing and retention of failed solves. The CPU/CUDA experiments provide separate stencil measurements, with GPU results limited to resident data on the tested workstation. The study introduces no new numerical algorithm or universal selection rule.</w:t>
      </w:r>
    </w:p>
    <w:p>
      <w:pPr>
        <w:pStyle w:val="IOP-CS-SectionHead"/>
        <w:keepNext/>
        <w:keepLines/>
      </w:pPr>
      <w:r>
        <w:rPr>
          <w:rFonts w:ascii="Times New Roman" w:hAnsi="Times New Roman" w:eastAsia="Times New Roman"/>
        </w:rPr>
        <w:t>Acknowledgements</w:t>
      </w:r>
    </w:p>
    <w:p>
      <w:pPr>
        <w:pStyle w:val="IOP-CS-BodyNoIndent"/>
      </w:pPr>
      <w:r>
        <w:rPr>
          <w:rFonts w:ascii="Times New Roman" w:hAnsi="Times New Roman" w:eastAsia="Times New Roman"/>
        </w:rPr>
        <w:t>The author used OpenAI GPT-5 for editorial assistance and DeepSeek V4 Pro through Claude Code for language polishing. OpenAI GPT-6 Astra assisted with experimental design, code implementation, numerical analysis and manuscript preparation. The author independently reviewed the controlled experiments, including their derivations, timing boundaries and failure cases, and takes responsibility for the code, results, references and final manuscript.</w:t>
      </w:r>
    </w:p>
    <w:p>
      <w:pPr>
        <w:pStyle w:val="IOP-CS-SectionHead"/>
        <w:keepNext/>
        <w:keepLines/>
      </w:pPr>
      <w:r>
        <w:rPr>
          <w:rFonts w:ascii="Times New Roman" w:hAnsi="Times New Roman" w:eastAsia="Times New Roman"/>
        </w:rPr>
        <w:t>References</w:t>
      </w:r>
    </w:p>
    <w:p>
      <w:pPr>
        <w:pStyle w:val="IOP-CS-ReferenceText"/>
        <w:spacing w:line="240" w:lineRule="auto" w:before="0" w:after="0"/>
      </w:pPr>
      <w:r>
        <w:rPr>
          <w:rFonts w:ascii="Times New Roman" w:hAnsi="Times New Roman" w:eastAsia="Times New Roman"/>
          <w:sz w:val="18"/>
        </w:rPr>
        <w:t>[1] Virtanen P, Gommers R, Oliphant T E, Haberland M, Reddy T, Cournapeau D et al 2020 SciPy 1.0: fundamental algorithms for scientific computing in Python Nature Methods 17 261-272. doi:10.1038/s41592-019-0686-2</w:t>
      </w:r>
    </w:p>
    <w:p>
      <w:pPr>
        <w:pStyle w:val="IOP-CS-ReferenceText"/>
        <w:spacing w:line="240" w:lineRule="auto" w:before="0" w:after="0"/>
      </w:pPr>
      <w:r>
        <w:rPr>
          <w:rFonts w:ascii="Times New Roman" w:hAnsi="Times New Roman" w:eastAsia="Times New Roman"/>
          <w:sz w:val="18"/>
        </w:rPr>
        <w:t>[2] Harris C R, Millman K J, van der Walt S J, Gommers R, Virtanen P, Cournapeau D et al 2020 Array programming with NumPy Nature 585 357-362. doi:10.1038/s41586-020-2649-2</w:t>
      </w:r>
    </w:p>
    <w:p>
      <w:pPr>
        <w:pStyle w:val="IOP-CS-ReferenceText"/>
        <w:spacing w:line="240" w:lineRule="auto" w:before="0" w:after="0"/>
      </w:pPr>
      <w:r>
        <w:rPr>
          <w:rFonts w:ascii="Times New Roman" w:hAnsi="Times New Roman" w:eastAsia="Times New Roman"/>
          <w:sz w:val="18"/>
        </w:rPr>
        <w:t>[3] Lam S K, Pitrou A and Seibert S 2015 Numba: a LLVM-based Python JIT compiler Proc. Second Workshop on the LLVM Compiler Infrastructure in HPC 1-6. doi:10.1145/2833157.2833162</w:t>
      </w:r>
    </w:p>
    <w:p>
      <w:pPr>
        <w:pStyle w:val="IOP-CS-ReferenceText"/>
        <w:spacing w:line="240" w:lineRule="auto" w:before="0" w:after="0"/>
      </w:pPr>
      <w:r>
        <w:rPr>
          <w:rFonts w:ascii="Times New Roman" w:hAnsi="Times New Roman" w:eastAsia="Times New Roman"/>
          <w:sz w:val="18"/>
        </w:rPr>
        <w:t>[4] Bell N, Olson L N, Schroder J and Southworth B 2023 PyAMG: algebraic multigrid solvers in Python Journal of Open Source Software 8 5495. doi:10.21105/joss.05495</w:t>
      </w:r>
    </w:p>
    <w:p>
      <w:pPr>
        <w:pStyle w:val="IOP-CS-ReferenceText"/>
        <w:spacing w:line="240" w:lineRule="auto" w:before="0" w:after="0"/>
      </w:pPr>
      <w:r>
        <w:rPr>
          <w:rFonts w:ascii="Times New Roman" w:hAnsi="Times New Roman" w:eastAsia="Times New Roman"/>
          <w:sz w:val="18"/>
        </w:rPr>
        <w:t>[5] Strikwerda J C 2004 Finite Difference Schemes and Partial Differential Equations 2nd edn (Philadelphia: SIAM). doi:10.1137/1.9780898717938</w:t>
      </w:r>
    </w:p>
    <w:p>
      <w:pPr>
        <w:pStyle w:val="IOP-CS-ReferenceText"/>
        <w:spacing w:line="240" w:lineRule="auto" w:before="0" w:after="0"/>
      </w:pPr>
      <w:r>
        <w:rPr>
          <w:rFonts w:ascii="Times New Roman" w:hAnsi="Times New Roman" w:eastAsia="Times New Roman"/>
          <w:sz w:val="18"/>
        </w:rPr>
        <w:t>[6] Hestenes M R and Stiefel E 1952 Methods of conjugate gradients for solving linear systems Journal of Research of the National Bureau of Standards 49 409-436. doi:10.6028/jres.049.044</w:t>
      </w:r>
    </w:p>
    <w:p>
      <w:pPr>
        <w:pStyle w:val="IOP-CS-ReferenceText"/>
        <w:spacing w:line="240" w:lineRule="auto" w:before="0" w:after="0"/>
      </w:pPr>
      <w:r>
        <w:rPr>
          <w:rFonts w:ascii="Times New Roman" w:hAnsi="Times New Roman" w:eastAsia="Times New Roman"/>
          <w:sz w:val="18"/>
        </w:rPr>
        <w:t>[7] Saad Y 2003 Iterative Methods for Sparse Linear Systems 2nd edn (Philadelphia: SIAM). doi:10.1137/1.9780898718003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8</w:t>
      </w:r>
      <w:r>
        <w:rPr>
          <w:rFonts w:ascii="Times New Roman" w:hAnsi="Times New Roman" w:eastAsia="Times New Roman"/>
          <w:sz w:val="18"/>
        </w:rPr>
        <w:t xml:space="preserve">] Ruge J W and Stuben K 1987 Algebraic multigrid in McCormick S F (ed) Multigrid Methods (Philadelphia: SIAM) 73-130. doi:10.1137/1.9781611971057.ch4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9</w:t>
      </w:r>
      <w:r>
        <w:rPr>
          <w:rFonts w:ascii="Times New Roman" w:hAnsi="Times New Roman" w:eastAsia="Times New Roman"/>
          <w:sz w:val="18"/>
        </w:rPr>
        <w:t xml:space="preserve">] Bernaschi M, Celestini A, Richelli G and D'Ambra P 2026 On the energy efficiency of sparse matrix computations on multi-GPU clusters Future Generation Computer Systems 183 108519. doi:10.1016/j.future.2026.108519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10</w:t>
      </w:r>
      <w:r>
        <w:rPr>
          <w:rFonts w:ascii="Times New Roman" w:hAnsi="Times New Roman" w:eastAsia="Times New Roman"/>
          <w:sz w:val="18"/>
        </w:rPr>
        <w:t xml:space="preserve">] Welter A and Nguyen N C 2026 Preconditioning techniques for hybridizable discontinuous Galerkin discretizations on GPU architectures Computer Methods in Applied Mechanics and Engineering 456 118951. doi:10.1016/j.cma.2026.118951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11</w:t>
      </w:r>
      <w:r>
        <w:rPr>
          <w:rFonts w:ascii="Times New Roman" w:hAnsi="Times New Roman" w:eastAsia="Times New Roman"/>
          <w:sz w:val="18"/>
        </w:rPr>
        <w:t xml:space="preserve">] Yuan F, Yang X, Huang Y, Dong D, Xu C, Liu J et al 2025 CRAMG: a communication-reduced algebraic multigrid method Proc. 39th ACM International Conference on Supercomputing 397-411. doi:10.1145/3721145.3725764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12</w:t>
      </w:r>
      <w:r>
        <w:rPr>
          <w:rFonts w:ascii="Times New Roman" w:hAnsi="Times New Roman" w:eastAsia="Times New Roman"/>
          <w:sz w:val="18"/>
        </w:rPr>
        <w:t xml:space="preserve">] Green D, Hu X, Lore J, Mu L and Stowell M L 2022 An efficient high-order numerical solver for diffusion equations with strong anisotropy Computer Physics Communications 276 108333. doi:10.1016/j.cpc.2022.108333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13</w:t>
      </w:r>
      <w:r>
        <w:rPr>
          <w:rFonts w:ascii="Times New Roman" w:hAnsi="Times New Roman" w:eastAsia="Times New Roman"/>
          <w:sz w:val="18"/>
        </w:rPr>
        <w:t xml:space="preserve">] Koskela T, Christidi I, Giordano M, Dubrovska E, Quinn J, Maynard C et al 2023 Principles for automated and reproducible benchmarking Proc. SC '23 Workshops 609-618. doi:10.1145/3624062.3624133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14</w:t>
      </w:r>
      <w:r>
        <w:rPr>
          <w:rFonts w:ascii="Times New Roman" w:hAnsi="Times New Roman" w:eastAsia="Times New Roman"/>
          <w:sz w:val="18"/>
        </w:rPr>
        <w:t xml:space="preserve">] Standard Performance Evaluation Corporation 2021 734.hpgmgfv_m: SPEChpc 2021 Benchmark Description. https://www.spec.org/hpc2021/docs/benchmarks/734.hpgmgfv_m.html accessed 8 September 2026</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15</w:t>
      </w:r>
      <w:r>
        <w:rPr>
          <w:rFonts w:ascii="Times New Roman" w:hAnsi="Times New Roman" w:eastAsia="Times New Roman"/>
          <w:sz w:val="18"/>
        </w:rPr>
        <w:t xml:space="preserve">] Lawrence Livermore National Laboratory n.d. AMG2023: ATS-6 Benchmarks documentation. https://software.llnl.gov/benchmarks/10_amg/amg.html accessed 8 September 2026</w:t>
      </w:r>
    </w:p>
    <w:p>
      <w:pPr>
        <w:pStyle w:val="IOP-CS-ReferenceText"/>
        <w:spacing w:line="240" w:lineRule="auto" w:before="0" w:after="0"/>
      </w:pPr>
      <w:r>
        <w:rPr>
          <w:rFonts w:ascii="Times New Roman" w:hAnsi="Times New Roman" w:eastAsia="Times New Roman"/>
          <w:sz w:val="18"/>
          <w:highlight w:val="yellow"/>
        </w:rPr>
        <w:t xml:space="preserve">[16] D'Ambra P, Durastante F, Filippone S and Zikatanov L 2023 Automatic coarsening in algebraic multigrid utilizing quality measures for matching-based aggregations Computers &amp; Mathematics with Applications 144 290-305. doi:10.1016/j.camwa.2023.06.026</w:t>
      </w:r>
    </w:p>
    <w:p>
      <w:pPr>
        <w:pStyle w:val="IOP-CS-ReferenceText"/>
        <w:spacing w:line="240" w:lineRule="auto" w:before="0" w:after="0"/>
      </w:pPr>
      <w:r>
        <w:rPr>
          <w:rFonts w:ascii="Times New Roman" w:hAnsi="Times New Roman" w:eastAsia="Times New Roman"/>
          <w:sz w:val="18"/>
          <w:highlight w:val="yellow"/>
        </w:rPr>
        <w:t xml:space="preserve">[17] Anzt H, Cojean T, Flegar G, Göbel F, Grützmacher T, Nayak P et al 2022 Ginkgo: a modern linear operator algebra framework for high performance computing ACM Transactions on Mathematical Software 48 2:1-2:33. doi:10.1145/3480935</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18</w:t>
      </w:r>
      <w:r>
        <w:rPr>
          <w:rFonts w:ascii="Times New Roman" w:hAnsi="Times New Roman" w:eastAsia="Times New Roman"/>
          <w:sz w:val="18"/>
        </w:rPr>
        <w:t xml:space="preserve">] Pekkila J, Lappi O, Robertsen F and Korpi-Lagg M J 2025 Stencil computations on AMD and Nvidia graphics processors: performance and tuning strategies Concurrency and Computation: Practice and Experience 37 e70129. doi:10.1002/cpe.70129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19</w:t>
      </w:r>
      <w:r>
        <w:rPr>
          <w:rFonts w:ascii="Times New Roman" w:hAnsi="Times New Roman" w:eastAsia="Times New Roman"/>
          <w:sz w:val="18"/>
        </w:rPr>
        <w:t xml:space="preserve">] Makhmut Y, Imankulov T, Gorlatch S and Matkerim B 2026 A CUDA performance study of global- and shared-memory kernels for the Buckley-Leverett polymer-flooding problem Applied Sciences 16 5449. doi:10.3390/app16115449</w:t>
      </w:r>
    </w:p>
    <w:p>
      <w:pPr>
        <w:pStyle w:val="IOP-CS-ReferenceText"/>
        <w:spacing w:line="240" w:lineRule="auto" w:before="0" w:after="0"/>
      </w:pPr>
      <w:r>
        <w:rPr>
          <w:rFonts w:ascii="Times New Roman" w:hAnsi="Times New Roman" w:eastAsia="Times New Roman"/>
          <w:sz w:val="18"/>
          <w:highlight w:val="yellow"/>
        </w:rPr>
        <w:t xml:space="preserve">[20] Tsai Y-H M, Beams N and Anzt H 2023 Three-precision algebraic multigrid on GPUs Future Generation Computer Systems 149 280-293. doi:10.1016/j.future.2023.07.024</w:t>
      </w:r>
    </w:p>
    <w:p>
      <w:pPr>
        <w:pStyle w:val="IOP-CS-ReferenceText"/>
        <w:spacing w:line="240" w:lineRule="auto" w:before="0" w:after="0"/>
      </w:pPr>
      <w:r>
        <w:rPr>
          <w:rFonts w:ascii="Times New Roman" w:hAnsi="Times New Roman" w:eastAsia="Times New Roman"/>
          <w:sz w:val="18"/>
          <w:highlight w:val="yellow"/>
        </w:rPr>
        <w:t xml:space="preserve">[21] Graillat S, Jézéquel F, Mary T and Molina R 2024 Adaptive precision sparse matrix-vector product and its application to Krylov solvers SIAM Journal on Scientific Computing 46 C30-C56. doi:10.1137/22M1522619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22</w:t>
      </w:r>
      <w:r>
        <w:rPr>
          <w:rFonts w:ascii="Times New Roman" w:hAnsi="Times New Roman" w:eastAsia="Times New Roman"/>
          <w:sz w:val="18"/>
        </w:rPr>
        <w:t xml:space="preserve">] Aksoylu B, Graham I G, Klie H and Scheichl R 2008 Towards a rigorously justified algebraic preconditioner for high-contrast diffusion problems Computing and Visualization in Science 11 319-331. doi:10.1007/s00791-008-0105-1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23</w:t>
      </w:r>
      <w:r>
        <w:rPr>
          <w:rFonts w:ascii="Times New Roman" w:hAnsi="Times New Roman" w:eastAsia="Times New Roman"/>
          <w:sz w:val="18"/>
        </w:rPr>
        <w:t xml:space="preserve">] Aksoylu B and Yeter Z </w:t>
      </w:r>
      <w:r>
        <w:rPr>
          <w:rFonts w:ascii="Times New Roman" w:hAnsi="Times New Roman" w:eastAsia="Times New Roman"/>
          <w:sz w:val="18"/>
          <w:highlight w:val="yellow"/>
        </w:rPr>
        <w:t xml:space="preserve">2010</w:t>
      </w:r>
      <w:r>
        <w:rPr>
          <w:rFonts w:ascii="Times New Roman" w:hAnsi="Times New Roman" w:eastAsia="Times New Roman"/>
          <w:sz w:val="18"/>
        </w:rPr>
        <w:t xml:space="preserve"> Robust multigrid preconditioners for cell-centered finite volume discretization of the high-contrast diffusion equation </w:t>
      </w:r>
      <w:r>
        <w:rPr>
          <w:rFonts w:ascii="Times New Roman" w:hAnsi="Times New Roman" w:eastAsia="Times New Roman"/>
          <w:sz w:val="18"/>
          <w:highlight w:val="yellow"/>
        </w:rPr>
        <w:t xml:space="preserve">Computing</w:t>
      </w:r>
      <w:r>
        <w:rPr>
          <w:rFonts w:ascii="Times New Roman" w:hAnsi="Times New Roman" w:eastAsia="Times New Roman"/>
          <w:sz w:val="18"/>
        </w:rPr>
        <w:t xml:space="preserve"> </w:t>
      </w:r>
      <w:r>
        <w:rPr>
          <w:rFonts w:ascii="Times New Roman" w:hAnsi="Times New Roman" w:eastAsia="Times New Roman"/>
          <w:sz w:val="18"/>
          <w:highlight w:val="yellow"/>
        </w:rPr>
        <w:t xml:space="preserve">and Visualization in Science 13 229-245</w:t>
      </w:r>
      <w:r>
        <w:rPr>
          <w:rFonts w:ascii="Times New Roman" w:hAnsi="Times New Roman" w:eastAsia="Times New Roman"/>
          <w:sz w:val="18"/>
        </w:rPr>
        <w:t xml:space="preserve">. doi:10.</w:t>
      </w:r>
      <w:r>
        <w:rPr>
          <w:rFonts w:ascii="Times New Roman" w:hAnsi="Times New Roman" w:eastAsia="Times New Roman"/>
          <w:sz w:val="18"/>
          <w:highlight w:val="yellow"/>
        </w:rPr>
        <w:t xml:space="preserve">1007</w:t>
      </w:r>
      <w:r>
        <w:rPr>
          <w:rFonts w:ascii="Times New Roman" w:hAnsi="Times New Roman" w:eastAsia="Times New Roman"/>
          <w:sz w:val="18"/>
        </w:rPr>
        <w:t xml:space="preserve">/</w:t>
      </w:r>
      <w:r>
        <w:rPr>
          <w:rFonts w:ascii="Times New Roman" w:hAnsi="Times New Roman" w:eastAsia="Times New Roman"/>
          <w:sz w:val="18"/>
          <w:highlight w:val="yellow"/>
        </w:rPr>
        <w:t xml:space="preserve">s00791-010-0140-6</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24</w:t>
      </w:r>
      <w:r>
        <w:rPr>
          <w:rFonts w:ascii="Times New Roman" w:hAnsi="Times New Roman" w:eastAsia="Times New Roman"/>
          <w:sz w:val="18"/>
        </w:rPr>
        <w:t xml:space="preserve">] Carson E, Liesen J and Strakos Z 2024 Towards understanding CG and GMRES through examples Linear Algebra and its Applications 692 241-291. doi:10.1016/j.laa.2024.04.003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25</w:t>
      </w:r>
      <w:r>
        <w:rPr>
          <w:rFonts w:ascii="Times New Roman" w:hAnsi="Times New Roman" w:eastAsia="Times New Roman"/>
          <w:sz w:val="18"/>
        </w:rPr>
        <w:t xml:space="preserve">] Firmbach M, Phillips M, Glusa C, Popp A, Siefert C M and Mayr M 2026 Smoothed aggregation algebraic multigrid for problems with heterogeneous and anisotropic materials arXiv:2602.05686 (preprint). doi:10.48550/arXiv.2602.05686</w:t>
      </w:r>
    </w:p>
    <w:p>
      <w:pPr>
        <w:pStyle w:val="IOP-CS-ReferenceText"/>
        <w:spacing w:line="240" w:lineRule="auto" w:before="0" w:after="0"/>
      </w:pPr>
      <w:r>
        <w:rPr>
          <w:rFonts w:ascii="Times New Roman" w:hAnsi="Times New Roman" w:eastAsia="Times New Roman"/>
          <w:sz w:val="18"/>
          <w:highlight w:val="yellow"/>
        </w:rPr>
        <w:t xml:space="preserve">[26] Funk Y, Götz M and Anzt H 2022 Prediction of optimal solvers for sparse linear systems using deep learning Proc. 2022 SIAM Conference on Parallel Processing for Scientific Computing 14-24. doi:10.1137/1.9781611977141.2</w:t>
      </w:r>
    </w:p>
    <w:p>
      <w:pPr>
        <w:pStyle w:val="IOP-CS-ReferenceText"/>
        <w:spacing w:line="240" w:lineRule="auto" w:before="0" w:after="0"/>
      </w:pPr>
      <w:r>
        <w:rPr>
          <w:rFonts w:ascii="Times New Roman" w:hAnsi="Times New Roman" w:eastAsia="Times New Roman"/>
          <w:sz w:val="18"/>
          <w:highlight w:val="yellow"/>
        </w:rPr>
        <w:t xml:space="preserve">[27] Sun H-B, Jing Y-F and Xu X-W 2025 A new matrix feature selection strategy in machine learning models for certain Krylov solver prediction Journal of Classification 42 72-89. doi:10.1007/s00357-024-09484-0</w:t>
      </w:r>
    </w:p>
    <w:p>
      <w:pPr>
        <w:pStyle w:val="IOP-CS-ReferenceText"/>
        <w:spacing w:line="240" w:lineRule="auto" w:before="0" w:after="0"/>
      </w:pPr>
      <w:r>
        <w:rPr>
          <w:rFonts w:ascii="Times New Roman" w:hAnsi="Times New Roman" w:eastAsia="Times New Roman"/>
          <w:sz w:val="18"/>
          <w:highlight w:val="yellow"/>
        </w:rPr>
        <w:t xml:space="preserve">[28] Xiong H, Yang W, He W, Lin S, Li K and Li K 2025 MM-AutoSolver: a multimodal machine learning method for the auto-selection of iterative solvers and preconditioners Journal of Parallel and Distributed Computing 205 105144. doi:10.1016/j.jpdc.2025.105144</w:t>
      </w:r>
    </w:p>
    <w:p>
      <w:pPr>
        <w:pStyle w:val="IOP-CS-ReferenceText"/>
        <w:spacing w:line="240" w:lineRule="auto" w:before="0" w:after="0"/>
      </w:pPr>
      <w:r>
        <w:rPr>
          <w:rFonts w:ascii="Times New Roman" w:hAnsi="Times New Roman" w:eastAsia="Times New Roman"/>
          <w:sz w:val="18"/>
          <w:highlight w:val="yellow"/>
        </w:rPr>
        <w:t xml:space="preserve">[29] Zabegaev Y, Keilegavlen E, Iversen E and Berre I 2024 Automated linear solver selection for simulation of multiphysics processes in porous media Computer Methods in Applied Mechanics and Engineering 426 117031. doi:10.1016/j.cma.2024.117031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30</w:t>
      </w:r>
      <w:r>
        <w:rPr>
          <w:rFonts w:ascii="Times New Roman" w:hAnsi="Times New Roman" w:eastAsia="Times New Roman"/>
          <w:sz w:val="18"/>
        </w:rPr>
        <w:t xml:space="preserve">] Patankar S V 1980 Numerical Heat Transfer and Fluid Flow 1st edn (New York: Hemisphere). ISBN:9780891165224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31</w:t>
      </w:r>
      <w:r>
        <w:rPr>
          <w:rFonts w:ascii="Times New Roman" w:hAnsi="Times New Roman" w:eastAsia="Times New Roman"/>
          <w:sz w:val="18"/>
        </w:rPr>
        <w:t xml:space="preserve">] Hoefler T and Belli R 2015 Scientific benchmarking of parallel computing systems: twelve ways to tell the masses when reporting performance results Proc. International Conference for High Performance Computing, Networking, Storage and Analysis (SC15) 73:1-73:12. doi:10.1145/2807591.2807644</w:t>
      </w:r>
    </w:p>
    <w:sectPr w:rsidR="00507689" w:rsidRPr="00C23B8D" w:rsidSect="00CB34FC">
      <w:pgSz w:w="11906" w:h="16838"/>
      <w:pgMar w:top="2268" w:right="1417" w:bottom="1531" w:left="141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line="240" w:lineRule="auto" w:after="0"/>
    </w:pPr>
    <w:rPr>
      <w:rFonts w:ascii="Times New Roman" w:hAnsi="Times New Roman" w:eastAsia="Times New Roman"/>
      <w:sz w:val="20"/>
    </w:rPr>
  </w:style>
  <w:style w:type="paragraph" w:styleId="Heading1">
    <w:name w:val="heading 1"/>
    <w:basedOn w:val="Normal"/>
    <w:next w:val="Normal"/>
    <w:link w:val="Heading1Char"/>
    <w:uiPriority w:val="9"/>
    <w:semiHidden/>
    <w:locked/>
    <w:rsid w:val="00EF46FE"/>
    <w:pPr>
      <w:keepNext/>
      <w:keepLines/>
      <w:spacing w:before="360" w:after="80" w:line="240" w:lineRule="auto"/>
      <w:outlineLvl w:val="0"/>
    </w:pPr>
    <w:rPr>
      <w:rFonts w:asciiTheme="majorHAnsi" w:eastAsiaTheme="majorEastAsia" w:hAnsiTheme="majorHAnsi" w:cstheme="majorBidi" w:ascii="Times New Roman" w:hAnsi="Times New Roman" w:eastAsia="Times New Roman"/>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line="240" w:lineRule="auto"/>
      <w:outlineLvl w:val="1"/>
    </w:pPr>
    <w:rPr>
      <w:rFonts w:asciiTheme="majorHAnsi" w:eastAsiaTheme="majorEastAsia" w:hAnsiTheme="majorHAnsi" w:cstheme="majorBidi" w:ascii="Times New Roman" w:hAnsi="Times New Roman" w:eastAsia="Times New Roman"/>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line="240" w:lineRule="auto"/>
      <w:outlineLvl w:val="2"/>
    </w:pPr>
    <w:rPr>
      <w:rFonts w:eastAsiaTheme="majorEastAsia" w:cstheme="majorBidi" w:ascii="Times New Roman" w:hAnsi="Times New Roman" w:eastAsia="Times New Roman"/>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line="240" w:lineRule="auto"/>
      <w:outlineLvl w:val="3"/>
    </w:pPr>
    <w:rPr>
      <w:rFonts w:eastAsiaTheme="majorEastAsia" w:cstheme="majorBidi" w:ascii="Times New Roman" w:hAnsi="Times New Roman" w:eastAsia="Times New Roman"/>
      <w:i/>
      <w:iCs/>
      <w:color w:val="0F4761" w:themeColor="accent1" w:themeShade="BF"/>
      <w:sz w:val="20"/>
    </w:rPr>
  </w:style>
  <w:style w:type="paragraph" w:styleId="Heading5">
    <w:name w:val="heading 5"/>
    <w:basedOn w:val="Normal"/>
    <w:next w:val="Normal"/>
    <w:link w:val="Heading5Char"/>
    <w:uiPriority w:val="9"/>
    <w:semiHidden/>
    <w:qFormat/>
    <w:locked/>
    <w:rsid w:val="00EF46FE"/>
    <w:pPr>
      <w:keepNext/>
      <w:keepLines/>
      <w:spacing w:before="80" w:after="40" w:line="240" w:lineRule="auto"/>
      <w:outlineLvl w:val="4"/>
    </w:pPr>
    <w:rPr>
      <w:rFonts w:eastAsiaTheme="majorEastAsia" w:cstheme="majorBidi" w:ascii="Times New Roman" w:hAnsi="Times New Roman" w:eastAsia="Times New Roman"/>
      <w:color w:val="0F4761" w:themeColor="accent1" w:themeShade="BF"/>
      <w:sz w:val="20"/>
    </w:rPr>
  </w:style>
  <w:style w:type="paragraph" w:styleId="Heading6">
    <w:name w:val="heading 6"/>
    <w:basedOn w:val="Normal"/>
    <w:next w:val="Normal"/>
    <w:link w:val="Heading6Char"/>
    <w:uiPriority w:val="9"/>
    <w:semiHidden/>
    <w:qFormat/>
    <w:locked/>
    <w:rsid w:val="00EF46FE"/>
    <w:pPr>
      <w:keepNext/>
      <w:keepLines/>
      <w:spacing w:before="40" w:after="0" w:line="240" w:lineRule="auto"/>
      <w:outlineLvl w:val="5"/>
    </w:pPr>
    <w:rPr>
      <w:rFonts w:eastAsiaTheme="majorEastAsia" w:cstheme="majorBidi" w:ascii="Times New Roman" w:hAnsi="Times New Roman" w:eastAsia="Times New Roman"/>
      <w:i/>
      <w:iCs/>
      <w:color w:val="595959" w:themeColor="text1" w:themeTint="A6"/>
      <w:sz w:val="20"/>
    </w:rPr>
  </w:style>
  <w:style w:type="paragraph" w:styleId="Heading7">
    <w:name w:val="heading 7"/>
    <w:basedOn w:val="Normal"/>
    <w:next w:val="Normal"/>
    <w:link w:val="Heading7Char"/>
    <w:uiPriority w:val="9"/>
    <w:semiHidden/>
    <w:qFormat/>
    <w:locked/>
    <w:rsid w:val="00EF46FE"/>
    <w:pPr>
      <w:keepNext/>
      <w:keepLines/>
      <w:spacing w:before="40" w:after="0" w:line="240" w:lineRule="auto"/>
      <w:outlineLvl w:val="6"/>
    </w:pPr>
    <w:rPr>
      <w:rFonts w:eastAsiaTheme="majorEastAsia" w:cstheme="majorBidi" w:ascii="Times New Roman" w:hAnsi="Times New Roman" w:eastAsia="Times New Roman"/>
      <w:color w:val="595959" w:themeColor="text1" w:themeTint="A6"/>
      <w:sz w:val="20"/>
    </w:rPr>
  </w:style>
  <w:style w:type="paragraph" w:styleId="Heading8">
    <w:name w:val="heading 8"/>
    <w:basedOn w:val="Normal"/>
    <w:next w:val="Normal"/>
    <w:link w:val="Heading8Char"/>
    <w:uiPriority w:val="9"/>
    <w:semiHidden/>
    <w:qFormat/>
    <w:locked/>
    <w:rsid w:val="00EF46FE"/>
    <w:pPr>
      <w:keepNext/>
      <w:keepLines/>
      <w:spacing w:after="0" w:line="240" w:lineRule="auto"/>
      <w:outlineLvl w:val="7"/>
    </w:pPr>
    <w:rPr>
      <w:rFonts w:eastAsiaTheme="majorEastAsia" w:cstheme="majorBidi" w:ascii="Times New Roman" w:hAnsi="Times New Roman" w:eastAsia="Times New Roman"/>
      <w:i/>
      <w:iCs/>
      <w:color w:val="272727" w:themeColor="text1" w:themeTint="D8"/>
      <w:sz w:val="20"/>
    </w:rPr>
  </w:style>
  <w:style w:type="paragraph" w:styleId="Heading9">
    <w:name w:val="heading 9"/>
    <w:basedOn w:val="Normal"/>
    <w:next w:val="Normal"/>
    <w:link w:val="Heading9Char"/>
    <w:uiPriority w:val="9"/>
    <w:semiHidden/>
    <w:qFormat/>
    <w:locked/>
    <w:rsid w:val="00EF46FE"/>
    <w:pPr>
      <w:keepNext/>
      <w:keepLines/>
      <w:spacing w:after="0" w:line="240" w:lineRule="auto"/>
      <w:outlineLvl w:val="8"/>
    </w:pPr>
    <w:rPr>
      <w:rFonts w:eastAsiaTheme="majorEastAsia" w:cstheme="majorBidi" w:ascii="Times New Roman" w:hAnsi="Times New Roman" w:eastAsia="Times New Roman"/>
      <w:color w:val="272727" w:themeColor="text1" w:themeTint="D8"/>
      <w:sz w:val="20"/>
    </w:rPr>
  </w:style>
  <w:style w:type="character" w:default="1" w:styleId="DefaultParagraphFont">
    <w:name w:val="Default Paragraph Font"/>
    <w:uiPriority w:val="1"/>
    <w:semiHidden/>
    <w:unhideWhenUsed/>
    <w:rPr>
      <w:rFonts w:ascii="Times New Roman" w:hAnsi="Times New Roman" w:eastAsia="Times New Roman"/>
      <w:sz w:val="20"/>
    </w:rPr>
  </w:style>
  <w:style w:type="table" w:default="1" w:styleId="TableNormal">
    <w:name w:val="Normal Table"/>
    <w:uiPriority w:val="99"/>
    <w:semiHidden/>
    <w:unhideWhenUsed/>
    <w:pPr>
      <w:spacing w:line="240" w:lineRule="auto" w:after="0"/>
    </w:pPr>
    <w:rPr>
      <w:rFonts w:ascii="Times New Roman" w:hAnsi="Times New Roman" w:eastAsia="Times New Roman"/>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ascii="Times New Roman" w:hAnsi="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ascii="Times New Roman" w:hAnsi="Times New Roman" w:eastAsia="Times New Roman"/>
      <w:i/>
      <w:iCs/>
      <w:color w:val="0F4761" w:themeColor="accent1" w:themeShade="BF"/>
      <w:sz w:val="20"/>
    </w:rPr>
  </w:style>
  <w:style w:type="character" w:customStyle="1" w:styleId="Heading5Char">
    <w:name w:val="Heading 5 Char"/>
    <w:basedOn w:val="DefaultParagraphFont"/>
    <w:link w:val="Heading5"/>
    <w:uiPriority w:val="9"/>
    <w:semiHidden/>
    <w:rsid w:val="00A96848"/>
    <w:rPr>
      <w:rFonts w:eastAsiaTheme="majorEastAsia" w:cstheme="majorBidi" w:ascii="Times New Roman" w:hAnsi="Times New Roman" w:eastAsia="Times New Roman"/>
      <w:color w:val="0F4761" w:themeColor="accent1" w:themeShade="BF"/>
      <w:sz w:val="20"/>
    </w:rPr>
  </w:style>
  <w:style w:type="character" w:customStyle="1" w:styleId="Heading6Char">
    <w:name w:val="Heading 6 Char"/>
    <w:basedOn w:val="DefaultParagraphFont"/>
    <w:link w:val="Heading6"/>
    <w:uiPriority w:val="9"/>
    <w:semiHidden/>
    <w:rsid w:val="00A96848"/>
    <w:rPr>
      <w:rFonts w:eastAsiaTheme="majorEastAsia" w:cstheme="majorBidi" w:ascii="Times New Roman" w:hAnsi="Times New Roman" w:eastAsia="Times New Roman"/>
      <w:i/>
      <w:iCs/>
      <w:color w:val="595959" w:themeColor="text1" w:themeTint="A6"/>
      <w:sz w:val="20"/>
    </w:rPr>
  </w:style>
  <w:style w:type="character" w:customStyle="1" w:styleId="Heading7Char">
    <w:name w:val="Heading 7 Char"/>
    <w:basedOn w:val="DefaultParagraphFont"/>
    <w:link w:val="Heading7"/>
    <w:uiPriority w:val="9"/>
    <w:semiHidden/>
    <w:rsid w:val="00A96848"/>
    <w:rPr>
      <w:rFonts w:eastAsiaTheme="majorEastAsia" w:cstheme="majorBidi" w:ascii="Times New Roman" w:hAnsi="Times New Roman" w:eastAsia="Times New Roman"/>
      <w:color w:val="595959" w:themeColor="text1" w:themeTint="A6"/>
      <w:sz w:val="20"/>
    </w:rPr>
  </w:style>
  <w:style w:type="character" w:customStyle="1" w:styleId="Heading8Char">
    <w:name w:val="Heading 8 Char"/>
    <w:basedOn w:val="DefaultParagraphFont"/>
    <w:link w:val="Heading8"/>
    <w:uiPriority w:val="9"/>
    <w:semiHidden/>
    <w:rsid w:val="00A96848"/>
    <w:rPr>
      <w:rFonts w:eastAsiaTheme="majorEastAsia" w:cstheme="majorBidi" w:ascii="Times New Roman" w:hAnsi="Times New Roman" w:eastAsia="Times New Roman"/>
      <w:i/>
      <w:iCs/>
      <w:color w:val="272727" w:themeColor="text1" w:themeTint="D8"/>
      <w:sz w:val="20"/>
    </w:rPr>
  </w:style>
  <w:style w:type="character" w:customStyle="1" w:styleId="Heading9Char">
    <w:name w:val="Heading 9 Char"/>
    <w:basedOn w:val="DefaultParagraphFont"/>
    <w:link w:val="Heading9"/>
    <w:uiPriority w:val="9"/>
    <w:semiHidden/>
    <w:rsid w:val="00A96848"/>
    <w:rPr>
      <w:rFonts w:eastAsiaTheme="majorEastAsia" w:cstheme="majorBidi" w:ascii="Times New Roman" w:hAnsi="Times New Roman" w:eastAsia="Times New Roman"/>
      <w:color w:val="272727" w:themeColor="text1" w:themeTint="D8"/>
      <w:sz w:val="20"/>
    </w:rPr>
  </w:style>
  <w:style w:type="paragraph" w:customStyle="1" w:styleId="IOP-CS-TableText">
    <w:name w:val="IOP-CS-TableText"/>
    <w:basedOn w:val="IOP-CS-CaptionText"/>
    <w:link w:val="IOP-CS-TableTextChar"/>
    <w:qFormat/>
    <w:rsid w:val="00734E4D"/>
    <w:pPr>
      <w:spacing w:line="240" w:lineRule="auto" w:after="0"/>
    </w:pPr>
    <w:rPr>
      <w:rFonts w:ascii="Times New Roman" w:hAnsi="Times New Roman" w:eastAsia="Times New Roman"/>
      <w:sz w:val="16"/>
    </w:rPr>
  </w:style>
  <w:style w:type="character" w:customStyle="1" w:styleId="IOP-CS-TableTextChar">
    <w:name w:val="IOP-CS-TableText Char"/>
    <w:basedOn w:val="IOP-CS-CaptionTextChar"/>
    <w:link w:val="IOP-CS-TableText"/>
    <w:rsid w:val="00734E4D"/>
    <w:rPr>
      <w:rFonts w:ascii="Times New Roman" w:hAnsi="Times New Roman" w:eastAsia="Times New Roman"/>
      <w:sz w:val="16"/>
    </w:rPr>
  </w:style>
  <w:style w:type="paragraph" w:customStyle="1" w:styleId="IOP-CS-ReferenceText">
    <w:name w:val="IOP-CS-ReferenceText"/>
    <w:link w:val="IOP-CS-ReferenceTextChar"/>
    <w:qFormat/>
    <w:rsid w:val="004B7F0C"/>
    <w:pPr>
      <w:spacing w:after="0" w:line="240" w:lineRule="auto"/>
    </w:pPr>
    <w:rPr>
      <w:rFonts w:ascii="Times New Roman" w:hAnsi="Times New Roman" w:eastAsia="Times New Roman"/>
      <w:sz w:val="18"/>
    </w:rPr>
  </w:style>
  <w:style w:type="character" w:customStyle="1" w:styleId="IOP-CS-ReferenceTextChar">
    <w:name w:val="IOP-CS-ReferenceText Char"/>
    <w:basedOn w:val="DefaultParagraphFont"/>
    <w:link w:val="IOP-CS-ReferenceText"/>
    <w:rsid w:val="004B7F0C"/>
    <w:rPr>
      <w:rFonts w:ascii="Times New Roman" w:hAnsi="Times New Roman" w:eastAsia="Times New Roman"/>
      <w:sz w:val="18"/>
    </w:rPr>
  </w:style>
  <w:style w:type="paragraph" w:styleId="Quote">
    <w:name w:val="Quote"/>
    <w:basedOn w:val="Normal"/>
    <w:next w:val="Normal"/>
    <w:link w:val="QuoteChar"/>
    <w:uiPriority w:val="29"/>
    <w:semiHidden/>
    <w:locked/>
    <w:rsid w:val="00EF46FE"/>
    <w:pPr>
      <w:spacing w:before="160" w:line="240" w:lineRule="auto" w:after="0"/>
      <w:jc w:val="center"/>
    </w:pPr>
    <w:rPr>
      <w:rFonts w:ascii="Times New Roman" w:hAnsi="Times New Roman" w:eastAsia="Times New Roman"/>
      <w:i/>
      <w:iCs/>
      <w:color w:val="404040" w:themeColor="text1" w:themeTint="BF"/>
      <w:sz w:val="20"/>
    </w:rPr>
  </w:style>
  <w:style w:type="character" w:customStyle="1" w:styleId="QuoteChar">
    <w:name w:val="Quote Char"/>
    <w:basedOn w:val="DefaultParagraphFont"/>
    <w:link w:val="Quote"/>
    <w:uiPriority w:val="29"/>
    <w:semiHidden/>
    <w:rsid w:val="00A96848"/>
    <w:rPr>
      <w:rFonts w:ascii="Times New Roman" w:hAnsi="Times New Roman" w:eastAsia="Times New Roman"/>
      <w:i/>
      <w:iCs/>
      <w:color w:val="404040" w:themeColor="text1" w:themeTint="BF"/>
      <w:sz w:val="20"/>
    </w:rPr>
  </w:style>
  <w:style w:type="paragraph" w:styleId="ListParagraph">
    <w:name w:val="List Paragraph"/>
    <w:basedOn w:val="Normal"/>
    <w:uiPriority w:val="34"/>
    <w:semiHidden/>
    <w:locked/>
    <w:rsid w:val="00EF46FE"/>
    <w:pPr>
      <w:spacing w:line="240" w:lineRule="auto" w:after="0"/>
      <w:ind w:left="720"/>
      <w:contextualSpacing/>
    </w:pPr>
    <w:rPr>
      <w:rFonts w:ascii="Times New Roman" w:hAnsi="Times New Roman" w:eastAsia="Times New Roman"/>
      <w:sz w:val="20"/>
    </w:rPr>
  </w:style>
  <w:style w:type="character" w:styleId="IntenseEmphasis">
    <w:name w:val="Intense Emphasis"/>
    <w:basedOn w:val="DefaultParagraphFont"/>
    <w:uiPriority w:val="21"/>
    <w:semiHidden/>
    <w:locked/>
    <w:rsid w:val="00EF46FE"/>
    <w:rPr>
      <w:rFonts w:ascii="Times New Roman" w:hAnsi="Times New Roman" w:eastAsia="Times New Roman"/>
      <w:i/>
      <w:iCs/>
      <w:color w:val="0F4761" w:themeColor="accent1" w:themeShade="BF"/>
      <w:sz w:val="20"/>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hAnsi="Times New Roman" w:eastAsia="Times New Roman"/>
      <w:i/>
      <w:iCs/>
      <w:color w:val="0F4761" w:themeColor="accent1" w:themeShade="BF"/>
      <w:sz w:val="20"/>
    </w:rPr>
  </w:style>
  <w:style w:type="character" w:customStyle="1" w:styleId="IntenseQuoteChar">
    <w:name w:val="Intense Quote Char"/>
    <w:basedOn w:val="DefaultParagraphFont"/>
    <w:link w:val="IntenseQuote"/>
    <w:uiPriority w:val="30"/>
    <w:semiHidden/>
    <w:rsid w:val="00A96848"/>
    <w:rPr>
      <w:rFonts w:ascii="Times New Roman" w:hAnsi="Times New Roman" w:eastAsia="Times New Roman"/>
      <w:i/>
      <w:iCs/>
      <w:color w:val="0F4761" w:themeColor="accent1" w:themeShade="BF"/>
      <w:sz w:val="20"/>
    </w:rPr>
  </w:style>
  <w:style w:type="character" w:styleId="IntenseReference">
    <w:name w:val="Intense Reference"/>
    <w:basedOn w:val="DefaultParagraphFont"/>
    <w:uiPriority w:val="32"/>
    <w:semiHidden/>
    <w:locked/>
    <w:rsid w:val="00EF46FE"/>
    <w:rPr>
      <w:rFonts w:ascii="Times New Roman" w:hAnsi="Times New Roman" w:eastAsia="Times New Roman"/>
      <w:b/>
      <w:bCs/>
      <w:smallCaps/>
      <w:color w:val="0F4761" w:themeColor="accent1" w:themeShade="BF"/>
      <w:spacing w:val="5"/>
      <w:sz w:val="20"/>
    </w:rPr>
  </w:style>
  <w:style w:type="paragraph" w:customStyle="1" w:styleId="IOP-CS-Title">
    <w:name w:val="IOP-CS-Title"/>
    <w:basedOn w:val="Normal"/>
    <w:link w:val="IOP-CS-TitleChar"/>
    <w:qFormat/>
    <w:rsid w:val="000845DB"/>
    <w:pPr>
      <w:spacing w:after="480" w:line="240" w:lineRule="auto"/>
    </w:pPr>
    <w:rPr>
      <w:rFonts w:asciiTheme="minorBidi" w:hAnsiTheme="minorBidi" w:ascii="Times New Roman" w:hAnsi="Times New Roman" w:eastAsia="Times New Roman"/>
      <w:b/>
      <w:sz w:val="36"/>
      <w:szCs w:val="36"/>
    </w:rPr>
  </w:style>
  <w:style w:type="character" w:customStyle="1" w:styleId="IOP-CS-TitleChar">
    <w:name w:val="IOP-CS-Title Char"/>
    <w:basedOn w:val="DefaultParagraphFont"/>
    <w:link w:val="IOP-CS-Title"/>
    <w:rsid w:val="000845DB"/>
    <w:rPr>
      <w:rFonts w:asciiTheme="minorBidi" w:hAnsiTheme="minorBidi" w:ascii="Times New Roman" w:hAnsi="Times New Roman" w:eastAsia="Times New Roman"/>
      <w:b/>
      <w:sz w:val="36"/>
      <w:szCs w:val="36"/>
    </w:rPr>
  </w:style>
  <w:style w:type="paragraph" w:customStyle="1" w:styleId="IOP-CS-Author">
    <w:name w:val="IOP-CS-Author"/>
    <w:basedOn w:val="Normal"/>
    <w:link w:val="IOP-CS-AuthorChar"/>
    <w:qFormat/>
    <w:rsid w:val="00A662B6"/>
    <w:pPr>
      <w:spacing w:after="240" w:line="240" w:lineRule="auto"/>
      <w:ind w:left="1418"/>
    </w:pPr>
    <w:rPr>
      <w:rFonts w:ascii="Times New Roman" w:hAnsi="Times New Roman" w:eastAsia="Times New Roman"/>
      <w:b/>
      <w:bCs/>
      <w:sz w:val="20"/>
    </w:rPr>
  </w:style>
  <w:style w:type="character" w:customStyle="1" w:styleId="IOP-CS-AuthorChar">
    <w:name w:val="IOP-CS-Author Char"/>
    <w:basedOn w:val="DefaultParagraphFont"/>
    <w:link w:val="IOP-CS-Author"/>
    <w:rsid w:val="00A662B6"/>
    <w:rPr>
      <w:rFonts w:ascii="Times New Roman" w:hAnsi="Times New Roman" w:eastAsia="Times New Roman"/>
      <w:b/>
      <w:bCs/>
      <w:sz w:val="20"/>
    </w:rPr>
  </w:style>
  <w:style w:type="paragraph" w:customStyle="1" w:styleId="IOP-CS-Affiliation">
    <w:name w:val="IOP-CS-Affiliation"/>
    <w:basedOn w:val="Normal"/>
    <w:link w:val="IOP-CS-AffiliationChar"/>
    <w:qFormat/>
    <w:rsid w:val="000B2CE3"/>
    <w:pPr>
      <w:spacing w:after="0" w:line="240" w:lineRule="auto"/>
      <w:ind w:left="1418"/>
    </w:pPr>
    <w:rPr>
      <w:rFonts w:ascii="Times New Roman" w:hAnsi="Times New Roman" w:eastAsia="Times New Roman"/>
      <w:sz w:val="20"/>
      <w:szCs w:val="20"/>
    </w:rPr>
  </w:style>
  <w:style w:type="character" w:customStyle="1" w:styleId="IOP-CS-AffiliationChar">
    <w:name w:val="IOP-CS-Affiliation Char"/>
    <w:basedOn w:val="DefaultParagraphFont"/>
    <w:link w:val="IOP-CS-Affiliation"/>
    <w:rsid w:val="000B2CE3"/>
    <w:rPr>
      <w:rFonts w:ascii="Times New Roman" w:hAnsi="Times New Roman" w:eastAsia="Times New Roman"/>
      <w:sz w:val="20"/>
      <w:szCs w:val="20"/>
    </w:rPr>
  </w:style>
  <w:style w:type="character" w:styleId="Hyperlink">
    <w:name w:val="Hyperlink"/>
    <w:basedOn w:val="DefaultParagraphFont"/>
    <w:uiPriority w:val="99"/>
    <w:semiHidden/>
    <w:locked/>
    <w:rsid w:val="005D53A8"/>
    <w:rPr>
      <w:rFonts w:ascii="Times New Roman" w:hAnsi="Times New Roman" w:eastAsia="Times New Roman"/>
      <w:color w:val="467886" w:themeColor="hyperlink"/>
      <w:sz w:val="20"/>
      <w:u w:val="single"/>
    </w:rPr>
  </w:style>
  <w:style w:type="character" w:styleId="UnresolvedMention">
    <w:name w:val="Unresolved Mention"/>
    <w:basedOn w:val="DefaultParagraphFont"/>
    <w:uiPriority w:val="99"/>
    <w:semiHidden/>
    <w:locked/>
    <w:rsid w:val="005D53A8"/>
    <w:rPr>
      <w:rFonts w:ascii="Times New Roman" w:hAnsi="Times New Roman" w:eastAsia="Times New Roman"/>
      <w:color w:val="605E5C"/>
      <w:sz w:val="20"/>
      <w:shd w:val="clear" w:color="auto" w:fill="E1DFDD"/>
    </w:rPr>
  </w:style>
  <w:style w:type="paragraph" w:customStyle="1" w:styleId="IOP-CS-Abstract">
    <w:name w:val="IOP-CS-Abstract"/>
    <w:basedOn w:val="IOP-CS-Affiliation"/>
    <w:link w:val="IOP-CS-AbstractChar"/>
    <w:qFormat/>
    <w:rsid w:val="00480D6D"/>
    <w:pPr>
      <w:spacing w:after="360" w:line="240" w:lineRule="auto"/>
      <w:jc w:val="both"/>
    </w:pPr>
    <w:rPr>
      <w:rFonts w:ascii="Times New Roman" w:hAnsi="Times New Roman" w:eastAsia="Times New Roman"/>
      <w:sz w:val="22"/>
      <w:szCs w:val="22"/>
    </w:rPr>
  </w:style>
  <w:style w:type="character" w:customStyle="1" w:styleId="IOP-CS-AbstractChar">
    <w:name w:val="IOP-CS-Abstract Char"/>
    <w:basedOn w:val="IOP-CS-AffiliationChar"/>
    <w:link w:val="IOP-CS-Abstract"/>
    <w:rsid w:val="00480D6D"/>
    <w:rPr>
      <w:rFonts w:ascii="Times New Roman" w:hAnsi="Times New Roman" w:eastAsia="Times New Roman"/>
      <w:sz w:val="20"/>
      <w:szCs w:val="20"/>
    </w:rPr>
  </w:style>
  <w:style w:type="paragraph" w:customStyle="1" w:styleId="IOP-CS-SectionHead">
    <w:name w:val="IOP-CS-SectionHead"/>
    <w:next w:val="IOP-CS-BodyNoIndent"/>
    <w:link w:val="IOP-CS-SectionHeadChar"/>
    <w:qFormat/>
    <w:rsid w:val="005C75D8"/>
    <w:pPr>
      <w:spacing w:before="360" w:after="120" w:line="240" w:lineRule="auto"/>
    </w:pPr>
    <w:rPr>
      <w:rFonts w:ascii="Times New Roman" w:hAnsi="Times New Roman" w:eastAsia="Times New Roman"/>
      <w:b/>
      <w:bCs/>
      <w:sz w:val="20"/>
    </w:rPr>
  </w:style>
  <w:style w:type="character" w:customStyle="1" w:styleId="IOP-CS-SectionHeadChar">
    <w:name w:val="IOP-CS-SectionHead Char"/>
    <w:basedOn w:val="IOP-CS-AffiliationChar"/>
    <w:link w:val="IOP-CS-SectionHead"/>
    <w:rsid w:val="005C75D8"/>
    <w:rPr>
      <w:rFonts w:ascii="Times New Roman" w:hAnsi="Times New Roman" w:eastAsia="Times New Roman"/>
      <w:b/>
      <w:bCs/>
      <w:sz w:val="20"/>
      <w:szCs w:val="20"/>
    </w:rPr>
  </w:style>
  <w:style w:type="paragraph" w:customStyle="1" w:styleId="IOP-CS-BodyText">
    <w:name w:val="IOP-CS-BodyText"/>
    <w:link w:val="IOP-CS-BodyTextChar"/>
    <w:qFormat/>
    <w:rsid w:val="00480D6D"/>
    <w:pPr>
      <w:spacing w:after="0" w:line="240" w:lineRule="auto"/>
      <w:ind w:firstLine="425"/>
      <w:jc w:val="both"/>
    </w:pPr>
    <w:rPr>
      <w:rFonts w:ascii="Times New Roman" w:hAnsi="Times New Roman" w:eastAsia="Times New Roman"/>
      <w:sz w:val="20"/>
    </w:rPr>
  </w:style>
  <w:style w:type="character" w:customStyle="1" w:styleId="IOP-CS-BodyTextChar">
    <w:name w:val="IOP-CS-BodyText Char"/>
    <w:basedOn w:val="IOP-CS-AffiliationChar"/>
    <w:link w:val="IOP-CS-BodyText"/>
    <w:rsid w:val="00480D6D"/>
    <w:rPr>
      <w:rFonts w:ascii="Times New Roman" w:hAnsi="Times New Roman" w:eastAsia="Times New Roman"/>
      <w:sz w:val="20"/>
      <w:szCs w:val="20"/>
    </w:rPr>
  </w:style>
  <w:style w:type="paragraph" w:customStyle="1" w:styleId="IOP-CS-SubsectionHeading">
    <w:name w:val="IOP-CS-SubsectionHeading"/>
    <w:next w:val="IOP-CS-BodyNoIndent"/>
    <w:link w:val="IOP-CS-SubsectionHeadingChar"/>
    <w:qFormat/>
    <w:rsid w:val="00AD74B4"/>
    <w:pPr>
      <w:spacing w:before="160" w:after="0" w:line="240" w:lineRule="auto"/>
    </w:pPr>
    <w:rPr>
      <w:rFonts w:ascii="Times New Roman" w:hAnsi="Times New Roman" w:eastAsia="Times New Roman"/>
      <w:i/>
      <w:iCs/>
      <w:sz w:val="20"/>
    </w:rPr>
  </w:style>
  <w:style w:type="character" w:customStyle="1" w:styleId="IOP-CS-SubsectionHeadingChar">
    <w:name w:val="IOP-CS-SubsectionHeading Char"/>
    <w:basedOn w:val="IOP-CS-BodyTextChar"/>
    <w:link w:val="IOP-CS-SubsectionHeading"/>
    <w:rsid w:val="00AD74B4"/>
    <w:rPr>
      <w:rFonts w:ascii="Times New Roman" w:hAnsi="Times New Roman" w:eastAsia="Times New Roman"/>
      <w:i/>
      <w:iCs/>
      <w:sz w:val="20"/>
      <w:szCs w:val="20"/>
    </w:rPr>
  </w:style>
  <w:style w:type="paragraph" w:customStyle="1" w:styleId="IOP-CS-BodyNoIndent">
    <w:name w:val="IOP-CS-BodyNoIndent"/>
    <w:basedOn w:val="IOP-CS-BodyText"/>
    <w:next w:val="IOP-CS-BodyText"/>
    <w:link w:val="IOP-CS-BodyNoIndentChar"/>
    <w:qFormat/>
    <w:rsid w:val="00480D6D"/>
    <w:pPr>
      <w:spacing w:line="240" w:lineRule="auto" w:after="0"/>
      <w:ind w:firstLine="0"/>
    </w:pPr>
    <w:rPr>
      <w:rFonts w:ascii="Times New Roman" w:hAnsi="Times New Roman" w:eastAsia="Times New Roman"/>
      <w:sz w:val="20"/>
    </w:rPr>
  </w:style>
  <w:style w:type="character" w:customStyle="1" w:styleId="IOP-CS-BodyNoIndentChar">
    <w:name w:val="IOP-CS-BodyNoIndent Char"/>
    <w:basedOn w:val="IOP-CS-BodyTextChar"/>
    <w:link w:val="IOP-CS-BodyNoIndent"/>
    <w:rsid w:val="00480D6D"/>
    <w:rPr>
      <w:rFonts w:ascii="Times New Roman" w:hAnsi="Times New Roman" w:eastAsia="Times New Roman"/>
      <w:sz w:val="20"/>
      <w:szCs w:val="20"/>
    </w:rPr>
  </w:style>
  <w:style w:type="paragraph" w:customStyle="1" w:styleId="IOP-CS-CaptionText">
    <w:name w:val="IOP-CS-CaptionText"/>
    <w:link w:val="IOP-CS-CaptionTextChar"/>
    <w:qFormat/>
    <w:rsid w:val="004860AF"/>
    <w:pPr>
      <w:spacing w:line="240" w:lineRule="auto" w:after="0"/>
    </w:pPr>
    <w:rPr>
      <w:rFonts w:ascii="Times New Roman" w:hAnsi="Times New Roman" w:eastAsia="Times New Roman"/>
      <w:sz w:val="20"/>
    </w:rPr>
  </w:style>
  <w:style w:type="character" w:customStyle="1" w:styleId="IOP-CS-CaptionTextChar">
    <w:name w:val="IOP-CS-CaptionText Char"/>
    <w:basedOn w:val="DefaultParagraphFont"/>
    <w:link w:val="IOP-CS-CaptionText"/>
    <w:rsid w:val="004860AF"/>
    <w:rPr>
      <w:rFonts w:ascii="Times New Roman" w:hAnsi="Times New Roman" w:eastAsia="Times New Roman"/>
      <w:sz w:val="20"/>
    </w:rPr>
  </w:style>
  <w:style w:type="table" w:styleId="TableGrid">
    <w:name w:val="Table Grid"/>
    <w:basedOn w:val="TableNormal"/>
    <w:uiPriority w:val="59"/>
    <w:locked/>
    <w:rsid w:val="00BF7225"/>
    <w:pPr>
      <w:spacing w:after="0" w:line="240" w:lineRule="auto"/>
    </w:pPr>
    <w:rPr>
      <w:rFonts w:ascii="Times New Roman" w:eastAsia="Times New Roman" w:hAnsi="Times New Roman" w:cs="Arial"/>
      <w:kern w:val="0"/>
      <w14:ligatures w14:val="none"/>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40" w:lineRule="auto"/>
    </w:pPr>
    <w:rPr>
      <w:rFonts w:ascii="Times New Roman" w:eastAsia="Times New Roman" w:hAnsi="Times New Roman"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Times New Roman" w:eastAsia="Times New Roman" w:hAnsi="Times New Roman"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Times New Roman" w:eastAsia="Times New Roman" w:hAnsi="Times New Roman"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Times New Roman" w:eastAsia="Times New Roman" w:hAnsi="Times New Roman"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Times New Roman" w:eastAsia="Times New Roman" w:hAnsi="Times New Roman"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Times New Roman" w:eastAsia="Times New Roman" w:hAnsi="Times New Roman"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Coefficient-Aware Finite-Difference Benchmark for Solver Selection and CPU/GPU Stencil Scaling in Heat-Conduction Simulation</dc:title>
  <dc:subject>ICEMCE 2026 reproducible heat-conduction benchmark</dc:subject>
  <dc:creator>Dong Liu</dc:creator>
  <cp:keywords>heat conduction; finite difference; sparse solvers; algebraic multigrid; CPU/GPU stencil scaling; reproducible benchmark</cp:keywords>
  <dc:description/>
  <cp:lastModifiedBy>Dong Liu</cp:lastModifiedBy>
  <cp:revision>1</cp:revision>
  <dcterms:created xsi:type="dcterms:W3CDTF">2026-09-23T10:00:40Z</dcterms:created>
  <dcterms:modified xsi:type="dcterms:W3CDTF">2026-09-23T10:00:40Z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