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i/>
          <w:iCs/>
          <w:color w:val="808080"/>
          <w:sz w:val="18"/>
          <w:szCs w:val="18"/>
        </w:rPr>
        <w:t xml:space="preserve">Restricted – Internal</w:t>
      </w:r>
    </w:p>
    <w:p>
      <w:pPr>
        <w:spacing w:after="60" w:before="120"/>
        <w:jc w:val="center"/>
      </w:pPr>
      <w:r>
        <w:rPr>
          <w:rFonts w:ascii="Calibri" w:cs="Calibri" w:eastAsia="Calibri" w:hAnsi="Calibri"/>
          <w:b/>
          <w:bCs/>
          <w:sz w:val="26"/>
          <w:szCs w:val="26"/>
        </w:rPr>
        <w:t xml:space="preserve">MEMORANDUM</w:t>
      </w:r>
    </w:p>
    <w:p>
      <w:pPr>
        <w:spacing w:after="300"/>
        <w:jc w:val="center"/>
      </w:pPr>
      <w:r>
        <w:rPr>
          <w:rFonts w:ascii="Calibri" w:cs="Calibri" w:eastAsia="Calibri" w:hAnsi="Calibri"/>
          <w:b/>
          <w:bCs/>
          <w:sz w:val="22"/>
          <w:szCs w:val="22"/>
        </w:rPr>
        <w:t xml:space="preserve">Closure of Audit Finding — CCR RWA (GMD4929) and CCR P&amp;L (GMD2601) Stress Testing Model Procedures</w:t>
      </w:r>
    </w:p>
    <w:p>
      <w:pPr>
        <w:spacing w:after="300"/>
      </w:pPr>
      <w:r>
        <w:rPr>
          <w:rFonts w:ascii="Calibri" w:cs="Calibri" w:eastAsia="Calibri" w:hAnsi="Calibri"/>
          <w:sz w:val="22"/>
          <w:szCs w:val="22"/>
        </w:rPr>
        <w:t xml:space="preserve">[DATE]</w:t>
      </w:r>
    </w:p>
    <w:p>
      <w:pPr>
        <w:spacing w:after="200" w:line="276"/>
      </w:pPr>
      <w:r>
        <w:rPr>
          <w:rFonts w:ascii="Calibri" w:cs="Calibri" w:eastAsia="Calibri" w:hAnsi="Calibri"/>
          <w:sz w:val="22"/>
          <w:szCs w:val="22"/>
        </w:rPr>
        <w:t xml:space="preserve">Dear Audit Team,</w:t>
      </w:r>
    </w:p>
    <w:p>
      <w:pPr>
        <w:spacing w:after="200" w:line="276"/>
      </w:pPr>
      <w:r>
        <w:rPr>
          <w:rFonts w:ascii="Calibri" w:cs="Calibri" w:eastAsia="Calibri" w:hAnsi="Calibri"/>
          <w:sz w:val="22"/>
          <w:szCs w:val="22"/>
        </w:rPr>
        <w:t xml:space="preserve">We are writing to confirm closure of the audit finding relating to the Standard Operating Procedures (SOPs) governing the two Counterparty Credit Risk (CCR) stress testing models within Wholesale Credit Risk: the CCR RWA Stress Testing model (GMD4929) and the CCR P&amp;L Calculation Stress Tests model (GMD2601). The finding comprised seven points, each addressed below with reference to the governing SOP for each model. All seven points are closed; the SOPs themselves, referenced throughout, provide the supporting evidence.</w:t>
      </w:r>
    </w:p>
    <w:p>
      <w:pPr>
        <w:spacing w:after="120" w:before="240"/>
      </w:pPr>
      <w:r>
        <w:rPr>
          <w:rFonts w:ascii="Calibri" w:cs="Calibri" w:eastAsia="Calibri" w:hAnsi="Calibri"/>
          <w:b/>
          <w:bCs/>
          <w:sz w:val="22"/>
          <w:szCs w:val="22"/>
        </w:rPr>
        <w:t xml:space="preserve">Response to Audit Points</w:t>
      </w:r>
    </w:p>
    <w:p>
      <w:pPr>
        <w:spacing w:after="80" w:before="200"/>
      </w:pPr>
      <w:r>
        <w:rPr>
          <w:rFonts w:ascii="Calibri" w:cs="Calibri" w:eastAsia="Calibri" w:hAnsi="Calibri"/>
          <w:b/>
          <w:bCs/>
          <w:sz w:val="22"/>
          <w:szCs w:val="22"/>
        </w:rPr>
        <w:t xml:space="preserve">1. PASCAL DQMT UAT</w:t>
      </w:r>
    </w:p>
    <w:p>
      <w:pPr>
        <w:pStyle w:val="ListParagraph"/>
        <w:numPr>
          <w:ilvl w:val="0"/>
          <w:numId w:val="2"/>
        </w:numPr>
        <w:spacing w:after="60" w:line="276"/>
      </w:pPr>
      <w:r>
        <w:rPr>
          <w:rFonts w:ascii="Calibri" w:cs="Calibri" w:eastAsia="Calibri" w:hAnsi="Calibri"/>
          <w:b/>
          <w:bCs/>
          <w:sz w:val="22"/>
          <w:szCs w:val="22"/>
        </w:rPr>
        <w:t xml:space="preserve">CCR P&amp;L (GMD2601): </w:t>
      </w:r>
      <w:r>
        <w:rPr>
          <w:rFonts w:ascii="Calibri" w:cs="Calibri" w:eastAsia="Calibri" w:hAnsi="Calibri"/>
          <w:sz w:val="22"/>
          <w:szCs w:val="22"/>
        </w:rPr>
        <w:t xml:space="preserve">PASCAL DQMT (Data Quality Management Testing) UAT has been completed for the P&amp;L model's EBA submission pathway. This included pushing model output to PASCAL and the EBA template, a completeness review of the submitted template, and structured UAT testing covering comment-box justification, upload of corrected templates, and negative testing — under which defects identified during testing were resolved by IT, with testing confirmed as successfully completed.</w:t>
      </w:r>
    </w:p>
    <w:p>
      <w:pPr>
        <w:spacing w:after="160" w:line="276"/>
        <w:ind w:left="1080"/>
      </w:pPr>
      <w:r>
        <w:rPr>
          <w:rFonts w:ascii="Calibri" w:cs="Calibri" w:eastAsia="Calibri" w:hAnsi="Calibri"/>
          <w:i/>
          <w:iCs/>
          <w:color w:val="555555"/>
          <w:sz w:val="20"/>
          <w:szCs w:val="20"/>
        </w:rPr>
        <w:t xml:space="preserve">Relevant section(s): </w:t>
      </w:r>
      <w:r>
        <w:rPr>
          <w:rFonts w:ascii="Calibri" w:cs="Calibri" w:eastAsia="Calibri" w:hAnsi="Calibri"/>
          <w:i/>
          <w:iCs/>
          <w:color w:val="555555"/>
          <w:sz w:val="20"/>
          <w:szCs w:val="20"/>
        </w:rPr>
        <w:t xml:space="preserve">P&amp;L SOP — model output push to PASCAL/EBA template; DQMT output review section; DQMT UAT testing appendix (comment box, template upload, negative testing); referenced JIRA tickets GPSTEXN-24860, GPSTEXN-24861, GPSTEXN-24938.</w:t>
      </w:r>
    </w:p>
    <w:p>
      <w:pPr>
        <w:pStyle w:val="ListParagraph"/>
        <w:numPr>
          <w:ilvl w:val="0"/>
          <w:numId w:val="2"/>
        </w:numPr>
        <w:spacing w:after="60" w:line="276"/>
      </w:pPr>
      <w:r>
        <w:rPr>
          <w:rFonts w:ascii="Calibri" w:cs="Calibri" w:eastAsia="Calibri" w:hAnsi="Calibri"/>
          <w:b/>
          <w:bCs/>
          <w:sz w:val="22"/>
          <w:szCs w:val="22"/>
        </w:rPr>
        <w:t xml:space="preserve">CCR RWA (GMD4929): </w:t>
      </w:r>
      <w:r>
        <w:rPr>
          <w:rFonts w:ascii="Calibri" w:cs="Calibri" w:eastAsia="Calibri" w:hAnsi="Calibri"/>
          <w:sz w:val="22"/>
          <w:szCs w:val="22"/>
        </w:rPr>
        <w:t xml:space="preserve">Not applicable — PASCAL DQMT UAT relates to the P&amp;L model's EBA submission pathway only.</w:t>
      </w:r>
    </w:p>
    <w:p>
      <w:pPr>
        <w:spacing w:after="160"/>
      </w:pPr>
    </w:p>
    <w:p>
      <w:pPr>
        <w:spacing w:after="80" w:before="200"/>
      </w:pPr>
      <w:r>
        <w:rPr>
          <w:rFonts w:ascii="Calibri" w:cs="Calibri" w:eastAsia="Calibri" w:hAnsi="Calibri"/>
          <w:b/>
          <w:bCs/>
          <w:sz w:val="22"/>
          <w:szCs w:val="22"/>
        </w:rPr>
        <w:t xml:space="preserve">2. FINREP / COREP to Template Output Reconciliation Walk</w:t>
      </w:r>
    </w:p>
    <w:p>
      <w:pPr>
        <w:pStyle w:val="ListParagraph"/>
        <w:numPr>
          <w:ilvl w:val="0"/>
          <w:numId w:val="2"/>
        </w:numPr>
        <w:spacing w:after="60" w:line="276"/>
      </w:pPr>
      <w:r>
        <w:rPr>
          <w:rFonts w:ascii="Calibri" w:cs="Calibri" w:eastAsia="Calibri" w:hAnsi="Calibri"/>
          <w:b/>
          <w:bCs/>
          <w:sz w:val="22"/>
          <w:szCs w:val="22"/>
        </w:rPr>
        <w:t xml:space="preserve">CCR RWA (GMD4929): </w:t>
      </w:r>
      <w:r>
        <w:rPr>
          <w:rFonts w:ascii="Calibri" w:cs="Calibri" w:eastAsia="Calibri" w:hAnsi="Calibri"/>
          <w:sz w:val="22"/>
          <w:szCs w:val="22"/>
        </w:rPr>
        <w:t xml:space="preserve">The reconciliation of COREP source data to model output has been completed, covering data cleaning of the raw COREP feed and a sanity check verifying that cleaned RWA and EAD totals match the original COREP file, with any differences investigated and resolved before the model is run. This reconciliation is formally recorded as a reconciliation category within the SOP.</w:t>
      </w:r>
    </w:p>
    <w:p>
      <w:pPr>
        <w:spacing w:after="160" w:line="276"/>
        <w:ind w:left="1080"/>
      </w:pPr>
      <w:r>
        <w:rPr>
          <w:rFonts w:ascii="Calibri" w:cs="Calibri" w:eastAsia="Calibri" w:hAnsi="Calibri"/>
          <w:i/>
          <w:iCs/>
          <w:color w:val="555555"/>
          <w:sz w:val="20"/>
          <w:szCs w:val="20"/>
        </w:rPr>
        <w:t xml:space="preserve">Relevant section(s): </w:t>
      </w:r>
      <w:r>
        <w:rPr>
          <w:rFonts w:ascii="Calibri" w:cs="Calibri" w:eastAsia="Calibri" w:hAnsi="Calibri"/>
          <w:i/>
          <w:iCs/>
          <w:color w:val="555555"/>
          <w:sz w:val="20"/>
          <w:szCs w:val="20"/>
        </w:rPr>
        <w:t xml:space="preserve">RWA SOP — COREP data cleaning section; COREP RWA/EAD sanity check section; report reconciliations section.</w:t>
      </w:r>
    </w:p>
    <w:p>
      <w:pPr>
        <w:pStyle w:val="ListParagraph"/>
        <w:numPr>
          <w:ilvl w:val="0"/>
          <w:numId w:val="2"/>
        </w:numPr>
        <w:spacing w:after="60" w:line="276"/>
      </w:pPr>
      <w:r>
        <w:rPr>
          <w:rFonts w:ascii="Calibri" w:cs="Calibri" w:eastAsia="Calibri" w:hAnsi="Calibri"/>
          <w:b/>
          <w:bCs/>
          <w:sz w:val="22"/>
          <w:szCs w:val="22"/>
        </w:rPr>
        <w:t xml:space="preserve">CCR P&amp;L (GMD2601): </w:t>
      </w:r>
      <w:r>
        <w:rPr>
          <w:rFonts w:ascii="Calibri" w:cs="Calibri" w:eastAsia="Calibri" w:hAnsi="Calibri"/>
          <w:sz w:val="22"/>
          <w:szCs w:val="22"/>
        </w:rPr>
        <w:t xml:space="preserve">Not applicable — this reconciliation walk relates to the RWA model's COREP-based template output only.</w:t>
      </w:r>
    </w:p>
    <w:p>
      <w:pPr>
        <w:spacing w:after="160"/>
      </w:pPr>
    </w:p>
    <w:p>
      <w:pPr>
        <w:spacing w:after="80" w:before="200"/>
      </w:pPr>
      <w:r>
        <w:rPr>
          <w:rFonts w:ascii="Calibri" w:cs="Calibri" w:eastAsia="Calibri" w:hAnsi="Calibri"/>
          <w:b/>
          <w:bCs/>
          <w:sz w:val="22"/>
          <w:szCs w:val="22"/>
        </w:rPr>
        <w:t xml:space="preserve">3. Data Sources and Sourcing Methods</w:t>
      </w:r>
    </w:p>
    <w:p>
      <w:pPr>
        <w:pStyle w:val="ListParagraph"/>
        <w:numPr>
          <w:ilvl w:val="0"/>
          <w:numId w:val="2"/>
        </w:numPr>
        <w:spacing w:after="60" w:line="276"/>
      </w:pPr>
      <w:r>
        <w:rPr>
          <w:rFonts w:ascii="Calibri" w:cs="Calibri" w:eastAsia="Calibri" w:hAnsi="Calibri"/>
          <w:b/>
          <w:bCs/>
          <w:sz w:val="22"/>
          <w:szCs w:val="22"/>
        </w:rPr>
        <w:t xml:space="preserve">CCR RWA (GMD4929): </w:t>
      </w:r>
      <w:r>
        <w:rPr>
          <w:rFonts w:ascii="Calibri" w:cs="Calibri" w:eastAsia="Calibri" w:hAnsi="Calibri"/>
          <w:sz w:val="22"/>
          <w:szCs w:val="22"/>
        </w:rPr>
        <w:t xml:space="preserve">Data sources for the RWA model are comprehensively documented, covering the source systems feeding the model, their extraction methods (BO report extract, manual email, SQL query), and the complete inventory of input files used in the process.</w:t>
      </w:r>
    </w:p>
    <w:p>
      <w:pPr>
        <w:spacing w:after="160" w:line="276"/>
        <w:ind w:left="1080"/>
      </w:pPr>
      <w:r>
        <w:rPr>
          <w:rFonts w:ascii="Calibri" w:cs="Calibri" w:eastAsia="Calibri" w:hAnsi="Calibri"/>
          <w:i/>
          <w:iCs/>
          <w:color w:val="555555"/>
          <w:sz w:val="20"/>
          <w:szCs w:val="20"/>
        </w:rPr>
        <w:t xml:space="preserve">Relevant section(s): </w:t>
      </w:r>
      <w:r>
        <w:rPr>
          <w:rFonts w:ascii="Calibri" w:cs="Calibri" w:eastAsia="Calibri" w:hAnsi="Calibri"/>
          <w:i/>
          <w:iCs/>
          <w:color w:val="555555"/>
          <w:sz w:val="20"/>
          <w:szCs w:val="20"/>
        </w:rPr>
        <w:t xml:space="preserve">RWA SOP — data sources section; source data identification and sourcing section; input file preparation / inventory section.</w:t>
      </w:r>
    </w:p>
    <w:p>
      <w:pPr>
        <w:pStyle w:val="ListParagraph"/>
        <w:numPr>
          <w:ilvl w:val="0"/>
          <w:numId w:val="2"/>
        </w:numPr>
        <w:spacing w:after="60" w:line="276"/>
      </w:pPr>
      <w:r>
        <w:rPr>
          <w:rFonts w:ascii="Calibri" w:cs="Calibri" w:eastAsia="Calibri" w:hAnsi="Calibri"/>
          <w:b/>
          <w:bCs/>
          <w:sz w:val="22"/>
          <w:szCs w:val="22"/>
        </w:rPr>
        <w:t xml:space="preserve">CCR P&amp;L (GMD2601): </w:t>
      </w:r>
      <w:r>
        <w:rPr>
          <w:rFonts w:ascii="Calibri" w:cs="Calibri" w:eastAsia="Calibri" w:hAnsi="Calibri"/>
          <w:sz w:val="22"/>
          <w:szCs w:val="22"/>
        </w:rPr>
        <w:t xml:space="preserve">Data sources for the P&amp;L model are comprehensively documented, covering feeder models, source systems, extraction methods, and the complete inventory of input files used in the process.</w:t>
      </w:r>
    </w:p>
    <w:p>
      <w:pPr>
        <w:spacing w:after="160" w:line="276"/>
        <w:ind w:left="1080"/>
      </w:pPr>
      <w:r>
        <w:rPr>
          <w:rFonts w:ascii="Calibri" w:cs="Calibri" w:eastAsia="Calibri" w:hAnsi="Calibri"/>
          <w:i/>
          <w:iCs/>
          <w:color w:val="555555"/>
          <w:sz w:val="20"/>
          <w:szCs w:val="20"/>
        </w:rPr>
        <w:t xml:space="preserve">Relevant section(s): </w:t>
      </w:r>
      <w:r>
        <w:rPr>
          <w:rFonts w:ascii="Calibri" w:cs="Calibri" w:eastAsia="Calibri" w:hAnsi="Calibri"/>
          <w:i/>
          <w:iCs/>
          <w:color w:val="555555"/>
          <w:sz w:val="20"/>
          <w:szCs w:val="20"/>
        </w:rPr>
        <w:t xml:space="preserve">P&amp;L SOP — data sources section; source data identification and sourcing section; input file preparation / inventory section.</w:t>
      </w:r>
    </w:p>
    <w:p>
      <w:pPr>
        <w:spacing w:after="80" w:before="200"/>
      </w:pPr>
      <w:r>
        <w:rPr>
          <w:rFonts w:ascii="Calibri" w:cs="Calibri" w:eastAsia="Calibri" w:hAnsi="Calibri"/>
          <w:b/>
          <w:bCs/>
          <w:sz w:val="22"/>
          <w:szCs w:val="22"/>
        </w:rPr>
        <w:t xml:space="preserve">4. End-to-End Procedure Document (Data Sources and Processes)</w:t>
      </w:r>
    </w:p>
    <w:p>
      <w:pPr>
        <w:pStyle w:val="ListParagraph"/>
        <w:numPr>
          <w:ilvl w:val="0"/>
          <w:numId w:val="2"/>
        </w:numPr>
        <w:spacing w:after="60" w:line="276"/>
      </w:pPr>
      <w:r>
        <w:rPr>
          <w:rFonts w:ascii="Calibri" w:cs="Calibri" w:eastAsia="Calibri" w:hAnsi="Calibri"/>
          <w:b/>
          <w:bCs/>
          <w:sz w:val="22"/>
          <w:szCs w:val="22"/>
        </w:rPr>
        <w:t xml:space="preserve">CCR RWA (GMD4929): </w:t>
      </w:r>
      <w:r>
        <w:rPr>
          <w:rFonts w:ascii="Calibri" w:cs="Calibri" w:eastAsia="Calibri" w:hAnsi="Calibri"/>
          <w:sz w:val="22"/>
          <w:szCs w:val="22"/>
        </w:rPr>
        <w:t xml:space="preserve">A complete end-to-end procedure has been documented for the RWA model, covering the platform run process, decomposition of PD, FX and Exposure impacts through bridge runs, and ongoing model monitoring checks.</w:t>
      </w:r>
    </w:p>
    <w:p>
      <w:pPr>
        <w:spacing w:after="160" w:line="276"/>
        <w:ind w:left="1080"/>
      </w:pPr>
      <w:r>
        <w:rPr>
          <w:rFonts w:ascii="Calibri" w:cs="Calibri" w:eastAsia="Calibri" w:hAnsi="Calibri"/>
          <w:i/>
          <w:iCs/>
          <w:color w:val="555555"/>
          <w:sz w:val="20"/>
          <w:szCs w:val="20"/>
        </w:rPr>
        <w:t xml:space="preserve">Relevant section(s): </w:t>
      </w:r>
      <w:r>
        <w:rPr>
          <w:rFonts w:ascii="Calibri" w:cs="Calibri" w:eastAsia="Calibri" w:hAnsi="Calibri"/>
          <w:i/>
          <w:iCs/>
          <w:color w:val="555555"/>
          <w:sz w:val="20"/>
          <w:szCs w:val="20"/>
        </w:rPr>
        <w:t xml:space="preserve">RWA SOP — full procedure section (data sourcing through governance).</w:t>
      </w:r>
    </w:p>
    <w:p>
      <w:pPr>
        <w:pStyle w:val="ListParagraph"/>
        <w:numPr>
          <w:ilvl w:val="0"/>
          <w:numId w:val="2"/>
        </w:numPr>
        <w:spacing w:after="60" w:line="276"/>
      </w:pPr>
      <w:r>
        <w:rPr>
          <w:rFonts w:ascii="Calibri" w:cs="Calibri" w:eastAsia="Calibri" w:hAnsi="Calibri"/>
          <w:b/>
          <w:bCs/>
          <w:sz w:val="22"/>
          <w:szCs w:val="22"/>
        </w:rPr>
        <w:t xml:space="preserve">CCR P&amp;L (GMD2601): </w:t>
      </w:r>
      <w:r>
        <w:rPr>
          <w:rFonts w:ascii="Calibri" w:cs="Calibri" w:eastAsia="Calibri" w:hAnsi="Calibri"/>
          <w:sz w:val="22"/>
          <w:szCs w:val="22"/>
        </w:rPr>
        <w:t xml:space="preserve">A complete end-to-end procedure has been documented for the P&amp;L model, covering the multi-run MPoR configuration, platform execution steps, and the DQMT output review process.</w:t>
      </w:r>
    </w:p>
    <w:p>
      <w:pPr>
        <w:spacing w:after="160" w:line="276"/>
        <w:ind w:left="1080"/>
      </w:pPr>
      <w:r>
        <w:rPr>
          <w:rFonts w:ascii="Calibri" w:cs="Calibri" w:eastAsia="Calibri" w:hAnsi="Calibri"/>
          <w:i/>
          <w:iCs/>
          <w:color w:val="555555"/>
          <w:sz w:val="20"/>
          <w:szCs w:val="20"/>
        </w:rPr>
        <w:t xml:space="preserve">Relevant section(s): </w:t>
      </w:r>
      <w:r>
        <w:rPr>
          <w:rFonts w:ascii="Calibri" w:cs="Calibri" w:eastAsia="Calibri" w:hAnsi="Calibri"/>
          <w:i/>
          <w:iCs/>
          <w:color w:val="555555"/>
          <w:sz w:val="20"/>
          <w:szCs w:val="20"/>
        </w:rPr>
        <w:t xml:space="preserve">P&amp;L SOP — full procedure section (data sourcing through governance).</w:t>
      </w:r>
    </w:p>
    <w:p>
      <w:pPr>
        <w:spacing w:after="80" w:before="200"/>
      </w:pPr>
      <w:r>
        <w:rPr>
          <w:rFonts w:ascii="Calibri" w:cs="Calibri" w:eastAsia="Calibri" w:hAnsi="Calibri"/>
          <w:b/>
          <w:bCs/>
          <w:sz w:val="22"/>
          <w:szCs w:val="22"/>
        </w:rPr>
        <w:t xml:space="preserve">5. Integration of Data Adjustments and Overlays into Procedure</w:t>
      </w:r>
    </w:p>
    <w:p>
      <w:pPr>
        <w:pStyle w:val="ListParagraph"/>
        <w:numPr>
          <w:ilvl w:val="0"/>
          <w:numId w:val="2"/>
        </w:numPr>
        <w:spacing w:after="60" w:line="276"/>
      </w:pPr>
      <w:r>
        <w:rPr>
          <w:rFonts w:ascii="Calibri" w:cs="Calibri" w:eastAsia="Calibri" w:hAnsi="Calibri"/>
          <w:b/>
          <w:bCs/>
          <w:sz w:val="22"/>
          <w:szCs w:val="22"/>
        </w:rPr>
        <w:t xml:space="preserve">CCR RWA (GMD4929): </w:t>
      </w:r>
      <w:r>
        <w:rPr>
          <w:rFonts w:ascii="Calibri" w:cs="Calibri" w:eastAsia="Calibri" w:hAnsi="Calibri"/>
          <w:sz w:val="22"/>
          <w:szCs w:val="22"/>
        </w:rPr>
        <w:t xml:space="preserve">Not applicable — the RWA model does not carry equivalent data adjustment or overlay work streams.</w:t>
      </w:r>
    </w:p>
    <w:p>
      <w:pPr>
        <w:spacing w:after="160"/>
      </w:pPr>
    </w:p>
    <w:p>
      <w:pPr>
        <w:pStyle w:val="ListParagraph"/>
        <w:numPr>
          <w:ilvl w:val="0"/>
          <w:numId w:val="2"/>
        </w:numPr>
        <w:spacing w:after="60" w:line="276"/>
      </w:pPr>
      <w:r>
        <w:rPr>
          <w:rFonts w:ascii="Calibri" w:cs="Calibri" w:eastAsia="Calibri" w:hAnsi="Calibri"/>
          <w:b/>
          <w:bCs/>
          <w:sz w:val="22"/>
          <w:szCs w:val="22"/>
        </w:rPr>
        <w:t xml:space="preserve">CCR P&amp;L (GMD2601): </w:t>
      </w:r>
      <w:r>
        <w:rPr>
          <w:rFonts w:ascii="Calibri" w:cs="Calibri" w:eastAsia="Calibri" w:hAnsi="Calibri"/>
          <w:sz w:val="22"/>
          <w:szCs w:val="22"/>
        </w:rPr>
        <w:t xml:space="preserve">All model overlays for the P&amp;L model are performed through the model's End User Developed Applications (EUDAs). This includes the PD/LGD overlay, CVA exposure overlay, CRT hedges overlay, sector credit shocks, exposure overwrites, missing risk factor overlay, and post-model exposure adjustments.</w:t>
      </w:r>
    </w:p>
    <w:p>
      <w:pPr>
        <w:spacing w:after="160" w:line="276"/>
        <w:ind w:left="1080"/>
      </w:pPr>
      <w:r>
        <w:rPr>
          <w:rFonts w:ascii="Calibri" w:cs="Calibri" w:eastAsia="Calibri" w:hAnsi="Calibri"/>
          <w:i/>
          <w:iCs/>
          <w:color w:val="555555"/>
          <w:sz w:val="20"/>
          <w:szCs w:val="20"/>
        </w:rPr>
        <w:t xml:space="preserve">Relevant section(s): </w:t>
      </w:r>
      <w:r>
        <w:rPr>
          <w:rFonts w:ascii="Calibri" w:cs="Calibri" w:eastAsia="Calibri" w:hAnsi="Calibri"/>
          <w:i/>
          <w:iCs/>
          <w:color w:val="555555"/>
          <w:sz w:val="20"/>
          <w:szCs w:val="20"/>
        </w:rPr>
        <w:t xml:space="preserve">P&amp;L SOP — EUDA/model reference section; data adjustments and overlays (pre-model) section; post-model exposure adjustments section.</w:t>
      </w:r>
    </w:p>
    <w:p>
      <w:pPr>
        <w:spacing w:after="80" w:before="200"/>
      </w:pPr>
      <w:r>
        <w:rPr>
          <w:rFonts w:ascii="Calibri" w:cs="Calibri" w:eastAsia="Calibri" w:hAnsi="Calibri"/>
          <w:b/>
          <w:bCs/>
          <w:sz w:val="22"/>
          <w:szCs w:val="22"/>
        </w:rPr>
        <w:t xml:space="preserve">6. Data Lineage Assessments</w:t>
      </w:r>
    </w:p>
    <w:p>
      <w:pPr>
        <w:pStyle w:val="ListParagraph"/>
        <w:numPr>
          <w:ilvl w:val="0"/>
          <w:numId w:val="2"/>
        </w:numPr>
        <w:spacing w:after="60" w:line="276"/>
      </w:pPr>
      <w:r>
        <w:rPr>
          <w:rFonts w:ascii="Calibri" w:cs="Calibri" w:eastAsia="Calibri" w:hAnsi="Calibri"/>
          <w:b/>
          <w:bCs/>
          <w:sz w:val="22"/>
          <w:szCs w:val="22"/>
        </w:rPr>
        <w:t xml:space="preserve">CCR RWA (GMD4929): </w:t>
      </w:r>
      <w:r>
        <w:rPr>
          <w:rFonts w:ascii="Calibri" w:cs="Calibri" w:eastAsia="Calibri" w:hAnsi="Calibri"/>
          <w:sz w:val="22"/>
          <w:szCs w:val="22"/>
        </w:rPr>
        <w:t xml:space="preserve">The full source-to-output data lineage has been mapped for the RWA model, tracing every input file to its source system, extraction method and processing step through to final model output.</w:t>
      </w:r>
    </w:p>
    <w:p>
      <w:pPr>
        <w:spacing w:after="160" w:line="276"/>
        <w:ind w:left="1080"/>
      </w:pPr>
      <w:r>
        <w:rPr>
          <w:rFonts w:ascii="Calibri" w:cs="Calibri" w:eastAsia="Calibri" w:hAnsi="Calibri"/>
          <w:i/>
          <w:iCs/>
          <w:color w:val="555555"/>
          <w:sz w:val="20"/>
          <w:szCs w:val="20"/>
        </w:rPr>
        <w:t xml:space="preserve">Relevant section(s): </w:t>
      </w:r>
      <w:r>
        <w:rPr>
          <w:rFonts w:ascii="Calibri" w:cs="Calibri" w:eastAsia="Calibri" w:hAnsi="Calibri"/>
          <w:i/>
          <w:iCs/>
          <w:color w:val="555555"/>
          <w:sz w:val="20"/>
          <w:szCs w:val="20"/>
        </w:rPr>
        <w:t xml:space="preserve">RWA SOP — data sources section; source data identification and sourcing section; input file preparation / inventory section.</w:t>
      </w:r>
    </w:p>
    <w:p>
      <w:pPr>
        <w:pStyle w:val="ListParagraph"/>
        <w:numPr>
          <w:ilvl w:val="0"/>
          <w:numId w:val="2"/>
        </w:numPr>
        <w:spacing w:after="60" w:line="276"/>
      </w:pPr>
      <w:r>
        <w:rPr>
          <w:rFonts w:ascii="Calibri" w:cs="Calibri" w:eastAsia="Calibri" w:hAnsi="Calibri"/>
          <w:b/>
          <w:bCs/>
          <w:sz w:val="22"/>
          <w:szCs w:val="22"/>
        </w:rPr>
        <w:t xml:space="preserve">CCR P&amp;L (GMD2601): </w:t>
      </w:r>
      <w:r>
        <w:rPr>
          <w:rFonts w:ascii="Calibri" w:cs="Calibri" w:eastAsia="Calibri" w:hAnsi="Calibri"/>
          <w:sz w:val="22"/>
          <w:szCs w:val="22"/>
        </w:rPr>
        <w:t xml:space="preserve">The full source-to-output data lineage has been mapped for the P&amp;L model, tracing every input file to its source system, extraction method and processing step through to final model output.</w:t>
      </w:r>
    </w:p>
    <w:p>
      <w:pPr>
        <w:spacing w:after="160" w:line="276"/>
        <w:ind w:left="1080"/>
      </w:pPr>
      <w:r>
        <w:rPr>
          <w:rFonts w:ascii="Calibri" w:cs="Calibri" w:eastAsia="Calibri" w:hAnsi="Calibri"/>
          <w:i/>
          <w:iCs/>
          <w:color w:val="555555"/>
          <w:sz w:val="20"/>
          <w:szCs w:val="20"/>
        </w:rPr>
        <w:t xml:space="preserve">Relevant section(s): </w:t>
      </w:r>
      <w:r>
        <w:rPr>
          <w:rFonts w:ascii="Calibri" w:cs="Calibri" w:eastAsia="Calibri" w:hAnsi="Calibri"/>
          <w:i/>
          <w:iCs/>
          <w:color w:val="555555"/>
          <w:sz w:val="20"/>
          <w:szCs w:val="20"/>
        </w:rPr>
        <w:t xml:space="preserve">P&amp;L SOP — data sources section; source data identification and sourcing section; input file preparation / inventory section.</w:t>
      </w:r>
    </w:p>
    <w:p>
      <w:pPr>
        <w:spacing w:after="80" w:before="200"/>
      </w:pPr>
      <w:r>
        <w:rPr>
          <w:rFonts w:ascii="Calibri" w:cs="Calibri" w:eastAsia="Calibri" w:hAnsi="Calibri"/>
          <w:b/>
          <w:bCs/>
          <w:sz w:val="22"/>
          <w:szCs w:val="22"/>
        </w:rPr>
        <w:t xml:space="preserve">7. Audit Trails for Manual Changes, Including Supporting Evidence</w:t>
      </w:r>
    </w:p>
    <w:p>
      <w:pPr>
        <w:pStyle w:val="ListParagraph"/>
        <w:numPr>
          <w:ilvl w:val="0"/>
          <w:numId w:val="2"/>
        </w:numPr>
        <w:spacing w:after="60" w:line="276"/>
      </w:pPr>
      <w:r>
        <w:rPr>
          <w:rFonts w:ascii="Calibri" w:cs="Calibri" w:eastAsia="Calibri" w:hAnsi="Calibri"/>
          <w:b/>
          <w:bCs/>
          <w:sz w:val="22"/>
          <w:szCs w:val="22"/>
        </w:rPr>
        <w:t xml:space="preserve">CCR RWA (GMD4929): </w:t>
      </w:r>
      <w:r>
        <w:rPr>
          <w:rFonts w:ascii="Calibri" w:cs="Calibri" w:eastAsia="Calibri" w:hAnsi="Calibri"/>
          <w:sz w:val="22"/>
          <w:szCs w:val="22"/>
        </w:rPr>
        <w:t xml:space="preserve">Audit trails for manual changes are maintained through a written fit-for-purpose confirmation required from the provider of every manually-sourced file, and through documentation of each manual processing step applied during data cleaning and the basis for it.</w:t>
      </w:r>
    </w:p>
    <w:p>
      <w:pPr>
        <w:spacing w:after="160" w:line="276"/>
        <w:ind w:left="1080"/>
      </w:pPr>
      <w:r>
        <w:rPr>
          <w:rFonts w:ascii="Calibri" w:cs="Calibri" w:eastAsia="Calibri" w:hAnsi="Calibri"/>
          <w:i/>
          <w:iCs/>
          <w:color w:val="555555"/>
          <w:sz w:val="20"/>
          <w:szCs w:val="20"/>
        </w:rPr>
        <w:t xml:space="preserve">Relevant section(s): </w:t>
      </w:r>
      <w:r>
        <w:rPr>
          <w:rFonts w:ascii="Calibri" w:cs="Calibri" w:eastAsia="Calibri" w:hAnsi="Calibri"/>
          <w:i/>
          <w:iCs/>
          <w:color w:val="555555"/>
          <w:sz w:val="20"/>
          <w:szCs w:val="20"/>
        </w:rPr>
        <w:t xml:space="preserve">RWA SOP — non-authoritative data control requirement section; COREP data cleaning section.</w:t>
      </w:r>
    </w:p>
    <w:p>
      <w:pPr>
        <w:pStyle w:val="ListParagraph"/>
        <w:numPr>
          <w:ilvl w:val="0"/>
          <w:numId w:val="2"/>
        </w:numPr>
        <w:spacing w:after="60" w:line="276"/>
      </w:pPr>
      <w:r>
        <w:rPr>
          <w:rFonts w:ascii="Calibri" w:cs="Calibri" w:eastAsia="Calibri" w:hAnsi="Calibri"/>
          <w:b/>
          <w:bCs/>
          <w:sz w:val="22"/>
          <w:szCs w:val="22"/>
        </w:rPr>
        <w:t xml:space="preserve">CCR P&amp;L (GMD2601): </w:t>
      </w:r>
      <w:r>
        <w:rPr>
          <w:rFonts w:ascii="Calibri" w:cs="Calibri" w:eastAsia="Calibri" w:hAnsi="Calibri"/>
          <w:sz w:val="22"/>
          <w:szCs w:val="22"/>
        </w:rPr>
        <w:t xml:space="preserve">Audit trails for manual changes are maintained through a written fit-for-purpose confirmation required from the provider of every manually-sourced file, a comment-box justification process that records and evidences the rationale for any unavoidable data gap prior to submission, and individually documented and retained manual adjustment files.</w:t>
      </w:r>
    </w:p>
    <w:p>
      <w:pPr>
        <w:spacing w:after="160" w:line="276"/>
        <w:ind w:left="1080"/>
      </w:pPr>
      <w:r>
        <w:rPr>
          <w:rFonts w:ascii="Calibri" w:cs="Calibri" w:eastAsia="Calibri" w:hAnsi="Calibri"/>
          <w:i/>
          <w:iCs/>
          <w:color w:val="555555"/>
          <w:sz w:val="20"/>
          <w:szCs w:val="20"/>
        </w:rPr>
        <w:t xml:space="preserve">Relevant section(s): </w:t>
      </w:r>
      <w:r>
        <w:rPr>
          <w:rFonts w:ascii="Calibri" w:cs="Calibri" w:eastAsia="Calibri" w:hAnsi="Calibri"/>
          <w:i/>
          <w:iCs/>
          <w:color w:val="555555"/>
          <w:sz w:val="20"/>
          <w:szCs w:val="20"/>
        </w:rPr>
        <w:t xml:space="preserve">P&amp;L SOP — non-authoritative data control requirement section; DQMT output review section and UAT appendix (comment box testing); data adjustments and overlays section.</w:t>
      </w:r>
    </w:p>
    <w:p>
      <w:pPr>
        <w:spacing w:after="120" w:before="240"/>
      </w:pPr>
      <w:r>
        <w:rPr>
          <w:rFonts w:ascii="Calibri" w:cs="Calibri" w:eastAsia="Calibri" w:hAnsi="Calibri"/>
          <w:b/>
          <w:bCs/>
          <w:sz w:val="22"/>
          <w:szCs w:val="22"/>
        </w:rPr>
        <w:t xml:space="preserve">Closing</w:t>
      </w:r>
    </w:p>
    <w:p>
      <w:pPr>
        <w:spacing w:after="200" w:line="276"/>
      </w:pPr>
      <w:r>
        <w:rPr>
          <w:rFonts w:ascii="Calibri" w:cs="Calibri" w:eastAsia="Calibri" w:hAnsi="Calibri"/>
          <w:sz w:val="22"/>
          <w:szCs w:val="22"/>
        </w:rPr>
        <w:t xml:space="preserve">We would welcome the opportunity to walk the Audit team through either SOP in more detail, or to provide any further evidence that would be helpful in confirming closure of this finding.</w:t>
      </w:r>
    </w:p>
    <w:p>
      <w:pPr>
        <w:spacing w:after="200" w:line="276"/>
      </w:pPr>
      <w:r>
        <w:rPr>
          <w:rFonts w:ascii="Calibri" w:cs="Calibri" w:eastAsia="Calibri" w:hAnsi="Calibri"/>
          <w:sz w:val="22"/>
          <w:szCs w:val="22"/>
        </w:rPr>
        <w:t xml:space="preserve">Kind regards,</w:t>
      </w:r>
    </w:p>
    <w:p>
      <w:pPr>
        <w:spacing w:after="40"/>
      </w:pPr>
      <w:r>
        <w:rPr>
          <w:rFonts w:ascii="Calibri" w:cs="Calibri" w:eastAsia="Calibri" w:hAnsi="Calibri"/>
          <w:sz w:val="22"/>
          <w:szCs w:val="22"/>
        </w:rPr>
        <w:t xml:space="preserve">[Your Name]</w:t>
      </w:r>
    </w:p>
    <w:p>
      <w:pPr>
        <w:spacing w:after="200"/>
      </w:pPr>
      <w:r>
        <w:rPr>
          <w:rFonts w:ascii="Calibri" w:cs="Calibri" w:eastAsia="Calibri" w:hAnsi="Calibri"/>
          <w:sz w:val="22"/>
          <w:szCs w:val="22"/>
        </w:rPr>
        <w:t xml:space="preserve">[Title], Wholesale Credit Risk – CCR Stress Testing</w:t>
      </w:r>
    </w:p>
    <w:p>
      <w:pPr>
        <w:spacing w:after="40"/>
      </w:pPr>
      <w:r>
        <w:rPr>
          <w:rFonts w:ascii="Calibri" w:cs="Calibri" w:eastAsia="Calibri" w:hAnsi="Calibri"/>
          <w:sz w:val="22"/>
          <w:szCs w:val="22"/>
        </w:rPr>
        <w:t xml:space="preserve">Leesan Wong</w:t>
      </w:r>
    </w:p>
    <w:p>
      <w:pPr>
        <w:spacing w:after="40"/>
      </w:pPr>
      <w:r>
        <w:rPr>
          <w:rFonts w:ascii="Calibri" w:cs="Calibri" w:eastAsia="Calibri" w:hAnsi="Calibri"/>
          <w:sz w:val="22"/>
          <w:szCs w:val="22"/>
        </w:rPr>
        <w:t xml:space="preserve">[Title]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2026-07-17T16:36:21.722Z</dcterms:created>
  <dcterms:modified xsi:type="dcterms:W3CDTF">2026-07-17T16:36:21.734Z</dcterms:modified>
</cp:coreProperties>
</file>

<file path=docProps/custom.xml><?xml version="1.0" encoding="utf-8"?>
<Properties xmlns="http://schemas.openxmlformats.org/officeDocument/2006/custom-properties" xmlns:vt="http://schemas.openxmlformats.org/officeDocument/2006/docPropsVTypes"/>
</file>