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36"/>
          <w:szCs w:val="36"/>
        </w:rPr>
        <w:t xml:space="preserve">Wholesale Credit Risk – GMD4929 CCR RWA Stress Testing</w:t>
      </w:r>
    </w:p>
    <w:p>
      <w:pPr>
        <w:spacing w:after="60"/>
      </w:pPr>
      <w:r>
        <w:rPr>
          <w:rFonts w:ascii="Arial" w:cs="Arial" w:eastAsia="Arial" w:hAnsi="Arial"/>
          <w:color w:val="595959"/>
          <w:sz w:val="28"/>
          <w:szCs w:val="28"/>
        </w:rPr>
        <w:t xml:space="preserve">Standard Operating Procedure</w:t>
      </w:r>
    </w:p>
    <w:p>
      <w:pPr>
        <w:spacing w:after="200"/>
      </w:pPr>
      <w:r>
        <w:rPr>
          <w:rFonts w:ascii="Arial" w:cs="Arial" w:eastAsia="Arial" w:hAnsi="Arial"/>
          <w:i/>
          <w:iCs/>
          <w:color w:val="595959"/>
          <w:sz w:val="20"/>
          <w:szCs w:val="20"/>
        </w:rPr>
        <w:t xml:space="preserve">Restricted – Internal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F0000" w:sz="1"/>
              <w:left w:val="single" w:color="FF0000" w:sz="1"/>
              <w:bottom w:val="single" w:color="FF0000" w:sz="1"/>
              <w:right w:val="single" w:color="FF0000" w:sz="1"/>
            </w:tcBorders>
            <w:shd w:fill="FFF4CE" w:val="clear"/>
            <w:tcMar>
              <w:top w:type="dxa" w:w="80"/>
              <w:left w:type="dxa" w:w="160"/>
              <w:bottom w:type="dxa" w:w="80"/>
              <w:right w:type="dxa" w:w="160"/>
            </w:tcMar>
          </w:tcPr>
          <w:p>
            <w:pPr>
              <w:spacing w:after="0"/>
            </w:pPr>
            <w:r>
              <w:rPr>
                <w:rFonts w:ascii="Arial" w:cs="Arial" w:eastAsia="Arial" w:hAnsi="Arial"/>
                <w:b/>
                <w:bCs/>
                <w:sz w:val="20"/>
                <w:szCs w:val="20"/>
              </w:rPr>
              <w:t xml:space="preserve">⚠  Mandatory Requirements  </w:t>
            </w:r>
            <w:r>
              <w:rPr>
                <w:rFonts w:ascii="Arial" w:cs="Arial" w:eastAsia="Arial" w:hAnsi="Arial"/>
                <w:sz w:val="20"/>
                <w:szCs w:val="20"/>
              </w:rPr>
              <w:t xml:space="preserve">Any changes to this SOP must follow the Version Control Process. Any changes must be reflected in the Process Map and the Control and Validations Inventory. This Process Document must be reviewed at least annually or where there have been material changes to the process.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Document Governance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3000"/>
        <w:gridCol w:w="5640"/>
      </w:tblGrid>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Owner (Director level or above)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Process Owner (Director level or above)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Producer</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Production SME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enter name]</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Version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2"/>
                <w:szCs w:val="22"/>
              </w:rPr>
              <w:t xml:space="preserve">1.0</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Approval Date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Month, Year]</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Location of Approval Evidence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hyperlink]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Next Review Date</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Month, Year]</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Document Location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i/>
                <w:iCs/>
                <w:color w:val="C00000"/>
                <w:sz w:val="22"/>
                <w:szCs w:val="22"/>
              </w:rPr>
              <w:t xml:space="preserve">[REQUIRED – hyperlink]</w:t>
            </w:r>
          </w:p>
        </w:tc>
      </w:tr>
      <w:tr>
        <w:tc>
          <w:tcPr>
            <w:tcW w:type="dxa" w:w="30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pPr>
              <w:spacing w:after="0"/>
            </w:pPr>
            <w:r>
              <w:rPr>
                <w:rFonts w:ascii="Arial" w:cs="Arial" w:eastAsia="Arial" w:hAnsi="Arial"/>
                <w:b/>
                <w:bCs/>
                <w:sz w:val="22"/>
                <w:szCs w:val="22"/>
              </w:rPr>
              <w:t xml:space="preserve">Report Location</w:t>
            </w:r>
          </w:p>
        </w:tc>
        <w:tc>
          <w:tcPr>
            <w:tcW w:type="dxa" w:w="56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2"/>
                <w:szCs w:val="22"/>
              </w:rPr>
              <w:t xml:space="preserve">Y:\Ldn\Risk\CRDMPortfolio\Stress Testing\</w:t>
            </w:r>
          </w:p>
        </w:tc>
      </w:tr>
    </w:tbl>
    <w:p>
      <w:pPr>
        <w:spacing w:after="40"/>
      </w:pPr>
      <w:r>
        <w:rPr>
          <w:rFonts w:ascii="Arial" w:cs="Arial" w:eastAsia="Arial" w:hAnsi="Arial"/>
          <w:sz w:val="22"/>
          <w:szCs w:val="22"/>
        </w:rPr>
        <w:t xml:space="preserve"/>
      </w:r>
    </w:p>
    <w:p>
      <w:pPr>
        <w:pStyle w:val="Heading1"/>
        <w:spacing w:after="120" w:before="320"/>
      </w:pPr>
      <w:r>
        <w:rPr>
          <w:rFonts w:ascii="Arial" w:cs="Arial" w:eastAsia="Arial" w:hAnsi="Arial"/>
          <w:b/>
          <w:bCs/>
          <w:color w:val="1F3864"/>
          <w:sz w:val="32"/>
          <w:szCs w:val="32"/>
        </w:rPr>
        <w:t xml:space="preserve">Document Control</w:t>
      </w:r>
    </w:p>
    <w:p>
      <w:pPr>
        <w:pStyle w:val="Heading2"/>
        <w:spacing w:after="80" w:before="240"/>
      </w:pPr>
      <w:r>
        <w:rPr>
          <w:rFonts w:ascii="Arial" w:cs="Arial" w:eastAsia="Arial" w:hAnsi="Arial"/>
          <w:b/>
          <w:bCs/>
          <w:color w:val="2E75B6"/>
          <w:sz w:val="28"/>
          <w:szCs w:val="28"/>
        </w:rPr>
        <w:t xml:space="preserve">Audience</w:t>
      </w:r>
    </w:p>
    <w:p>
      <w:pPr>
        <w:spacing w:after="80"/>
      </w:pPr>
      <w:r>
        <w:rPr>
          <w:rFonts w:ascii="Arial" w:cs="Arial" w:eastAsia="Arial" w:hAnsi="Arial"/>
          <w:color w:val="000000"/>
          <w:sz w:val="22"/>
          <w:szCs w:val="22"/>
        </w:rPr>
        <w:t xml:space="preserve">Distribution list: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To</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CC</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Version Control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500"/>
        <w:gridCol w:w="1500"/>
        <w:gridCol w:w="2440"/>
        <w:gridCol w:w="120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Version Number</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Approval Date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Author / Contact</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Reviewer</w:t>
            </w:r>
          </w:p>
        </w:tc>
        <w:tc>
          <w:tcPr>
            <w:tcW w:type="dxa" w:w="2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Details of Change</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Approver</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Initial SOP draft from old procedure document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40"/>
      </w:pPr>
      <w:r>
        <w:rPr>
          <w:rFonts w:ascii="Arial" w:cs="Arial" w:eastAsia="Arial" w:hAnsi="Arial"/>
          <w:sz w:val="22"/>
          <w:szCs w:val="22"/>
        </w:rPr>
        <w:t xml:space="preserve"/>
      </w:r>
    </w:p>
    <w:p>
      <w:pPr>
        <w:pStyle w:val="Heading1"/>
        <w:spacing w:after="120" w:before="320"/>
      </w:pPr>
      <w:r>
        <w:rPr>
          <w:rFonts w:ascii="Arial" w:cs="Arial" w:eastAsia="Arial" w:hAnsi="Arial"/>
          <w:b/>
          <w:bCs/>
          <w:color w:val="1F3864"/>
          <w:sz w:val="32"/>
          <w:szCs w:val="32"/>
        </w:rPr>
        <w:t xml:space="preserve">1.  Introduction</w:t>
      </w:r>
    </w:p>
    <w:p>
      <w:pPr>
        <w:pStyle w:val="Heading2"/>
        <w:spacing w:after="80" w:before="240"/>
      </w:pPr>
      <w:r>
        <w:rPr>
          <w:rFonts w:ascii="Arial" w:cs="Arial" w:eastAsia="Arial" w:hAnsi="Arial"/>
          <w:b/>
          <w:bCs/>
          <w:color w:val="2E75B6"/>
          <w:sz w:val="28"/>
          <w:szCs w:val="28"/>
        </w:rPr>
        <w:t xml:space="preserve">1.1  Purpose of Procedure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Describe why this procedure guide has been produced and what it covers.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This Standard Operating Procedure (SOP) documents the end-to-end process for running the GMD4929 CCR RWA Stress Testing Model within the Wholesale Credit Risk function at Barclays Investment Bank. It covers input data sourcing and preparation (including COREP data cleaning, MTP scalar calculation, TTC PD overlay), model execution via the OCP/EMF platform, output review, bridge run decomposition, and model monitoring checks.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Sections 4.2.2–4.2.4</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1.2  Purpose of Report</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Summarise the key senior management information requirements which the report process aims to meet.</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CCR RWA Stress Testing model (GMD4929) produces stressed Counterparty Credit Risk Risk-Weighted Asset (CCR RWA) estimates under regulatory and internal stress scenarios. The model outputs stressed RWA for Y1 through Y5 horizons at group and legal entity level, decomposed by PD, FX and Exposure impact. The outputs support regulatory submissions (BoE, EBA) and internal capital adequacy assessments.</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The model quantifies and estimates annualised future Counterparty Credit Risk (CCR) Risk Weighted Asset (RWA) projections after the impact of provided stress scenarios, supporting the ‘Counterparty Credit Risk RWA’ regulatory submission template. The model is used across the following regulatory and internal stress testing exercises:</w:t>
      </w:r>
    </w:p>
    <w:p>
      <w:pPr>
        <w:spacing w:after="40"/>
      </w:pPr>
      <w:r>
        <w:rPr>
          <w:rFonts w:ascii="Arial" w:cs="Arial" w:eastAsia="Arial" w:hAnsi="Arial"/>
          <w:sz w:val="22"/>
          <w:szCs w:val="22"/>
        </w:rPr>
        <w:t xml:space="preserve">- GMD4929_U8 – Annual Bank of England stress test (BoE / ACS), regulatory, annual, Group portfolio</w:t>
      </w:r>
    </w:p>
    <w:p>
      <w:pPr>
        <w:spacing w:after="40"/>
      </w:pPr>
      <w:r>
        <w:rPr>
          <w:rFonts w:ascii="Arial" w:cs="Arial" w:eastAsia="Arial" w:hAnsi="Arial"/>
          <w:sz w:val="22"/>
          <w:szCs w:val="22"/>
        </w:rPr>
        <w:t xml:space="preserve">- GMD4929_U6 – Annual Internal Stress Test (Group IST), internal, annual (H2), follows BoE methodology</w:t>
      </w:r>
    </w:p>
    <w:p>
      <w:pPr>
        <w:spacing w:after="40"/>
      </w:pPr>
      <w:r>
        <w:rPr>
          <w:rFonts w:ascii="Arial" w:cs="Arial" w:eastAsia="Arial" w:hAnsi="Arial"/>
          <w:sz w:val="22"/>
          <w:szCs w:val="22"/>
        </w:rPr>
        <w:t xml:space="preserve">- GMD4929_U10 – Barclays Europe (BE) Annual Internal Stress Test, internal, annual (H2), CIB/EBA-compliant standardised RW methodology</w:t>
      </w:r>
    </w:p>
    <w:p>
      <w:pPr>
        <w:spacing w:after="40"/>
      </w:pPr>
      <w:r>
        <w:rPr>
          <w:rFonts w:ascii="Arial" w:cs="Arial" w:eastAsia="Arial" w:hAnsi="Arial"/>
          <w:sz w:val="22"/>
          <w:szCs w:val="22"/>
        </w:rPr>
        <w:t xml:space="preserve">- GMD4929_U12 – Reverse Stress Test (Group RST), internal, annual, within a 2-month horizon at any point of year, follows BoE requirements</w:t>
      </w:r>
    </w:p>
    <w:p>
      <w:pPr>
        <w:spacing w:after="40"/>
      </w:pPr>
      <w:r>
        <w:rPr>
          <w:rFonts w:ascii="Arial" w:cs="Arial" w:eastAsia="Arial" w:hAnsi="Arial"/>
          <w:sz w:val="22"/>
          <w:szCs w:val="22"/>
        </w:rPr>
        <w:t xml:space="preserve">- GMD4929_U11 – Climate Internal Stress Test (Group &amp; Legal Entities and BE), internal, annual</w:t>
      </w:r>
    </w:p>
    <w:p>
      <w:pPr>
        <w:spacing w:after="80"/>
      </w:pPr>
      <w:r>
        <w:rPr>
          <w:rFonts w:ascii="Arial" w:cs="Arial" w:eastAsia="Arial" w:hAnsi="Arial"/>
          <w:sz w:val="22"/>
          <w:szCs w:val="22"/>
        </w:rPr>
        <w:t xml:space="preserve">- GMD4929_U9 – European Banking Authority (EBA) stress test – currently not in use, as EBA requires no exposure stress on EADs and IRB Risk Weights are not approved by ECB/CIB for Barclays Europe regulatory reporting; spot CCR RWA is reported instead</w:t>
      </w:r>
    </w:p>
    <w:p>
      <w:pPr>
        <w:spacing w:after="80"/>
      </w:pPr>
      <w:r>
        <w:rPr>
          <w:rFonts w:ascii="Arial" w:cs="Arial" w:eastAsia="Arial" w:hAnsi="Arial"/>
          <w:sz w:val="22"/>
          <w:szCs w:val="22"/>
        </w:rPr>
        <w:t xml:space="preserve">The senior management information requirement met by these submissions is the firm’s Internal Capital Adequacy Assessment Process (ICAAP), which assesses the viability of the firm’s Medium Term Plan (MTP) under stress. For BoE/ACS the model supports the published Bank of England stress test results.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Executive Summary; Section 2.1 Model Use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1.3  Scope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In-scope templates, models, portfolios</w:t>
            </w:r>
            <w:r>
              <w:br/>
              <w:t xml:space="preserve"/>
            </w:r>
            <w:r>
              <w:rPr>
                <w:rFonts w:ascii="Arial" w:cs="Arial" w:eastAsia="Arial" w:hAnsi="Arial"/>
                <w:i/>
                <w:iCs/>
                <w:color w:val="595959"/>
                <w:sz w:val="20"/>
                <w:szCs w:val="20"/>
              </w:rPr>
              <w:t xml:space="preserve">In-scope entities, scenarios, reference dates</w:t>
            </w:r>
            <w:r>
              <w:br/>
              <w:t xml:space="preserve"/>
            </w:r>
            <w:r>
              <w:rPr>
                <w:rFonts w:ascii="Arial" w:cs="Arial" w:eastAsia="Arial" w:hAnsi="Arial"/>
                <w:i/>
                <w:iCs/>
                <w:color w:val="595959"/>
                <w:sz w:val="20"/>
                <w:szCs w:val="20"/>
              </w:rPr>
              <w:t xml:space="preserve">Interfaces with other workstreams / downstream processes</w:t>
            </w:r>
            <w:r>
              <w:br/>
              <w:t xml:space="preserve"/>
            </w:r>
            <w:r>
              <w:rPr>
                <w:rFonts w:ascii="Arial" w:cs="Arial" w:eastAsia="Arial" w:hAnsi="Arial"/>
                <w:i/>
                <w:iCs/>
                <w:color w:val="595959"/>
                <w:sz w:val="20"/>
                <w:szCs w:val="20"/>
              </w:rPr>
              <w:t xml:space="preserve">Out-of-scope items (to remove ambiguity)</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In scope:</w:t>
      </w:r>
    </w:p>
    <w:p>
      <w:pPr>
        <w:pStyle w:val="ListParagraph"/>
        <w:numPr>
          <w:ilvl w:val="0"/>
          <w:numId w:val="2"/>
        </w:numPr>
        <w:spacing w:after="60"/>
      </w:pPr>
      <w:r>
        <w:rPr>
          <w:rFonts w:ascii="Arial" w:cs="Arial" w:eastAsia="Arial" w:hAnsi="Arial"/>
          <w:color w:val="000000"/>
          <w:sz w:val="22"/>
          <w:szCs w:val="22"/>
        </w:rPr>
        <w:t xml:space="preserve">Model: GMD4929 CCR RWA Stress Testing Model</w:t>
      </w:r>
    </w:p>
    <w:p>
      <w:pPr>
        <w:pStyle w:val="ListParagraph"/>
        <w:numPr>
          <w:ilvl w:val="0"/>
          <w:numId w:val="2"/>
        </w:numPr>
        <w:spacing w:after="60"/>
      </w:pPr>
      <w:r>
        <w:rPr>
          <w:rFonts w:ascii="Arial" w:cs="Arial" w:eastAsia="Arial" w:hAnsi="Arial"/>
          <w:color w:val="000000"/>
          <w:sz w:val="22"/>
          <w:szCs w:val="22"/>
        </w:rPr>
        <w:t xml:space="preserve">Portfolios: all CCR RWA positions in COREP (External only for sanity checks)</w:t>
      </w:r>
    </w:p>
    <w:p>
      <w:pPr>
        <w:pStyle w:val="ListParagraph"/>
        <w:numPr>
          <w:ilvl w:val="0"/>
          <w:numId w:val="2"/>
        </w:numPr>
        <w:spacing w:after="60"/>
      </w:pPr>
      <w:r>
        <w:rPr>
          <w:rFonts w:ascii="Arial" w:cs="Arial" w:eastAsia="Arial" w:hAnsi="Arial"/>
          <w:color w:val="000000"/>
          <w:sz w:val="22"/>
          <w:szCs w:val="22"/>
        </w:rPr>
        <w:t xml:space="preserve">Entities: Group and legal entities (BBle, BUK, IHC and other clusters)</w:t>
      </w:r>
    </w:p>
    <w:p>
      <w:pPr>
        <w:pStyle w:val="ListParagraph"/>
        <w:numPr>
          <w:ilvl w:val="0"/>
          <w:numId w:val="2"/>
        </w:numPr>
        <w:spacing w:after="60"/>
      </w:pPr>
      <w:r>
        <w:rPr>
          <w:rFonts w:ascii="Arial" w:cs="Arial" w:eastAsia="Arial" w:hAnsi="Arial"/>
          <w:color w:val="000000"/>
          <w:sz w:val="22"/>
          <w:szCs w:val="22"/>
        </w:rPr>
        <w:t xml:space="preserve">RWA methods: IMM Exposure method (CCR_RWA_IMM3DALL_Scenario) and NPM Exposure method (CCR_RWA_NPM3D_AllScenario)</w:t>
      </w:r>
    </w:p>
    <w:p>
      <w:pPr>
        <w:pStyle w:val="ListParagraph"/>
        <w:numPr>
          <w:ilvl w:val="0"/>
          <w:numId w:val="2"/>
        </w:numPr>
        <w:spacing w:after="60"/>
      </w:pPr>
      <w:r>
        <w:rPr>
          <w:rFonts w:ascii="Arial" w:cs="Arial" w:eastAsia="Arial" w:hAnsi="Arial"/>
          <w:color w:val="000000"/>
          <w:sz w:val="22"/>
          <w:szCs w:val="22"/>
        </w:rPr>
        <w:t xml:space="preserve">Scenarios: BoE, EBA, IST and other regulatory/internal stress scenarios</w:t>
      </w:r>
    </w:p>
    <w:p>
      <w:pPr>
        <w:pStyle w:val="ListParagraph"/>
        <w:numPr>
          <w:ilvl w:val="0"/>
          <w:numId w:val="2"/>
        </w:numPr>
        <w:spacing w:after="60"/>
      </w:pPr>
      <w:r>
        <w:rPr>
          <w:rFonts w:ascii="Arial" w:cs="Arial" w:eastAsia="Arial" w:hAnsi="Arial"/>
          <w:color w:val="000000"/>
          <w:sz w:val="22"/>
          <w:szCs w:val="22"/>
        </w:rPr>
        <w:t xml:space="preserve">Reference dates: Annual IST, annual BoE, biennial EBA COB dates</w:t>
      </w:r>
    </w:p>
    <w:p>
      <w:pPr>
        <w:pStyle w:val="ListParagraph"/>
        <w:numPr>
          <w:ilvl w:val="0"/>
          <w:numId w:val="2"/>
        </w:numPr>
        <w:spacing w:after="60"/>
      </w:pPr>
      <w:r>
        <w:rPr>
          <w:rFonts w:ascii="Arial" w:cs="Arial" w:eastAsia="Arial" w:hAnsi="Arial"/>
          <w:color w:val="000000"/>
          <w:sz w:val="22"/>
          <w:szCs w:val="22"/>
        </w:rPr>
        <w:t xml:space="preserve">Interfaces: COREP/RIS (spot RWA data), 3D Stress Engine (stressed exposure), JUNO (MTM/CSP), STAR (XVA), MTP cluster teams, WCR Stress Testing team (PD matrices), SET/GES (FX scenarios)</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Out of scope:</w:t>
      </w:r>
    </w:p>
    <w:p>
      <w:pPr>
        <w:pStyle w:val="ListParagraph"/>
        <w:numPr>
          <w:ilvl w:val="0"/>
          <w:numId w:val="2"/>
        </w:numPr>
        <w:spacing w:after="60"/>
      </w:pPr>
      <w:r>
        <w:rPr>
          <w:rFonts w:ascii="Arial" w:cs="Arial" w:eastAsia="Arial" w:hAnsi="Arial"/>
          <w:color w:val="000000"/>
          <w:sz w:val="22"/>
          <w:szCs w:val="22"/>
        </w:rPr>
        <w:t xml:space="preserve">CCR P&amp;L stress testing (separate model GMD2601)</w:t>
      </w:r>
    </w:p>
    <w:p>
      <w:pPr>
        <w:pStyle w:val="ListParagraph"/>
        <w:numPr>
          <w:ilvl w:val="0"/>
          <w:numId w:val="2"/>
        </w:numPr>
        <w:spacing w:after="60"/>
      </w:pPr>
      <w:r>
        <w:rPr>
          <w:rFonts w:ascii="Arial" w:cs="Arial" w:eastAsia="Arial" w:hAnsi="Arial"/>
          <w:color w:val="000000"/>
          <w:sz w:val="22"/>
          <w:szCs w:val="22"/>
        </w:rPr>
        <w:t xml:space="preserve">CVA RWA stress testing (separate model)</w:t>
      </w:r>
    </w:p>
    <w:p>
      <w:pPr>
        <w:pStyle w:val="ListParagraph"/>
        <w:numPr>
          <w:ilvl w:val="0"/>
          <w:numId w:val="2"/>
        </w:numPr>
        <w:spacing w:after="60"/>
      </w:pPr>
      <w:r>
        <w:rPr>
          <w:rFonts w:ascii="Arial" w:cs="Arial" w:eastAsia="Arial" w:hAnsi="Arial"/>
          <w:color w:val="000000"/>
          <w:sz w:val="22"/>
          <w:szCs w:val="22"/>
        </w:rPr>
        <w:t xml:space="preserve">Personal Wealth cluster (excluded from MTP scalar; approval required to exclude)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Note on EBA: EBA is a constant balance sheet exercise – no exposure stress is needed. CCR RWAs are only stressed for PD and FX, applied for 3 years.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4.2.3 Model Run – EBA notes</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1.4  Frequency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State how often the process runs.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46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Exercise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Frequency</w:t>
            </w:r>
          </w:p>
        </w:tc>
        <w:tc>
          <w:tcPr>
            <w:tcW w:type="dxa" w:w="4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Internal Stress Test (IST)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Annual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PD, FX and Exposure stress; Y1–Y5 output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Bank of England (BoE)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Annual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PD, FX and Exposure stress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EBA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Biennial</w:t>
            </w:r>
          </w:p>
        </w:tc>
        <w:tc>
          <w:tcPr>
            <w:tcW w:type="dxa" w:w="4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and FX stress only (constant balance sheet – no exposure stress); 3-year horizon</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1.5  Timescale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State the objective for completion.</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Provide the target completion timeline for each exercise (e.g. working days after COB date). Confirm with model run team and governance calendar.</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1.6  Data Sources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Authoritative source systems</w:t>
            </w:r>
            <w:r>
              <w:br/>
              <w:t xml:space="preserve"/>
            </w:r>
            <w:r>
              <w:rPr>
                <w:rFonts w:ascii="Arial" w:cs="Arial" w:eastAsia="Arial" w:hAnsi="Arial"/>
                <w:i/>
                <w:iCs/>
                <w:color w:val="595959"/>
                <w:sz w:val="20"/>
                <w:szCs w:val="20"/>
              </w:rPr>
              <w:t xml:space="preserve">Extraction method (automated vs manual)</w:t>
            </w:r>
            <w:r>
              <w:br/>
              <w:t xml:space="preserve"/>
            </w:r>
            <w:r>
              <w:rPr>
                <w:rFonts w:ascii="Arial" w:cs="Arial" w:eastAsia="Arial" w:hAnsi="Arial"/>
                <w:i/>
                <w:iCs/>
                <w:color w:val="595959"/>
                <w:sz w:val="20"/>
                <w:szCs w:val="20"/>
              </w:rPr>
              <w:t xml:space="preserve">Key data elements used</w:t>
            </w:r>
            <w:r>
              <w:br/>
              <w:t xml:space="preserve"/>
            </w:r>
            <w:r>
              <w:rPr>
                <w:rFonts w:ascii="Arial" w:cs="Arial" w:eastAsia="Arial" w:hAnsi="Arial"/>
                <w:i/>
                <w:iCs/>
                <w:color w:val="595959"/>
                <w:sz w:val="20"/>
                <w:szCs w:val="20"/>
              </w:rPr>
              <w:t xml:space="preserve">Known limitations or assumptions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The following source systems feed the CCR RWA 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1800"/>
        <w:gridCol w:w="2440"/>
      </w:tblGrid>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 System</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Data Provided</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Extraction Method</w:t>
            </w:r>
          </w:p>
        </w:tc>
        <w:tc>
          <w:tcPr>
            <w:tcW w:type="dxa" w:w="2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Key Input File(s)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COREP / RIS (Likitha Rongali)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Main source data: all spot RWA/EAD/RW data by counterparty and legal entity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request via email to Likitha Rongali (Risk: likitha.rongali@barclays.com); Python-based data cleaning</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EMR_CCR_RWA_corep_spot_datase_t_rwa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3D Stress Engine (BO)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Stressed exposure for IMM and NPM methods; CSP collateral flag; CCPs and HFs list; GNA counterparties; counterparty/site/trade count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 report extract (CreditRisk_CPRMApp → CRM → Stress Testing)</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CCR_RWA_IMM3DALL_Scenario, CCR_RWA_NPM3D_AllScenario, CCR_RWA_3DCOLL_FLG_CALC, EMR_CCR_RWA_ccps_and_hfs, EMR_CCR_RWA_gna_counterparties, CCR_RWA_counterparty_site_trade_count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JUNO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MTM for CSPs (MTM extracted from JUNO)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 report extract</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CCR_RWA_GCIS_RP_Exposure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(xrariskdatarequests@barclays.com)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(XVA/ECR); extracted with SQL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request to Risk Data team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EMR_CCR_IMM_Eagle_ECR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SET / GES (Global Economic Scenario)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FX scenario 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Gen1 Expand MEV</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CCR_FX_RAW_scenario</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Cluster Teams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 term plan scalars by cluster (IB, BUK, CB, Tsy, BCSL, Wealth)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email from cluster contacts; Astro for IB; offline for others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CCR_RWA_MTP_Scalars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Stress Testing (Alberto)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TTC PD betas; sPiT PD matrices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email from Alberto (betas)</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EMR_CCR_RWA_TTC_PD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Lefteris (Papadakis, Risk GLA)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and Country of Incorporation data from COREP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email to eleftherios.papadakis@barclays.com</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CCR_RWA_PD_Data</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James Launders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tiering (franchise value / CptyIDs from COREP)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email; filter column F=1</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CCR_RWA_clienttiering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 queries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Country mapping; country-region mapping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 select * from dbo.country</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EMR_CCR_RWA_MAP_country, EMR_CCR_RWA_MAP_countryregion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by counterparty in adjusted USD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request XVA data</w:t>
            </w:r>
          </w:p>
        </w:tc>
        <w:tc>
          <w:tcPr>
            <w:tcW w:type="dxa" w:w="24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EMR_CCR_RWA_xva_by_cp_usd</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Input File Summary Table; Section A Data Cleaning Process for Raw COREP</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1.6.1  Non-Authoritative (Manual) Data Sources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FF8C00" w:sz="1"/>
              <w:left w:val="single" w:color="FF8C00" w:sz="1"/>
              <w:bottom w:val="single" w:color="FF8C00" w:sz="1"/>
              <w:right w:val="single" w:color="FF8C00" w:sz="1"/>
            </w:tcBorders>
            <w:shd w:fill="FFF4CE" w:val="clear"/>
            <w:tcMar>
              <w:top w:type="dxa" w:w="80"/>
              <w:left w:type="dxa" w:w="160"/>
              <w:bottom w:type="dxa" w:w="80"/>
              <w:right w:type="dxa" w:w="160"/>
            </w:tcMar>
          </w:tcPr>
          <w:p>
            <w:pPr>
              <w:spacing w:after="0"/>
            </w:pPr>
            <w:r>
              <w:rPr>
                <w:rFonts w:ascii="Arial" w:cs="Arial" w:eastAsia="Arial" w:hAnsi="Arial"/>
                <w:b/>
                <w:bCs/>
                <w:color w:val="7F4F00"/>
                <w:sz w:val="20"/>
                <w:szCs w:val="20"/>
              </w:rPr>
              <w:t xml:space="preserve">📋 Control Requirement   </w:t>
            </w:r>
            <w:r>
              <w:rPr>
                <w:rFonts w:ascii="Arial" w:cs="Arial" w:eastAsia="Arial" w:hAnsi="Arial"/>
                <w:i/>
                <w:iCs/>
                <w:color w:val="7F4F00"/>
                <w:sz w:val="20"/>
                <w:szCs w:val="20"/>
              </w:rPr>
              <w:t xml:space="preserve">For all data obtained from non-authoritative sources, the provider must confirm it is fit for purpose by including the following statement in the email: "I confirm that the data supplied is fit for purpose and any issues impacting the quality of this data have been recorded and escalated to the recipients of this data."</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0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File</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Provider / Team</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Contact</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Confirmation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EMR_CCR_RWA_corep_spot_datase_t_rwa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Likitha Rongali (likitha.rongali@barclays.com)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EMR_CCR_RWA_TTC_PD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Stress Testing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Alberto (betas)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CCR_RWA_PD_Data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GLA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Eleftherios Papadakis (eleftherios.papadakis@barclays.com)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CCR_RWA_clienttiering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James Launders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James Launders</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EMR_CCR_RWA_xva_by_cp_usd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 Risk Finance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contact]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CCR_RWA_MTP_Scalars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Cluster teams (IB, BUK, CB, Tsy, BCSL)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Various – see Section 2.3.2</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EMR_CCR_IMM_Eagle_ECR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Data team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xrariskdatarequests@barclays.com</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CCR_FX_RAW_scenario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SET/GES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contact]</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1.7  Report Classification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Select the appropriate classification below.</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4320"/>
        <w:gridCol w:w="4320"/>
      </w:tblGrid>
      <w:tr>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Classification</w:t>
            </w:r>
          </w:p>
        </w:tc>
        <w:tc>
          <w:tcPr>
            <w:tcW w:type="dxa" w:w="43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Select</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Unrestricted</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Restricted – Internal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Restricted – External</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r>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Secret</w:t>
            </w:r>
          </w:p>
        </w:tc>
        <w:tc>
          <w:tcPr>
            <w:tcW w:type="dxa" w:w="43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1.8  Links</w:t>
      </w:r>
    </w:p>
    <w:p>
      <w:pPr>
        <w:pStyle w:val="Heading3"/>
        <w:spacing w:after="60" w:before="160"/>
      </w:pPr>
      <w:r>
        <w:rPr>
          <w:rFonts w:ascii="Arial" w:cs="Arial" w:eastAsia="Arial" w:hAnsi="Arial"/>
          <w:b/>
          <w:bCs/>
          <w:color w:val="2E75B6"/>
          <w:sz w:val="24"/>
          <w:szCs w:val="24"/>
        </w:rPr>
        <w:t xml:space="preserve">1.8.1  Business Glossary</w:t>
      </w:r>
    </w:p>
    <w:p>
      <w:pPr>
        <w:spacing w:after="80"/>
      </w:pPr>
      <w:r>
        <w:rPr>
          <w:rFonts w:ascii="Arial" w:cs="Arial" w:eastAsia="Arial" w:hAnsi="Arial"/>
          <w:color w:val="000000"/>
          <w:sz w:val="22"/>
          <w:szCs w:val="22"/>
        </w:rPr>
        <w:t xml:space="preserve">Business Glossary is maintained in BDP. For details, please contact the CDO team.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Business Glossary entry in BDP.</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1.8.2  Data Lineage Reference</w:t>
      </w:r>
    </w:p>
    <w:p>
      <w:pPr>
        <w:spacing w:after="80"/>
      </w:pPr>
      <w:r>
        <w:rPr>
          <w:rFonts w:ascii="Arial" w:cs="Arial" w:eastAsia="Arial" w:hAnsi="Arial"/>
          <w:color w:val="000000"/>
          <w:sz w:val="22"/>
          <w:szCs w:val="22"/>
        </w:rPr>
        <w:t xml:space="preserve">Please refer to Columbus inventory for an up-to-date Data Lineage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Data Lineage reference in Columbus / BDP / Ab Initio.</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1.8.3  EUDA / Model Reference</w:t>
      </w:r>
    </w:p>
    <w:p>
      <w:pPr>
        <w:spacing w:after="80"/>
      </w:pPr>
      <w:r>
        <w:rPr>
          <w:rFonts w:ascii="Arial" w:cs="Arial" w:eastAsia="Arial" w:hAnsi="Arial"/>
          <w:color w:val="000000"/>
          <w:sz w:val="22"/>
          <w:szCs w:val="22"/>
        </w:rPr>
        <w:t xml:space="preserve">Model reference: GMD4929 – CCR RWA Stress Testing Model</w:t>
      </w:r>
    </w:p>
    <w:p>
      <w:pPr>
        <w:spacing w:after="80"/>
      </w:pPr>
      <w:r>
        <w:rPr>
          <w:rFonts w:ascii="Arial" w:cs="Arial" w:eastAsia="Arial" w:hAnsi="Arial"/>
          <w:color w:val="000000"/>
          <w:sz w:val="22"/>
          <w:szCs w:val="22"/>
        </w:rPr>
        <w:t xml:space="preserve">Model doc location: Y:\Ldn\Risk\CRDMPortfolio\Stress Testing\Model Documentation\GMD4929 - CCR RWA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The Stress Testing CCR RWA model was originally developed in a spreadsheet-based environment and has since been implemented on an IT platform. Successful testing has been performed and documented, and the pertaining EUDA is now decommissioned. All model releases are documented at the model’s Confluence page (https://confluence.barcapint.com/pages/viewpage.action?pageId=894448218); as per guidance, every testing cycle includes documentation and agreement of required changes and improvements, agreed timelines, IT development and implementation, UAT phase and sign-off.</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Model Implementation section</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1.8.4  Adjustments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Link to the adjustment score card and link to CAM adjustment, and a list of any manual workarounds.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Manual adjustments applied in this process include:</w:t>
      </w:r>
    </w:p>
    <w:p>
      <w:pPr>
        <w:pStyle w:val="ListParagraph"/>
        <w:numPr>
          <w:ilvl w:val="0"/>
          <w:numId w:val="2"/>
        </w:numPr>
        <w:spacing w:after="60"/>
      </w:pPr>
      <w:r>
        <w:rPr>
          <w:rFonts w:ascii="Arial" w:cs="Arial" w:eastAsia="Arial" w:hAnsi="Arial"/>
          <w:color w:val="000000"/>
          <w:sz w:val="22"/>
          <w:szCs w:val="22"/>
        </w:rPr>
        <w:t xml:space="preserve">TTC PD overlay (EMR_CCR_RWA_Overlay_table) – applied when PD adjustment is needed; see Section 2.6</w:t>
      </w:r>
    </w:p>
    <w:p>
      <w:pPr>
        <w:pStyle w:val="ListParagraph"/>
        <w:numPr>
          <w:ilvl w:val="0"/>
          <w:numId w:val="2"/>
        </w:numPr>
        <w:spacing w:after="60"/>
      </w:pPr>
      <w:r>
        <w:rPr>
          <w:rFonts w:ascii="Arial" w:cs="Arial" w:eastAsia="Arial" w:hAnsi="Arial"/>
          <w:color w:val="000000"/>
          <w:sz w:val="22"/>
          <w:szCs w:val="22"/>
        </w:rPr>
        <w:t xml:space="preserve">MTP scalar adjustment – calculated manually per cluster; see Section 2.3.2</w:t>
      </w:r>
    </w:p>
    <w:p>
      <w:pPr>
        <w:pStyle w:val="ListParagraph"/>
        <w:numPr>
          <w:ilvl w:val="0"/>
          <w:numId w:val="2"/>
        </w:numPr>
        <w:spacing w:after="60"/>
      </w:pPr>
      <w:r>
        <w:rPr>
          <w:rFonts w:ascii="Arial" w:cs="Arial" w:eastAsia="Arial" w:hAnsi="Arial"/>
          <w:color w:val="000000"/>
          <w:sz w:val="22"/>
          <w:szCs w:val="22"/>
        </w:rPr>
        <w:t xml:space="preserve">RWA spot adjustment (EMR_CCR_RWA_spot_rwa_adjustment) – copy RWA_GBP in Adjusted_RWA column</w:t>
      </w:r>
    </w:p>
    <w:p>
      <w:pPr>
        <w:pStyle w:val="ListParagraph"/>
        <w:numPr>
          <w:ilvl w:val="0"/>
          <w:numId w:val="2"/>
        </w:numPr>
        <w:spacing w:after="60"/>
      </w:pPr>
      <w:r>
        <w:rPr>
          <w:rFonts w:ascii="Arial" w:cs="Arial" w:eastAsia="Arial" w:hAnsi="Arial"/>
          <w:color w:val="000000"/>
          <w:sz w:val="22"/>
          <w:szCs w:val="22"/>
        </w:rPr>
        <w:t xml:space="preserve">Site ID override (CCR_PNL_RWA_SiteID_Override) – provides functionality to override site ID</w:t>
      </w:r>
    </w:p>
    <w:p>
      <w:pPr>
        <w:pStyle w:val="ListParagraph"/>
        <w:numPr>
          <w:ilvl w:val="0"/>
          <w:numId w:val="2"/>
        </w:numPr>
        <w:spacing w:after="60"/>
      </w:pPr>
      <w:r>
        <w:rPr>
          <w:rFonts w:ascii="Arial" w:cs="Arial" w:eastAsia="Arial" w:hAnsi="Arial"/>
          <w:color w:val="000000"/>
          <w:sz w:val="22"/>
          <w:szCs w:val="22"/>
        </w:rPr>
        <w:t xml:space="preserve">Blank BIC handling – SQL query to source BICs for counterparties with blank BIC in COREP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link to Adjustments scorecard / CAM adjustment entry.</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1.8.5  Report Validations / Controls Inventory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Insert unique link to the report Validations and Controls Inventory under BI Risk Oversight governance.</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1.8.6  Report Reconciliations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Report reconciliations and data source controls.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Key reconciliation: after COREP data cleaning, sanity check that RWA and EAD match with the original COREP file (filter for External only).</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A step 5</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0"/>
        <w:gridCol w:w="364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Reconciliation Category</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Select (Yes/No)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Fully Automated Using Strategic Reporting Platform</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Fully Automated Using EUDA</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No</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Manual – Full or Partial Reconciliation Required</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COREP RWA/EAD sanity check; MTP data reconciliation across clusters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1.9  DQ Dashboard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Identify the data quality dashboard and/or Limitation Reporting dashboard which relates to this process.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0"/>
        <w:gridCol w:w="3640"/>
      </w:tblGrid>
      <w:tr>
        <w:tc>
          <w:tcPr>
            <w:tcW w:type="dxa" w:w="5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3A Report Specific Dashboard Required</w:t>
            </w:r>
          </w:p>
        </w:tc>
        <w:tc>
          <w:tcPr>
            <w:tcW w:type="dxa" w:w="3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Select</w:t>
            </w:r>
          </w:p>
        </w:tc>
      </w:tr>
      <w:tr>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Yes / No (provide rationale if No)</w:t>
            </w:r>
          </w:p>
        </w:tc>
        <w:tc>
          <w:tcPr>
            <w:tcW w:type="dxa" w:w="3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w:t>
            </w:r>
          </w:p>
        </w:tc>
      </w:tr>
    </w:tbl>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Identify and confirm DQ dashboard applicability. Insert link to the Central DQ Issues Inventory. Not addressed in the model design document (GMD4929) — confirm operationally with the model owner / DQ team.</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1.10  DQ Forum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Identify the relevant governance forum which oversees the quality of key risk inputs, outputs, and report production processes.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The relevant governance forum overseeing model output quality is the IB Stress Test Steerco panel (comprising Risk, Finance and Treasury), which reviews stressed CCR RWA results before they are passed to the Wholesale Credit Risk Management Committee, where they are signed off by the Credit Key Risk Officer (KRO), then to Group Steerco, and ultimately signed off by the Chief Risk Officer (CRO) and Chief Financial Officer (CFO). Methodologies and results are first reviewed internally by the Counterparty Risk Management (CRM) team, then independently by a member of Group Wholesale Credit Risk, and then by the front office FiRM team (responsible for proposing associated Management Actions). For Barclays Europe, the equivalent governance chain runs through the BE CRM team, an independent member of BE Wholesale Credit Risk, the front office FiRM team, with local IRB-to-STD adjustments reviewed and signed off by the Head of BE CALM.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Section 6.2 Governance (6.2.1 Stress Test Steerco Panel; 6.2.3 Barclays Europe Governance)</w:t>
            </w:r>
          </w:p>
        </w:tc>
      </w:tr>
    </w:tbl>
    <w:p>
      <w:pPr>
        <w:spacing w:after="40"/>
      </w:pPr>
      <w:r>
        <w:rPr>
          <w:rFonts w:ascii="Arial" w:cs="Arial" w:eastAsia="Arial" w:hAnsi="Arial"/>
          <w:sz w:val="22"/>
          <w:szCs w:val="22"/>
        </w:rPr>
        <w:t xml:space="preserve"/>
      </w:r>
    </w:p>
    <w:p>
      <w:pPr>
        <w:pBdr>
          <w:bottom w:val="single" w:color="2E75B6" w:sz="4" w:space="1"/>
        </w:pBdr>
        <w:spacing w:after="200" w:before="200"/>
      </w:pPr>
    </w:p>
    <w:p>
      <w:pPr>
        <w:pStyle w:val="Heading1"/>
        <w:spacing w:after="120" w:before="320"/>
      </w:pPr>
      <w:r>
        <w:rPr>
          <w:rFonts w:ascii="Arial" w:cs="Arial" w:eastAsia="Arial" w:hAnsi="Arial"/>
          <w:b/>
          <w:bCs/>
          <w:color w:val="1F3864"/>
          <w:sz w:val="32"/>
          <w:szCs w:val="32"/>
        </w:rPr>
        <w:t xml:space="preserve">2.  Procedure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1"/>
              <w:left w:val="single" w:color="2E75B6" w:sz="1"/>
              <w:bottom w:val="single" w:color="2E75B6" w:sz="1"/>
              <w:right w:val="single" w:color="2E75B6" w:sz="1"/>
            </w:tcBorders>
            <w:shd w:fill="EBF3FB" w:val="clear"/>
            <w:tcMar>
              <w:top w:type="dxa" w:w="80"/>
              <w:left w:type="dxa" w:w="160"/>
              <w:bottom w:type="dxa" w:w="80"/>
              <w:right w:type="dxa" w:w="160"/>
            </w:tcMar>
          </w:tcPr>
          <w:p>
            <w:pPr>
              <w:spacing w:after="40"/>
            </w:pPr>
            <w:r>
              <w:rPr>
                <w:rFonts w:ascii="Arial" w:cs="Arial" w:eastAsia="Arial" w:hAnsi="Arial"/>
                <w:b/>
                <w:bCs/>
                <w:color w:val="1F3864"/>
                <w:sz w:val="20"/>
                <w:szCs w:val="20"/>
              </w:rPr>
              <w:t xml:space="preserve">📋 What this section contains  </w:t>
            </w:r>
            <w:r>
              <w:rPr>
                <w:rFonts w:ascii="Arial" w:cs="Arial" w:eastAsia="Arial" w:hAnsi="Arial"/>
                <w:i/>
                <w:iCs/>
                <w:color w:val="1F3864"/>
                <w:sz w:val="20"/>
                <w:szCs w:val="20"/>
              </w:rPr>
              <w:t xml:space="preserve">Step-by-step guide for executing the CCR RWA stress testing process, covering Sections 2.1–2.12.</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  Purpose and Scope</w:t>
      </w:r>
    </w:p>
    <w:p>
      <w:pPr>
        <w:spacing w:after="80"/>
      </w:pPr>
      <w:r>
        <w:rPr>
          <w:rFonts w:ascii="Arial" w:cs="Arial" w:eastAsia="Arial" w:hAnsi="Arial"/>
          <w:color w:val="000000"/>
          <w:sz w:val="22"/>
          <w:szCs w:val="22"/>
        </w:rPr>
        <w:t xml:space="preserve">This procedure documents the CCR RWA Stress Testing model run process for annual IST, BoE and biennial EBA exercises. It enables any authorised user to execute the process from raw data sourcing through to stressed RWA output production and model monitoring.</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Key outputs: stressed RWA for Y1–Y5 at group and legal entity level; PD, FX and Exposure impact bridge runs; model monitoring checks M1–M5.</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4.2.3 Model Run</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2.2  Roles, Responsibilities and Data Ownership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Process owner, Data owners (per key dataset), Preparers, Reviewers, Approvers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284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Responsibility</w:t>
            </w:r>
          </w:p>
        </w:tc>
        <w:tc>
          <w:tcPr>
            <w:tcW w:type="dxa" w:w="2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Individual /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Overall accountability for model design, outputs and SOP</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Alan Wimble (Model Owner per GMD4929 Executive Summary)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 Producer / Preparer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Execute data sourcing, COREP cleaning, input file preparation, model run, output review</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 Stress Testing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COREP / RWA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and confirm fitness of spot RWA data</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Likitha Rongali – RIS Team (likitha.rongali@barclays.com)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sPiT PD matrices and TTC PD betas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WCR Stress Testing (Alberto)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 Country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PD and Country of Incorporation data from COREP</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Eleftherios Papadakis – Risk GLA (eleftherios.papadakis@barclays.com)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Tiering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CptyIDs / franchise tiering list from COREP</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James Launders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XVA by counterparty in adjusted USD</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contact]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Data Owners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MTP scalar data by cluster</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CB: Hashim Iqbal, Filippos Exarchopoulos; BCSL: Sanjeev Paramanathan, Alex Lukin; Tsy: Iyanuoluwa Oladipupo Ojelabi, Sanjeev Paramanathan; BUK: Satyan Pisavari, Abhishek Agarwal; IB non Trs: Goyal Nitin, Finance / Uduchukwu, Ogochukwu; IB Trs: BX Finance and Business Management (LDN)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 ECR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STAR data for XVA/ECR</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Data team (xrariskdatarequests@barclays.com)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FX Scenario Data Owner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 FX scenario data (Gen1 Expand MEV)</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SET/GES team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Independent Reviewer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Independent review of model outputs and adjustments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Director-level Approver</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Director-level sign-off on final outputs</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Input File Summary; Section B MTP Scalar Process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Model Owner: Alan Wimble. Model Developer: Jalal Sahamian. Independent review is performed by a member of Group Wholesale Credit Risk, independent of the Counterparty Risk Management (CRM) team that performs the first review; the front office FiRM team also reviews and proposes any associated Management Actions. Director-level approval is provided through escalation to the Wholesale Credit Risk Management Committee, where results are signed off by the Credit Key Risk Officer (KRO), then Group Steerco, with ultimate sign-off by the Chief Risk Officer (CRO) and Chief Financial Officer (CFO). For Barclays Europe, the IRB-to-STD adjustment is reviewed and signed off by the Head of BE CALM.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Executive Summary; Section 6.2 Governance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2.3  Source Data Identification and Data Sourcing</w:t>
      </w:r>
    </w:p>
    <w:p>
      <w:pPr>
        <w:spacing w:after="80"/>
      </w:pPr>
      <w:r>
        <w:rPr>
          <w:rFonts w:ascii="Arial" w:cs="Arial" w:eastAsia="Arial" w:hAnsi="Arial"/>
          <w:color w:val="000000"/>
          <w:sz w:val="22"/>
          <w:szCs w:val="22"/>
        </w:rPr>
        <w:t xml:space="preserve">Data is sourced from three main categories: BO extracts, manual email requests, and SQL queries.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2.3.1  BO Report Extracts</w:t>
      </w:r>
    </w:p>
    <w:p>
      <w:pPr>
        <w:spacing w:after="80"/>
      </w:pPr>
      <w:r>
        <w:rPr>
          <w:rFonts w:ascii="Arial" w:cs="Arial" w:eastAsia="Arial" w:hAnsi="Arial"/>
          <w:color w:val="000000"/>
          <w:sz w:val="22"/>
          <w:szCs w:val="22"/>
        </w:rPr>
        <w:t xml:space="preserve">The following files are extracted via BO reports. Refresh each to the current COB date and 3D scenario before saving:</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26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Input File</w:t>
            </w:r>
          </w:p>
        </w:tc>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BO Report Path</w:t>
            </w:r>
          </w:p>
        </w:tc>
        <w:tc>
          <w:tcPr>
            <w:tcW w:type="dxa" w:w="2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EMR_CCR_RWA_ccps_and_hfs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 2022 BOE H2 → Raw Data (3D CCPs, HFs &amp; GNAs 20220630)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CCR_RWA_3DCOLL_FLG_CALC</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2022 BOE H2 → CSP Coll Flag (20220630)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CCR_RWA_counterparty_site_trade_count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2022 BOE H2 → Raw Data (3D CCPs, HFs &amp; GNAs 20220630) Sheet2</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EMR_CCR_RWA_gna_counterparties</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 2022 BOE H2 → Raw Data (3D CCPs, HFs &amp; GNAs 20220630)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CCR_RWA_IMM3DALL_Scenario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 2022 BOE H2 → Raw Data (3D 20220630 for RWAs)_ALL_Scenario</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 and 3D scenario (IMM Exposure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CCR_RWA_NPM3D_AllScenario</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 2022 BOE H2 → Raw Data (3D 20220630 for RWAs)_ALL_Scenario</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 and 3D scenario (NPM Exposure method)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CCR_RWA_GCIS_RP_Exposure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CreditRisk_CPRMApp → CRM → Stress Testing → 2022 BOE H2 → Raw Data (JUNO Exposure 20220630)</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to current COB 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CCR_RWA_Calc_Input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of 3D Scenario Names</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Input File Summary Table – Process column</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2.3.2  MTP Scalar Data Collection</w:t>
      </w:r>
    </w:p>
    <w:p>
      <w:pPr>
        <w:spacing w:after="80"/>
      </w:pPr>
      <w:r>
        <w:rPr>
          <w:rFonts w:ascii="Arial" w:cs="Arial" w:eastAsia="Arial" w:hAnsi="Arial"/>
          <w:color w:val="000000"/>
          <w:sz w:val="22"/>
          <w:szCs w:val="22"/>
        </w:rPr>
        <w:t xml:space="preserve">MTP data is gathered in 4 categories: IB non Trs; IB Trs; BUK; Corporate Bank. These sum up to group level from which the scalar is calculated.</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Working file: Y:\Ldn\Risk\CRDMPortfolio\Stress Testing\2023 IST (Group &amp; Legal Entities)\Raw Data\MTP\MTP with LE for CCR\HoldCo_RWA_incl._MTP_v02.xlsx</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MTP data contacts by cluster:</w:t>
      </w:r>
    </w:p>
    <w:p>
      <w:pPr>
        <w:pStyle w:val="ListParagraph"/>
        <w:numPr>
          <w:ilvl w:val="0"/>
          <w:numId w:val="2"/>
        </w:numPr>
        <w:spacing w:after="60"/>
      </w:pPr>
      <w:r>
        <w:rPr>
          <w:rFonts w:ascii="Arial" w:cs="Arial" w:eastAsia="Arial" w:hAnsi="Arial"/>
          <w:color w:val="000000"/>
          <w:sz w:val="22"/>
          <w:szCs w:val="22"/>
        </w:rPr>
        <w:t xml:space="preserve">IB non Trs: Goyal, Nitin: Finance or Uduchukwu, Ogochukwu – BX Finance and Business Management (LDN); Data to consume: Banking + Market for each LE</w:t>
      </w:r>
    </w:p>
    <w:p>
      <w:pPr>
        <w:pStyle w:val="ListParagraph"/>
        <w:numPr>
          <w:ilvl w:val="0"/>
          <w:numId w:val="2"/>
        </w:numPr>
        <w:spacing w:after="60"/>
      </w:pPr>
      <w:r>
        <w:rPr>
          <w:rFonts w:ascii="Arial" w:cs="Arial" w:eastAsia="Arial" w:hAnsi="Arial"/>
          <w:color w:val="000000"/>
          <w:sz w:val="22"/>
          <w:szCs w:val="22"/>
        </w:rPr>
        <w:t xml:space="preserve">IB Trs: BX Finance and Business Management (LDN)</w:t>
      </w:r>
    </w:p>
    <w:p>
      <w:pPr>
        <w:pStyle w:val="ListParagraph"/>
        <w:numPr>
          <w:ilvl w:val="0"/>
          <w:numId w:val="2"/>
        </w:numPr>
        <w:spacing w:after="60"/>
      </w:pPr>
      <w:r>
        <w:rPr>
          <w:rFonts w:ascii="Arial" w:cs="Arial" w:eastAsia="Arial" w:hAnsi="Arial"/>
          <w:color w:val="000000"/>
          <w:sz w:val="22"/>
          <w:szCs w:val="22"/>
        </w:rPr>
        <w:t xml:space="preserve">CB: Hashim Iqbal, Filippos Exarchopoulos</w:t>
      </w:r>
    </w:p>
    <w:p>
      <w:pPr>
        <w:pStyle w:val="ListParagraph"/>
        <w:numPr>
          <w:ilvl w:val="0"/>
          <w:numId w:val="2"/>
        </w:numPr>
        <w:spacing w:after="60"/>
      </w:pPr>
      <w:r>
        <w:rPr>
          <w:rFonts w:ascii="Arial" w:cs="Arial" w:eastAsia="Arial" w:hAnsi="Arial"/>
          <w:color w:val="000000"/>
          <w:sz w:val="22"/>
          <w:szCs w:val="22"/>
        </w:rPr>
        <w:t xml:space="preserve">BCSL: Sanjeev Paramanathan, Alex Lukin</w:t>
      </w:r>
    </w:p>
    <w:p>
      <w:pPr>
        <w:pStyle w:val="ListParagraph"/>
        <w:numPr>
          <w:ilvl w:val="0"/>
          <w:numId w:val="2"/>
        </w:numPr>
        <w:spacing w:after="60"/>
      </w:pPr>
      <w:r>
        <w:rPr>
          <w:rFonts w:ascii="Arial" w:cs="Arial" w:eastAsia="Arial" w:hAnsi="Arial"/>
          <w:color w:val="000000"/>
          <w:sz w:val="22"/>
          <w:szCs w:val="22"/>
        </w:rPr>
        <w:t xml:space="preserve">Tsy: Iyanuoluwa Oladipupo Ojelabi, Sanjeev Paramanathan</w:t>
      </w:r>
    </w:p>
    <w:p>
      <w:pPr>
        <w:pStyle w:val="ListParagraph"/>
        <w:numPr>
          <w:ilvl w:val="0"/>
          <w:numId w:val="2"/>
        </w:numPr>
        <w:spacing w:after="60"/>
      </w:pPr>
      <w:r>
        <w:rPr>
          <w:rFonts w:ascii="Arial" w:cs="Arial" w:eastAsia="Arial" w:hAnsi="Arial"/>
          <w:color w:val="000000"/>
          <w:sz w:val="22"/>
          <w:szCs w:val="22"/>
        </w:rPr>
        <w:t xml:space="preserve">BUK: Satyan Pisavari, Abhishek Agarwal</w:t>
      </w:r>
    </w:p>
    <w:p>
      <w:pPr>
        <w:pStyle w:val="ListParagraph"/>
        <w:numPr>
          <w:ilvl w:val="0"/>
          <w:numId w:val="2"/>
        </w:numPr>
        <w:spacing w:after="60"/>
      </w:pPr>
      <w:r>
        <w:rPr>
          <w:rFonts w:ascii="Arial" w:cs="Arial" w:eastAsia="Arial" w:hAnsi="Arial"/>
          <w:color w:val="000000"/>
          <w:sz w:val="22"/>
          <w:szCs w:val="22"/>
        </w:rPr>
        <w:t xml:space="preserve">Wealth: excluded from MTP scalar calculation (not in COREP); approval required not to apply stress</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For other clusters: refer to email saved at Y:\Ldn\Risk\CRDMPortfolio\Stress Testing\2023 IST (Group &amp; Legal Entities)\Raw Data\MTP\MTP Cluster</w:t>
      </w:r>
    </w:p>
    <w:p>
      <w:pPr>
        <w:spacing w:after="80"/>
      </w:pPr>
      <w:r>
        <w:rPr>
          <w:rFonts w:ascii="Arial" w:cs="Arial" w:eastAsia="Arial" w:hAnsi="Arial"/>
          <w:color w:val="000000"/>
          <w:sz w:val="22"/>
          <w:szCs w:val="22"/>
        </w:rPr>
        <w:t xml:space="preserve">Reconcile with: Y:\Ldn\Risk\CRDMPortfolio\Stress Testing\2023 IST (Group &amp; Legal Entities)\02. CCR RWA\RWA Reconciliation\Consolidated Item 5.xlsx</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Calculation steps:</w:t>
      </w:r>
    </w:p>
    <w:p>
      <w:pPr>
        <w:pStyle w:val="ListParagraph"/>
        <w:numPr>
          <w:ilvl w:val="0"/>
          <w:numId w:val="3"/>
        </w:numPr>
        <w:spacing w:after="60"/>
      </w:pPr>
      <w:r>
        <w:rPr>
          <w:rFonts w:ascii="Arial" w:cs="Arial" w:eastAsia="Arial" w:hAnsi="Arial"/>
          <w:color w:val="000000"/>
          <w:sz w:val="22"/>
          <w:szCs w:val="22"/>
        </w:rPr>
        <w:t xml:space="preserve">Populate spot RWA and MTP numbers for each cluster</w:t>
      </w:r>
    </w:p>
    <w:p>
      <w:pPr>
        <w:pStyle w:val="ListParagraph"/>
        <w:numPr>
          <w:ilvl w:val="0"/>
          <w:numId w:val="3"/>
        </w:numPr>
        <w:spacing w:after="60"/>
      </w:pPr>
      <w:r>
        <w:rPr>
          <w:rFonts w:ascii="Arial" w:cs="Arial" w:eastAsia="Arial" w:hAnsi="Arial"/>
          <w:color w:val="000000"/>
          <w:sz w:val="22"/>
          <w:szCs w:val="22"/>
        </w:rPr>
        <w:t xml:space="preserve">Calculate scalar by formula: scalar = MTP / spot RWA for each cluster</w:t>
      </w:r>
    </w:p>
    <w:p>
      <w:pPr>
        <w:pStyle w:val="ListParagraph"/>
        <w:numPr>
          <w:ilvl w:val="0"/>
          <w:numId w:val="3"/>
        </w:numPr>
        <w:spacing w:after="60"/>
      </w:pPr>
      <w:r>
        <w:rPr>
          <w:rFonts w:ascii="Arial" w:cs="Arial" w:eastAsia="Arial" w:hAnsi="Arial"/>
          <w:color w:val="000000"/>
          <w:sz w:val="22"/>
          <w:szCs w:val="22"/>
        </w:rPr>
        <w:t xml:space="preserve">Fill in the input file (CCR_RWA_MTP_Scalars) based on the scalar calculated above</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B MTP Scalar Process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2.3.3  STAR / ECR Data</w:t>
      </w:r>
    </w:p>
    <w:p>
      <w:pPr>
        <w:spacing w:after="80"/>
      </w:pPr>
      <w:r>
        <w:rPr>
          <w:rFonts w:ascii="Arial" w:cs="Arial" w:eastAsia="Arial" w:hAnsi="Arial"/>
          <w:color w:val="000000"/>
          <w:sz w:val="22"/>
          <w:szCs w:val="22"/>
        </w:rPr>
        <w:t xml:space="preserve">Send email to Risk Data team (xrariskdatarequests@barclays.com) to request STAR data.</w:t>
      </w:r>
    </w:p>
    <w:p>
      <w:pPr>
        <w:spacing w:after="80"/>
      </w:pPr>
      <w:r>
        <w:rPr>
          <w:rFonts w:ascii="Arial" w:cs="Arial" w:eastAsia="Arial" w:hAnsi="Arial"/>
          <w:color w:val="000000"/>
          <w:sz w:val="22"/>
          <w:szCs w:val="22"/>
        </w:rPr>
        <w:t xml:space="preserve">Save to: ...\Stress Testing\2022 BoE H2\Raw Data\STAR\Star_Data_Extract_20220630.xlsx</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EMR_CCR_IMM_Eagle_ECR row</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2.3.4  SQL Data Extraction</w:t>
      </w:r>
    </w:p>
    <w:p>
      <w:pPr>
        <w:spacing w:after="80"/>
      </w:pPr>
      <w:r>
        <w:rPr>
          <w:rFonts w:ascii="Arial" w:cs="Arial" w:eastAsia="Arial" w:hAnsi="Arial"/>
          <w:color w:val="000000"/>
          <w:sz w:val="22"/>
          <w:szCs w:val="22"/>
        </w:rPr>
        <w:t xml:space="preserve">Country and country-region mappings are maintained via SQL queries:</w:t>
      </w:r>
    </w:p>
    <w:p>
      <w:pPr>
        <w:pStyle w:val="ListParagraph"/>
        <w:numPr>
          <w:ilvl w:val="0"/>
          <w:numId w:val="2"/>
        </w:numPr>
        <w:spacing w:after="60"/>
      </w:pPr>
      <w:r>
        <w:rPr>
          <w:rFonts w:ascii="Arial" w:cs="Arial" w:eastAsia="Arial" w:hAnsi="Arial"/>
          <w:color w:val="000000"/>
          <w:sz w:val="22"/>
          <w:szCs w:val="22"/>
        </w:rPr>
        <w:t xml:space="preserve">EMR_CCR_RWA_MAP_country: select * from dbo.country – check for any additional missing vs previous file</w:t>
      </w:r>
    </w:p>
    <w:p>
      <w:pPr>
        <w:pStyle w:val="ListParagraph"/>
        <w:numPr>
          <w:ilvl w:val="0"/>
          <w:numId w:val="2"/>
        </w:numPr>
        <w:spacing w:after="60"/>
      </w:pPr>
      <w:r>
        <w:rPr>
          <w:rFonts w:ascii="Arial" w:cs="Arial" w:eastAsia="Arial" w:hAnsi="Arial"/>
          <w:color w:val="000000"/>
          <w:sz w:val="22"/>
          <w:szCs w:val="22"/>
        </w:rPr>
        <w:t xml:space="preserve">EMR_CCR_RWA_MAP_countryregion: select * from dbo.country – check for additional missing vs previous file</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For counterparties with blank BICs in COREP:</w:t>
      </w:r>
    </w:p>
    <w:p>
      <w:pPr>
        <w:pStyle w:val="ListParagraph"/>
        <w:numPr>
          <w:ilvl w:val="0"/>
          <w:numId w:val="2"/>
        </w:numPr>
        <w:spacing w:after="60"/>
      </w:pPr>
      <w:r>
        <w:rPr>
          <w:rFonts w:ascii="Arial" w:cs="Arial" w:eastAsia="Arial" w:hAnsi="Arial"/>
          <w:color w:val="000000"/>
          <w:sz w:val="22"/>
          <w:szCs w:val="22"/>
        </w:rPr>
        <w:t xml:space="preserve">Run query: select * from dbo.counterparty where CpartyID IN ('')</w:t>
      </w:r>
    </w:p>
    <w:p>
      <w:pPr>
        <w:pStyle w:val="ListParagraph"/>
        <w:numPr>
          <w:ilvl w:val="0"/>
          <w:numId w:val="2"/>
        </w:numPr>
        <w:spacing w:after="60"/>
      </w:pPr>
      <w:r>
        <w:rPr>
          <w:rFonts w:ascii="Arial" w:cs="Arial" w:eastAsia="Arial" w:hAnsi="Arial"/>
          <w:color w:val="000000"/>
          <w:sz w:val="22"/>
          <w:szCs w:val="22"/>
        </w:rPr>
        <w:t xml:space="preserve">Save output as Missing_BIC.xlsx and return to Python for COREP cleaning</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EMR_CCR_RWA_blank_bic and EMR_CCR_RWA_MAP_country rows; Section A step 3d</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2.3.5  FX Scenario Data</w:t>
      </w:r>
    </w:p>
    <w:p>
      <w:pPr>
        <w:spacing w:after="80"/>
      </w:pPr>
      <w:r>
        <w:rPr>
          <w:rFonts w:ascii="Arial" w:cs="Arial" w:eastAsia="Arial" w:hAnsi="Arial"/>
          <w:color w:val="000000"/>
          <w:sz w:val="22"/>
          <w:szCs w:val="22"/>
        </w:rPr>
        <w:t xml:space="preserve">FX data is sent by SET/GES (Global Economic Scenario):</w:t>
      </w:r>
    </w:p>
    <w:p>
      <w:pPr>
        <w:spacing w:after="80"/>
      </w:pPr>
      <w:r>
        <w:rPr>
          <w:rFonts w:ascii="Arial" w:cs="Arial" w:eastAsia="Arial" w:hAnsi="Arial"/>
          <w:color w:val="000000"/>
          <w:sz w:val="22"/>
          <w:szCs w:val="22"/>
        </w:rPr>
        <w:t xml:space="preserve">Location: ...\Stress Testing\2022 BoE H2\Market Data Shocks\Gen 1\BOE 2022 ACS_DRAFT_VV.xlsx</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CCR_FX_RAW_scenario row</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2.4  Data Ownership and Data Quality Controls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Data owner attestations, Key DQ dimensions (completeness, accuracy, timeliness)</w:t>
            </w:r>
            <w:r>
              <w:br/>
              <w:t xml:space="preserve"/>
            </w:r>
            <w:r>
              <w:rPr>
                <w:rFonts w:ascii="Arial" w:cs="Arial" w:eastAsia="Arial" w:hAnsi="Arial"/>
                <w:i/>
                <w:iCs/>
                <w:color w:val="595959"/>
                <w:sz w:val="20"/>
                <w:szCs w:val="20"/>
              </w:rPr>
              <w:t xml:space="preserve">Pre-processing checks, Known data issues and treatments</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2.4.1  COREP Data Cleaning (Raw COREP Process)</w:t>
      </w:r>
    </w:p>
    <w:p>
      <w:pPr>
        <w:spacing w:after="80"/>
      </w:pPr>
      <w:r>
        <w:rPr>
          <w:rFonts w:ascii="Arial" w:cs="Arial" w:eastAsia="Arial" w:hAnsi="Arial"/>
          <w:color w:val="000000"/>
          <w:sz w:val="22"/>
          <w:szCs w:val="22"/>
        </w:rPr>
        <w:t xml:space="preserve">The CCR RWA process starts with a request of COREP data from the RIS Team. COREP data cleaning uses a Python script with the following steps: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A Data Cleaning Process for Raw COREP</w:t>
      </w:r>
    </w:p>
    <w:p>
      <w:pPr>
        <w:spacing w:after="40"/>
      </w:pP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color w:val="000000"/>
          <w:sz w:val="22"/>
          <w:szCs w:val="22"/>
        </w:rPr>
        <w:t xml:space="preserve">Request COREP data from RIS Team (Email: Likitha Rongali: Risk – likitha.rongali@barclays.com)</w:t>
      </w:r>
    </w:p>
    <w:p>
      <w:pPr>
        <w:pStyle w:val="ListParagraph"/>
        <w:numPr>
          <w:ilvl w:val="0"/>
          <w:numId w:val="3"/>
        </w:numPr>
        <w:spacing w:after="60"/>
      </w:pPr>
      <w:r>
        <w:rPr>
          <w:rFonts w:ascii="Arial" w:cs="Arial" w:eastAsia="Arial" w:hAnsi="Arial"/>
          <w:color w:val="000000"/>
          <w:sz w:val="22"/>
          <w:szCs w:val="22"/>
        </w:rPr>
        <w:t xml:space="preserve">Check that there are no blanks within the RWA Currency column. If so, request a default value from RIS</w:t>
      </w:r>
    </w:p>
    <w:p>
      <w:pPr>
        <w:pStyle w:val="ListParagraph"/>
        <w:numPr>
          <w:ilvl w:val="0"/>
          <w:numId w:val="3"/>
        </w:numPr>
        <w:spacing w:after="60"/>
      </w:pPr>
      <w:r>
        <w:rPr>
          <w:rFonts w:ascii="Arial" w:cs="Arial" w:eastAsia="Arial" w:hAnsi="Arial"/>
          <w:color w:val="000000"/>
          <w:sz w:val="22"/>
          <w:szCs w:val="22"/>
        </w:rPr>
        <w:t xml:space="preserve">COREP input file has a fixed format. Use Python code for basic data cleaning:</w:t>
      </w:r>
    </w:p>
    <w:p>
      <w:pPr>
        <w:pStyle w:val="ListParagraph"/>
        <w:numPr>
          <w:ilvl w:val="1"/>
          <w:numId w:val="3"/>
        </w:numPr>
        <w:spacing w:after="60"/>
      </w:pPr>
      <w:r>
        <w:rPr>
          <w:rFonts w:ascii="Arial" w:cs="Arial" w:eastAsia="Arial" w:hAnsi="Arial"/>
          <w:color w:val="000000"/>
          <w:sz w:val="22"/>
          <w:szCs w:val="22"/>
        </w:rPr>
        <w:t xml:space="preserve">Save COREP file received as .xlsx, remove top blank row. This will be read by Python code</w:t>
      </w:r>
    </w:p>
    <w:p>
      <w:pPr>
        <w:pStyle w:val="ListParagraph"/>
        <w:numPr>
          <w:ilvl w:val="1"/>
          <w:numId w:val="3"/>
        </w:numPr>
        <w:spacing w:after="60"/>
      </w:pPr>
      <w:r>
        <w:rPr>
          <w:rFonts w:ascii="Arial" w:cs="Arial" w:eastAsia="Arial" w:hAnsi="Arial"/>
          <w:color w:val="000000"/>
          <w:sz w:val="22"/>
          <w:szCs w:val="22"/>
        </w:rPr>
        <w:t xml:space="preserve">Run code until almost the end. There will be a cell that says 'i.to_excel(temp.xlsx)' – this writes the cleaned table to the folder</w:t>
      </w:r>
    </w:p>
    <w:p>
      <w:pPr>
        <w:pStyle w:val="ListParagraph"/>
        <w:numPr>
          <w:ilvl w:val="1"/>
          <w:numId w:val="3"/>
        </w:numPr>
        <w:spacing w:after="60"/>
      </w:pPr>
      <w:r>
        <w:rPr>
          <w:rFonts w:ascii="Arial" w:cs="Arial" w:eastAsia="Arial" w:hAnsi="Arial"/>
          <w:color w:val="000000"/>
          <w:sz w:val="22"/>
          <w:szCs w:val="22"/>
        </w:rPr>
        <w:t xml:space="preserve">Open temp.xlsx and filter for blank BICs. If there are none, proceed to step 4</w:t>
      </w:r>
    </w:p>
    <w:p>
      <w:pPr>
        <w:pStyle w:val="ListParagraph"/>
        <w:numPr>
          <w:ilvl w:val="1"/>
          <w:numId w:val="3"/>
        </w:numPr>
        <w:spacing w:after="60"/>
      </w:pPr>
      <w:r>
        <w:rPr>
          <w:rFonts w:ascii="Arial" w:cs="Arial" w:eastAsia="Arial" w:hAnsi="Arial"/>
          <w:color w:val="000000"/>
          <w:sz w:val="22"/>
          <w:szCs w:val="22"/>
        </w:rPr>
        <w:t xml:space="preserve">If there are counterparties with blank BICs, copy IDs into SQL query to source the BIC: select * from dbo.counterparty where CpartyID IN ('')</w:t>
      </w:r>
    </w:p>
    <w:p>
      <w:pPr>
        <w:pStyle w:val="ListParagraph"/>
        <w:numPr>
          <w:ilvl w:val="1"/>
          <w:numId w:val="3"/>
        </w:numPr>
        <w:spacing w:after="60"/>
      </w:pPr>
      <w:r>
        <w:rPr>
          <w:rFonts w:ascii="Arial" w:cs="Arial" w:eastAsia="Arial" w:hAnsi="Arial"/>
          <w:color w:val="000000"/>
          <w:sz w:val="22"/>
          <w:szCs w:val="22"/>
        </w:rPr>
        <w:t xml:space="preserve">Save output as Missing_BIC.xlsx and return to Python</w:t>
      </w:r>
    </w:p>
    <w:p>
      <w:pPr>
        <w:pStyle w:val="ListParagraph"/>
        <w:numPr>
          <w:ilvl w:val="1"/>
          <w:numId w:val="3"/>
        </w:numPr>
        <w:spacing w:after="60"/>
      </w:pPr>
      <w:r>
        <w:rPr>
          <w:rFonts w:ascii="Arial" w:cs="Arial" w:eastAsia="Arial" w:hAnsi="Arial"/>
          <w:color w:val="000000"/>
          <w:sz w:val="22"/>
          <w:szCs w:val="22"/>
        </w:rPr>
        <w:t xml:space="preserve">Run the rest of the Python code</w:t>
      </w:r>
    </w:p>
    <w:p>
      <w:pPr>
        <w:pStyle w:val="ListParagraph"/>
        <w:numPr>
          <w:ilvl w:val="0"/>
          <w:numId w:val="3"/>
        </w:numPr>
        <w:spacing w:after="60"/>
      </w:pPr>
      <w:r>
        <w:rPr>
          <w:rFonts w:ascii="Arial" w:cs="Arial" w:eastAsia="Arial" w:hAnsi="Arial"/>
          <w:color w:val="000000"/>
          <w:sz w:val="22"/>
          <w:szCs w:val="22"/>
        </w:rPr>
        <w:t xml:space="preserve">Once Python code is run, perform manual steps to populate input file:</w:t>
      </w:r>
    </w:p>
    <w:p>
      <w:pPr>
        <w:pStyle w:val="ListParagraph"/>
        <w:numPr>
          <w:ilvl w:val="1"/>
          <w:numId w:val="3"/>
        </w:numPr>
        <w:spacing w:after="60"/>
      </w:pPr>
      <w:r>
        <w:rPr>
          <w:rFonts w:ascii="Arial" w:cs="Arial" w:eastAsia="Arial" w:hAnsi="Arial"/>
          <w:color w:val="000000"/>
          <w:sz w:val="22"/>
          <w:szCs w:val="22"/>
        </w:rPr>
        <w:t xml:space="preserve">Put PDs in the final column of Python output into column J of input file template</w:t>
      </w:r>
    </w:p>
    <w:p>
      <w:pPr>
        <w:pStyle w:val="ListParagraph"/>
        <w:numPr>
          <w:ilvl w:val="1"/>
          <w:numId w:val="3"/>
        </w:numPr>
        <w:spacing w:after="60"/>
      </w:pPr>
      <w:r>
        <w:rPr>
          <w:rFonts w:ascii="Arial" w:cs="Arial" w:eastAsia="Arial" w:hAnsi="Arial"/>
          <w:color w:val="000000"/>
          <w:sz w:val="22"/>
          <w:szCs w:val="22"/>
        </w:rPr>
        <w:t xml:space="preserve">Remove nan values from Senior Secured / Senior Unsecured (column Z)</w:t>
      </w:r>
    </w:p>
    <w:p>
      <w:pPr>
        <w:pStyle w:val="ListParagraph"/>
        <w:numPr>
          <w:ilvl w:val="1"/>
          <w:numId w:val="3"/>
        </w:numPr>
        <w:spacing w:after="60"/>
      </w:pPr>
      <w:r>
        <w:rPr>
          <w:rFonts w:ascii="Arial" w:cs="Arial" w:eastAsia="Arial" w:hAnsi="Arial"/>
          <w:color w:val="000000"/>
          <w:sz w:val="22"/>
          <w:szCs w:val="22"/>
        </w:rPr>
        <w:t xml:space="preserve">Replace nan values with 0 in Property slot rating (column X); convert text to number</w:t>
      </w:r>
    </w:p>
    <w:p>
      <w:pPr>
        <w:pStyle w:val="ListParagraph"/>
        <w:numPr>
          <w:ilvl w:val="1"/>
          <w:numId w:val="3"/>
        </w:numPr>
        <w:spacing w:after="60"/>
      </w:pPr>
      <w:r>
        <w:rPr>
          <w:rFonts w:ascii="Arial" w:cs="Arial" w:eastAsia="Arial" w:hAnsi="Arial"/>
          <w:color w:val="000000"/>
          <w:sz w:val="22"/>
          <w:szCs w:val="22"/>
        </w:rPr>
        <w:t xml:space="preserve">Convert text to number on columns: E, G, X, V, AK</w:t>
      </w:r>
    </w:p>
    <w:p>
      <w:pPr>
        <w:pStyle w:val="ListParagraph"/>
        <w:numPr>
          <w:ilvl w:val="1"/>
          <w:numId w:val="3"/>
        </w:numPr>
        <w:spacing w:after="60"/>
      </w:pPr>
      <w:r>
        <w:rPr>
          <w:rFonts w:ascii="Arial" w:cs="Arial" w:eastAsia="Arial" w:hAnsi="Arial"/>
          <w:color w:val="000000"/>
          <w:sz w:val="22"/>
          <w:szCs w:val="22"/>
        </w:rPr>
        <w:t xml:space="preserve">Override Booking Entity (column G) values with Legal Entity.1; also copy into Legal Entity (column AH)</w:t>
      </w:r>
    </w:p>
    <w:p>
      <w:pPr>
        <w:pStyle w:val="ListParagraph"/>
        <w:numPr>
          <w:ilvl w:val="0"/>
          <w:numId w:val="3"/>
        </w:numPr>
        <w:spacing w:after="60"/>
      </w:pPr>
      <w:r>
        <w:rPr>
          <w:rFonts w:ascii="Arial" w:cs="Arial" w:eastAsia="Arial" w:hAnsi="Arial"/>
          <w:color w:val="000000"/>
          <w:sz w:val="22"/>
          <w:szCs w:val="22"/>
        </w:rPr>
        <w:t xml:space="preserve">Sanity check: verify that RWA and EAD match with original COREP file (filter for External only). File is now complete and can be uploaded to OCP</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2.4.2  Pre-Processing Checks for Other Input Files</w:t>
      </w:r>
    </w:p>
    <w:p>
      <w:pPr>
        <w:spacing w:after="80"/>
      </w:pPr>
      <w:r>
        <w:rPr>
          <w:rFonts w:ascii="Arial" w:cs="Arial" w:eastAsia="Arial" w:hAnsi="Arial"/>
          <w:color w:val="000000"/>
          <w:sz w:val="22"/>
          <w:szCs w:val="22"/>
        </w:rPr>
        <w:t xml:space="preserve">The following checks apply to static and semi-static input files:</w:t>
      </w:r>
    </w:p>
    <w:p>
      <w:pPr>
        <w:pStyle w:val="ListParagraph"/>
        <w:numPr>
          <w:ilvl w:val="0"/>
          <w:numId w:val="2"/>
        </w:numPr>
        <w:spacing w:after="60"/>
      </w:pPr>
      <w:r>
        <w:rPr>
          <w:rFonts w:ascii="Arial" w:cs="Arial" w:eastAsia="Arial" w:hAnsi="Arial"/>
          <w:color w:val="000000"/>
          <w:sz w:val="22"/>
          <w:szCs w:val="22"/>
        </w:rPr>
        <w:t xml:space="preserve">EMR_CCR_RWA_MAP_astro_holdco: Check COREP (Legal Entity) vs previous input file for any additional HOLDCO. Org chart location: Y:\Ldn\Risk\CRDMPortfolio\Stress Testing\Misc\Notes &amp; Guides\Legal entity site to HoldCo Mapping\2023 IST. If it rolls into BBPLC then LE_BB_SOLO_ANC; if into BPLC then LE_OTHER_BB_SUBS_ANC. BBle, BUK, IHC should be straightforward</w:t>
      </w:r>
    </w:p>
    <w:p>
      <w:pPr>
        <w:pStyle w:val="ListParagraph"/>
        <w:numPr>
          <w:ilvl w:val="0"/>
          <w:numId w:val="2"/>
        </w:numPr>
        <w:spacing w:after="60"/>
      </w:pPr>
      <w:r>
        <w:rPr>
          <w:rFonts w:ascii="Arial" w:cs="Arial" w:eastAsia="Arial" w:hAnsi="Arial"/>
          <w:color w:val="000000"/>
          <w:sz w:val="22"/>
          <w:szCs w:val="22"/>
        </w:rPr>
        <w:t xml:space="preserve">EMR_CCR_RWA_MAP_bic_wholesal_eassetclass: Check COREP for any additional BICs not present in previous exercise input file; add asset class for missing BICs vs previous file. Location: ...\Stress Testing\2022 BoE H2\Raw Data\Industry Mapping</w:t>
      </w:r>
    </w:p>
    <w:p>
      <w:pPr>
        <w:pStyle w:val="ListParagraph"/>
        <w:numPr>
          <w:ilvl w:val="0"/>
          <w:numId w:val="2"/>
        </w:numPr>
        <w:spacing w:after="60"/>
      </w:pPr>
      <w:r>
        <w:rPr>
          <w:rFonts w:ascii="Arial" w:cs="Arial" w:eastAsia="Arial" w:hAnsi="Arial"/>
          <w:color w:val="000000"/>
          <w:sz w:val="22"/>
          <w:szCs w:val="22"/>
        </w:rPr>
        <w:t xml:space="preserve">EMR_CCR_RWA_blank_bic: Check BIC in COREP for blank data</w:t>
      </w:r>
    </w:p>
    <w:p>
      <w:pPr>
        <w:pStyle w:val="ListParagraph"/>
        <w:numPr>
          <w:ilvl w:val="0"/>
          <w:numId w:val="2"/>
        </w:numPr>
        <w:spacing w:after="60"/>
      </w:pPr>
      <w:r>
        <w:rPr>
          <w:rFonts w:ascii="Arial" w:cs="Arial" w:eastAsia="Arial" w:hAnsi="Arial"/>
          <w:color w:val="000000"/>
          <w:sz w:val="22"/>
          <w:szCs w:val="22"/>
        </w:rPr>
        <w:t xml:space="preserve">EMR_CCR_RWA_corep_3dbookingsite: Populate ReportingPointSiteId from BO; check COREP for any additional booking/site ID. BO path: CreditRisk_CPRMApp → CRM → Stress Testing → 2022 BOE H2 → Raw Data (3D 20220630 for RWAs)_ALL_Scenario #1 IMM</w:t>
      </w:r>
    </w:p>
    <w:p>
      <w:pPr>
        <w:pStyle w:val="ListParagraph"/>
        <w:numPr>
          <w:ilvl w:val="0"/>
          <w:numId w:val="2"/>
        </w:numPr>
        <w:spacing w:after="60"/>
      </w:pPr>
      <w:r>
        <w:rPr>
          <w:rFonts w:ascii="Arial" w:cs="Arial" w:eastAsia="Arial" w:hAnsi="Arial"/>
          <w:color w:val="000000"/>
          <w:sz w:val="22"/>
          <w:szCs w:val="22"/>
        </w:rPr>
        <w:t xml:space="preserve">CCR_RWA_Cpty_DefiniteCollateralised: static; use previous exercise input file</w:t>
      </w:r>
    </w:p>
    <w:p>
      <w:pPr>
        <w:pStyle w:val="ListParagraph"/>
        <w:numPr>
          <w:ilvl w:val="0"/>
          <w:numId w:val="2"/>
        </w:numPr>
        <w:spacing w:after="60"/>
      </w:pPr>
      <w:r>
        <w:rPr>
          <w:rFonts w:ascii="Arial" w:cs="Arial" w:eastAsia="Arial" w:hAnsi="Arial"/>
          <w:color w:val="000000"/>
          <w:sz w:val="22"/>
          <w:szCs w:val="22"/>
        </w:rPr>
        <w:t xml:space="preserve">CCR_RWA_FX_ccy_proxy: Check COREP (RWA CCY) vs previous input file for any additional currency</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Input File Summary Table</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formal DQ attestation process – confirm whether data owners sign off via email or formal system workflow, and specify evidence retention location.</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2.5  Reconciliations to Source / Prior Submissions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Reconciliation scope, Tolerances and thresholds</w:t>
            </w:r>
            <w:r>
              <w:br/>
              <w:t xml:space="preserve"/>
            </w:r>
            <w:r>
              <w:rPr>
                <w:rFonts w:ascii="Arial" w:cs="Arial" w:eastAsia="Arial" w:hAnsi="Arial"/>
                <w:i/>
                <w:iCs/>
                <w:color w:val="595959"/>
                <w:sz w:val="20"/>
                <w:szCs w:val="20"/>
              </w:rPr>
              <w:t xml:space="preserve">Investigation steps for breaks, Sign-off requirements</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2.5.1  COREP RWA / EAD Sanity Check</w:t>
      </w:r>
    </w:p>
    <w:p>
      <w:pPr>
        <w:spacing w:after="80"/>
      </w:pPr>
      <w:r>
        <w:rPr>
          <w:rFonts w:ascii="Arial" w:cs="Arial" w:eastAsia="Arial" w:hAnsi="Arial"/>
          <w:color w:val="000000"/>
          <w:sz w:val="22"/>
          <w:szCs w:val="22"/>
        </w:rPr>
        <w:t xml:space="preserve">After COREP data cleaning is complete:</w:t>
      </w:r>
    </w:p>
    <w:p>
      <w:pPr>
        <w:pStyle w:val="ListParagraph"/>
        <w:numPr>
          <w:ilvl w:val="0"/>
          <w:numId w:val="2"/>
        </w:numPr>
        <w:spacing w:after="60"/>
      </w:pPr>
      <w:r>
        <w:rPr>
          <w:rFonts w:ascii="Arial" w:cs="Arial" w:eastAsia="Arial" w:hAnsi="Arial"/>
          <w:color w:val="000000"/>
          <w:sz w:val="22"/>
          <w:szCs w:val="22"/>
        </w:rPr>
        <w:t xml:space="preserve">Filter the cleaned COREP file for External counterparties only</w:t>
      </w:r>
    </w:p>
    <w:p>
      <w:pPr>
        <w:pStyle w:val="ListParagraph"/>
        <w:numPr>
          <w:ilvl w:val="0"/>
          <w:numId w:val="2"/>
        </w:numPr>
        <w:spacing w:after="60"/>
      </w:pPr>
      <w:r>
        <w:rPr>
          <w:rFonts w:ascii="Arial" w:cs="Arial" w:eastAsia="Arial" w:hAnsi="Arial"/>
          <w:color w:val="000000"/>
          <w:sz w:val="22"/>
          <w:szCs w:val="22"/>
        </w:rPr>
        <w:t xml:space="preserve">Verify that total RWA and EAD in the cleaned file match the original COREP file</w:t>
      </w:r>
    </w:p>
    <w:p>
      <w:pPr>
        <w:pStyle w:val="ListParagraph"/>
        <w:numPr>
          <w:ilvl w:val="0"/>
          <w:numId w:val="2"/>
        </w:numPr>
        <w:spacing w:after="60"/>
      </w:pPr>
      <w:r>
        <w:rPr>
          <w:rFonts w:ascii="Arial" w:cs="Arial" w:eastAsia="Arial" w:hAnsi="Arial"/>
          <w:color w:val="000000"/>
          <w:sz w:val="22"/>
          <w:szCs w:val="22"/>
        </w:rPr>
        <w:t xml:space="preserve">If there are differences, investigate and resolve before proceeding to model run</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A step 5</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2.5.2  MTP Data Reconciliation</w:t>
      </w:r>
    </w:p>
    <w:p>
      <w:pPr>
        <w:spacing w:after="80"/>
      </w:pPr>
      <w:r>
        <w:rPr>
          <w:rFonts w:ascii="Arial" w:cs="Arial" w:eastAsia="Arial" w:hAnsi="Arial"/>
          <w:color w:val="000000"/>
          <w:sz w:val="22"/>
          <w:szCs w:val="22"/>
        </w:rPr>
        <w:t xml:space="preserve">MTP data across clusters must be reconciled:</w:t>
      </w:r>
    </w:p>
    <w:p>
      <w:pPr>
        <w:pStyle w:val="ListParagraph"/>
        <w:numPr>
          <w:ilvl w:val="0"/>
          <w:numId w:val="2"/>
        </w:numPr>
        <w:spacing w:after="60"/>
      </w:pPr>
      <w:r>
        <w:rPr>
          <w:rFonts w:ascii="Arial" w:cs="Arial" w:eastAsia="Arial" w:hAnsi="Arial"/>
          <w:color w:val="000000"/>
          <w:sz w:val="22"/>
          <w:szCs w:val="22"/>
        </w:rPr>
        <w:t xml:space="preserve">Get spot and MTP data for each cluster and reconcile with the Consolidated Item 5.xlsx file</w:t>
      </w:r>
    </w:p>
    <w:p>
      <w:pPr>
        <w:pStyle w:val="ListParagraph"/>
        <w:numPr>
          <w:ilvl w:val="0"/>
          <w:numId w:val="2"/>
        </w:numPr>
        <w:spacing w:after="60"/>
      </w:pPr>
      <w:r>
        <w:rPr>
          <w:rFonts w:ascii="Arial" w:cs="Arial" w:eastAsia="Arial" w:hAnsi="Arial"/>
          <w:color w:val="000000"/>
          <w:sz w:val="22"/>
          <w:szCs w:val="22"/>
        </w:rPr>
        <w:t xml:space="preserve">Location: Y:\Ldn\Risk\CRDMPortfolio\Stress Testing\2023 IST (Group &amp; Legal Entities)\02. CCR RWA\RWA Reconciliation\Consolidated Item 5.xlsx</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B MTP Scalar Process step 4</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2.5.3  Model Monitoring KPIs</w:t>
      </w:r>
    </w:p>
    <w:p>
      <w:pPr>
        <w:spacing w:after="80"/>
      </w:pPr>
      <w:r>
        <w:rPr>
          <w:rFonts w:ascii="Arial" w:cs="Arial" w:eastAsia="Arial" w:hAnsi="Arial"/>
          <w:color w:val="000000"/>
          <w:sz w:val="22"/>
          <w:szCs w:val="22"/>
        </w:rPr>
        <w:t xml:space="preserve">Each model run is monitored against the following KPIs: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00"/>
        <w:gridCol w:w="784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KPI ID</w:t>
            </w:r>
          </w:p>
        </w:tc>
        <w:tc>
          <w:tcPr>
            <w:tcW w:type="dxa" w:w="7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M1</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Monitoring of the model by BAU users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M2</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Sensitivity-Based vs Full Revaluation Accuracy: get the portion of linear and non-linear OK products. Data tab from BO MM folder. Update CSP based on data tab; filter for column I = 'N2'; remove all duplicates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M3</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Impact of Missing Risk Factors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M4</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Currency Breakdown: take RWA CCY split based on Trade Level Allocation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M5</w:t>
            </w:r>
          </w:p>
        </w:tc>
        <w:tc>
          <w:tcPr>
            <w:tcW w:type="dxa" w:w="7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Unstressed Strongly Collateralised IMM Exposures</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4.2.3 Model Run – Model Monitoring; Section 4.2.4 Model Monitoring</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b/>
          <w:bCs/>
          <w:color w:val="000000"/>
          <w:sz w:val="22"/>
          <w:szCs w:val="22"/>
        </w:rPr>
        <w:t xml:space="preserve">M1 – Monitoring of the model by BAU users:</w:t>
      </w:r>
    </w:p>
    <w:p>
      <w:pPr>
        <w:spacing w:after="80"/>
      </w:pPr>
      <w:r>
        <w:rPr>
          <w:rFonts w:ascii="Arial" w:cs="Arial" w:eastAsia="Arial" w:hAnsi="Arial"/>
          <w:sz w:val="22"/>
          <w:szCs w:val="22"/>
        </w:rPr>
        <w:t xml:space="preserve">The model is run twice a year (BoE stress test run, and IST run within the MTP cycle). The CCR exposure stress testing feeder model (GMD6212) is monitored daily by the CCR Exposure Stress Testing Daily Monitoring Team, with any issues addressed and reported via the BI CRIS Input Control Team, BI Reference Data Team, and BI Counterparty Controllers Team. There is no specific quantitative threshold for M1; it is a continuous BAU control rather than a per-exercise check.</w:t>
      </w:r>
    </w:p>
    <w:p>
      <w:pPr>
        <w:spacing w:after="80"/>
      </w:pPr>
      <w:r>
        <w:rPr>
          <w:rFonts w:ascii="Arial" w:cs="Arial" w:eastAsia="Arial" w:hAnsi="Arial"/>
          <w:b/>
          <w:bCs/>
          <w:color w:val="000000"/>
          <w:sz w:val="22"/>
          <w:szCs w:val="22"/>
        </w:rPr>
        <w:t xml:space="preserve">M3 – Impact of Missing Risk Factors:</w:t>
      </w:r>
    </w:p>
    <w:p>
      <w:pPr>
        <w:spacing w:after="80"/>
      </w:pPr>
      <w:r>
        <w:rPr>
          <w:rFonts w:ascii="Arial" w:cs="Arial" w:eastAsia="Arial" w:hAnsi="Arial"/>
          <w:sz w:val="22"/>
          <w:szCs w:val="22"/>
        </w:rPr>
        <w:t xml:space="preserve">The Gen2 parameter set is reviewed each exercise against the Gen0 traded risk parameters from the regulators and against the BAU assessment of the portfolio between exercises, to assess what risks the model can and cannot stress. For any missing risks, the size of the sensitivities for the uncollateralised and weakly collateralised portfolio is obtained and linearly stressed against the relevant shocks in the Gen2 template. Threshold: should Uncollateralised counterparty Missing Risk × Shocks exceed +5% of the Uncollateralised Stressed Exposure, an overlay is applied by that % amount to the uncollateralised counterparty stressed RWAs.</w:t>
      </w:r>
    </w:p>
    <w:p>
      <w:pPr>
        <w:spacing w:after="80"/>
      </w:pPr>
      <w:r>
        <w:rPr>
          <w:rFonts w:ascii="Arial" w:cs="Arial" w:eastAsia="Arial" w:hAnsi="Arial"/>
          <w:b/>
          <w:bCs/>
          <w:color w:val="000000"/>
          <w:sz w:val="22"/>
          <w:szCs w:val="22"/>
        </w:rPr>
        <w:t xml:space="preserve">M4 – Currency Breakdown:</w:t>
      </w:r>
    </w:p>
    <w:p>
      <w:pPr>
        <w:spacing w:after="80"/>
      </w:pPr>
      <w:r>
        <w:rPr>
          <w:rFonts w:ascii="Arial" w:cs="Arial" w:eastAsia="Arial" w:hAnsi="Arial"/>
          <w:sz w:val="22"/>
          <w:szCs w:val="22"/>
        </w:rPr>
        <w:t xml:space="preserve">The estimated currency split of year-end derivative default RWAs is monitored each exercise (e.g. USD 38.3%, GBP 27.4%, EUR 20.7%, JPY 3.8%, Other 9.8% at IST 2023), to ensure the final translation into GBP at the stressed FX rate remains conservative. USD is treated as a safe-haven currency, with other currencies (notably GBP, and to a lesser extent JPY/CHF) assumed to depreciate against it; should this dynamic change materially, adjustments are made to preserve conservatism.</w:t>
      </w:r>
    </w:p>
    <w:p>
      <w:pPr>
        <w:spacing w:after="80"/>
      </w:pPr>
      <w:r>
        <w:rPr>
          <w:rFonts w:ascii="Arial" w:cs="Arial" w:eastAsia="Arial" w:hAnsi="Arial"/>
          <w:b/>
          <w:bCs/>
          <w:color w:val="000000"/>
          <w:sz w:val="22"/>
          <w:szCs w:val="22"/>
        </w:rPr>
        <w:t xml:space="preserve">M5 – Unstressed Strongly Collateralised IMM Exposures:</w:t>
      </w:r>
    </w:p>
    <w:p>
      <w:pPr>
        <w:spacing w:after="80"/>
      </w:pPr>
      <w:r>
        <w:rPr>
          <w:rFonts w:ascii="Arial" w:cs="Arial" w:eastAsia="Arial" w:hAnsi="Arial"/>
          <w:sz w:val="22"/>
          <w:szCs w:val="22"/>
        </w:rPr>
        <w:t xml:space="preserve">Monitoring confirms that volatilities within the production sEE calibration window remain higher overall than sustained volatilities used in the stress test. Gen2 stressed implied volatilities are used to compute a 3-year average over the first 3 years of the stress and compared against the 3-year sEE calibration window; the relative increase or decrease is then proxied against realised volatilities used in the calibration. If sustained market volatilities in the scenario become greater than the calibration window volatilities, a scalar for increased volatility on strongly collateralised IMM EADs will be considered (threshold: a relative increase observed across the majority of the asset class set, as per the sustained volatility testing methodology in Section 7.1.7 of the model design document).</w:t>
      </w:r>
    </w:p>
    <w:p>
      <w:pPr>
        <w:spacing w:after="80"/>
      </w:pPr>
      <w:r>
        <w:rPr>
          <w:rFonts w:ascii="Arial" w:cs="Arial" w:eastAsia="Arial" w:hAnsi="Arial"/>
          <w:sz w:val="22"/>
          <w:szCs w:val="22"/>
        </w:rPr>
        <w:t xml:space="preserve">All M1–M5 monitoring outputs and working files are retained as part of the model release documentation on the model’s Confluence page.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Section 6.1 Monitoring of the Model by BAU Users (6.1.1, 6.1.2, 6.1.3, 6.1.4)</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2.6  Data Adjustments and Overlays (Pre-Model)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Types of permitted adjustments, Rationale and methodology</w:t>
            </w:r>
            <w:r>
              <w:br/>
              <w:t xml:space="preserve"/>
            </w:r>
            <w:r>
              <w:rPr>
                <w:rFonts w:ascii="Arial" w:cs="Arial" w:eastAsia="Arial" w:hAnsi="Arial"/>
                <w:i/>
                <w:iCs/>
                <w:color w:val="595959"/>
                <w:sz w:val="20"/>
                <w:szCs w:val="20"/>
              </w:rPr>
              <w:t xml:space="preserve">Materiality thresholds, Approval requirements, Documentation standards</w:t>
            </w:r>
          </w:p>
        </w:tc>
      </w:tr>
    </w:tbl>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2.6.1  TTC PD Overlay</w:t>
      </w:r>
    </w:p>
    <w:p>
      <w:pPr>
        <w:spacing w:after="80"/>
      </w:pPr>
      <w:r>
        <w:rPr>
          <w:rFonts w:ascii="Arial" w:cs="Arial" w:eastAsia="Arial" w:hAnsi="Arial"/>
          <w:color w:val="000000"/>
          <w:sz w:val="22"/>
          <w:szCs w:val="22"/>
        </w:rPr>
        <w:t xml:space="preserve">The TTC PD overlay (EMR_CCR_RWA_Overlay_table) is applied when adjustment to PD is needed. The file is a blank file by default.</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Current logic (Alpha is no longer required):</w:t>
      </w:r>
    </w:p>
    <w:p>
      <w:pPr>
        <w:pStyle w:val="ListParagraph"/>
        <w:numPr>
          <w:ilvl w:val="0"/>
          <w:numId w:val="2"/>
        </w:numPr>
        <w:spacing w:after="60"/>
      </w:pPr>
      <w:r>
        <w:rPr>
          <w:rFonts w:ascii="Arial" w:cs="Arial" w:eastAsia="Arial" w:hAnsi="Arial"/>
          <w:color w:val="000000"/>
          <w:sz w:val="22"/>
          <w:szCs w:val="22"/>
        </w:rPr>
        <w:t xml:space="preserve">Receive sPiT PD matrices from Alberto (WCR Stress Testing)</w:t>
      </w:r>
    </w:p>
    <w:p>
      <w:pPr>
        <w:pStyle w:val="ListParagraph"/>
        <w:numPr>
          <w:ilvl w:val="0"/>
          <w:numId w:val="2"/>
        </w:numPr>
        <w:spacing w:after="60"/>
      </w:pPr>
      <w:r>
        <w:rPr>
          <w:rFonts w:ascii="Arial" w:cs="Arial" w:eastAsia="Arial" w:hAnsi="Arial"/>
          <w:color w:val="000000"/>
          <w:sz w:val="22"/>
          <w:szCs w:val="22"/>
        </w:rPr>
        <w:t xml:space="preserve">Generate sPiT PD Yn for each counterparty based on PD matrices and spot PiT PD from RIS</w:t>
      </w:r>
    </w:p>
    <w:p>
      <w:pPr>
        <w:pStyle w:val="ListParagraph"/>
        <w:numPr>
          <w:ilvl w:val="0"/>
          <w:numId w:val="2"/>
        </w:numPr>
        <w:spacing w:after="60"/>
      </w:pPr>
      <w:r>
        <w:rPr>
          <w:rFonts w:ascii="Arial" w:cs="Arial" w:eastAsia="Arial" w:hAnsi="Arial"/>
          <w:color w:val="000000"/>
          <w:sz w:val="22"/>
          <w:szCs w:val="22"/>
        </w:rPr>
        <w:t xml:space="preserve">Convert sPiT PD Yn to sTTC PD based on betas received from Alberto</w:t>
      </w:r>
    </w:p>
    <w:p>
      <w:pPr>
        <w:pStyle w:val="ListParagraph"/>
        <w:numPr>
          <w:ilvl w:val="0"/>
          <w:numId w:val="2"/>
        </w:numPr>
        <w:spacing w:after="60"/>
      </w:pPr>
      <w:r>
        <w:rPr>
          <w:rFonts w:ascii="Arial" w:cs="Arial" w:eastAsia="Arial" w:hAnsi="Arial"/>
          <w:color w:val="000000"/>
          <w:sz w:val="22"/>
          <w:szCs w:val="22"/>
        </w:rPr>
        <w:t xml:space="preserve">Working file: Y:\Ldn\Risk\CRDMPortfolio\Stress Testing\2023 IST (Group &amp; Legal Entities)\Raw Data\IFRS9 Gen2 PD &amp; LGD\WF for CCR RWA</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Previous logic (for reference only):</w:t>
      </w:r>
    </w:p>
    <w:p>
      <w:pPr>
        <w:pStyle w:val="ListParagraph"/>
        <w:numPr>
          <w:ilvl w:val="0"/>
          <w:numId w:val="2"/>
        </w:numPr>
        <w:spacing w:after="60"/>
      </w:pPr>
      <w:r>
        <w:rPr>
          <w:rFonts w:ascii="Arial" w:cs="Arial" w:eastAsia="Arial" w:hAnsi="Arial"/>
          <w:color w:val="000000"/>
          <w:sz w:val="22"/>
          <w:szCs w:val="22"/>
        </w:rPr>
        <w:t xml:space="preserve">Stressed PIT PD = NormDist.(Z-score of Stressed PIT PD)</w:t>
      </w:r>
    </w:p>
    <w:p>
      <w:pPr>
        <w:pStyle w:val="ListParagraph"/>
        <w:numPr>
          <w:ilvl w:val="0"/>
          <w:numId w:val="2"/>
        </w:numPr>
        <w:spacing w:after="60"/>
      </w:pPr>
      <w:r>
        <w:rPr>
          <w:rFonts w:ascii="Arial" w:cs="Arial" w:eastAsia="Arial" w:hAnsi="Arial"/>
          <w:color w:val="000000"/>
          <w:sz w:val="22"/>
          <w:szCs w:val="22"/>
        </w:rPr>
        <w:t xml:space="preserve">Stressed PIT PD = NormDist.(Z-score of PIT PD + Alpha)</w:t>
      </w:r>
    </w:p>
    <w:p>
      <w:pPr>
        <w:pStyle w:val="ListParagraph"/>
        <w:numPr>
          <w:ilvl w:val="0"/>
          <w:numId w:val="2"/>
        </w:numPr>
        <w:spacing w:after="60"/>
      </w:pPr>
      <w:r>
        <w:rPr>
          <w:rFonts w:ascii="Arial" w:cs="Arial" w:eastAsia="Arial" w:hAnsi="Arial"/>
          <w:color w:val="000000"/>
          <w:sz w:val="22"/>
          <w:szCs w:val="22"/>
        </w:rPr>
        <w:t xml:space="preserve">Stressed PIT PD = NormDist.(Z-score of PIT PD + Z-score of 'delta in PIT PD')</w:t>
      </w:r>
    </w:p>
    <w:p>
      <w:pPr>
        <w:pStyle w:val="ListParagraph"/>
        <w:numPr>
          <w:ilvl w:val="0"/>
          <w:numId w:val="2"/>
        </w:numPr>
        <w:spacing w:after="60"/>
      </w:pPr>
      <w:r>
        <w:rPr>
          <w:rFonts w:ascii="Arial" w:cs="Arial" w:eastAsia="Arial" w:hAnsi="Arial"/>
          <w:color w:val="000000"/>
          <w:sz w:val="22"/>
          <w:szCs w:val="22"/>
        </w:rPr>
        <w:t xml:space="preserve">Stressed TTC PD = NormDist.(Z-score of Stressed TTC PD)</w:t>
      </w:r>
    </w:p>
    <w:p>
      <w:pPr>
        <w:pStyle w:val="ListParagraph"/>
        <w:numPr>
          <w:ilvl w:val="0"/>
          <w:numId w:val="2"/>
        </w:numPr>
        <w:spacing w:after="60"/>
      </w:pPr>
      <w:r>
        <w:rPr>
          <w:rFonts w:ascii="Arial" w:cs="Arial" w:eastAsia="Arial" w:hAnsi="Arial"/>
          <w:color w:val="000000"/>
          <w:sz w:val="22"/>
          <w:szCs w:val="22"/>
        </w:rPr>
        <w:t xml:space="preserve">Stressed TTC PD = NormDist.(Z-score of TTC PD + Alpha*Beta)</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C TTC PD Overlay</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2.6.2  RWA Spot Adjustment</w:t>
      </w:r>
    </w:p>
    <w:p>
      <w:pPr>
        <w:spacing w:after="80"/>
      </w:pPr>
      <w:r>
        <w:rPr>
          <w:rFonts w:ascii="Arial" w:cs="Arial" w:eastAsia="Arial" w:hAnsi="Arial"/>
          <w:color w:val="000000"/>
          <w:sz w:val="22"/>
          <w:szCs w:val="22"/>
        </w:rPr>
        <w:t xml:space="preserve">File: EMR_CCR_RWA_spot_rwa_adjustment</w:t>
      </w:r>
    </w:p>
    <w:p>
      <w:pPr>
        <w:pStyle w:val="ListParagraph"/>
        <w:numPr>
          <w:ilvl w:val="0"/>
          <w:numId w:val="2"/>
        </w:numPr>
        <w:spacing w:after="60"/>
      </w:pPr>
      <w:r>
        <w:rPr>
          <w:rFonts w:ascii="Arial" w:cs="Arial" w:eastAsia="Arial" w:hAnsi="Arial"/>
          <w:color w:val="000000"/>
          <w:sz w:val="22"/>
          <w:szCs w:val="22"/>
        </w:rPr>
        <w:t xml:space="preserve">Copy RWA_GBP into the Adjusted_RWA column</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EMR_CCR_RWA_spot_rwa_adjustment row</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2.6.3  Shared Input Files with PnL Model</w:t>
      </w:r>
    </w:p>
    <w:p>
      <w:pPr>
        <w:spacing w:after="80"/>
      </w:pPr>
      <w:r>
        <w:rPr>
          <w:rFonts w:ascii="Arial" w:cs="Arial" w:eastAsia="Arial" w:hAnsi="Arial"/>
          <w:color w:val="000000"/>
          <w:sz w:val="22"/>
          <w:szCs w:val="22"/>
        </w:rPr>
        <w:t xml:space="preserve">The following input files are shared with the CCR PnL model (GMD2601) and should not be independently sourced:</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28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File</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c>
          <w:tcPr>
            <w:tcW w:type="dxa" w:w="28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Note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CCR_PNL_bic_industries_ifrs9</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code to industry mapping table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 (not really used for PnL model)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CCR_PNL_bic_with_csf</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code to CSF mapping table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CCR_PNL_c5_alpha_shocks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alpha shocks by industry, CSF, region and DG category</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CCR_RWA_PNL_Output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CSP plus Coll Flag; use PnL working file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CCR_PNL_REGION_MAPPING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Region mapping table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CCR_PNL_sector_to_industry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Sector to industry mapping table</w:t>
            </w:r>
          </w:p>
        </w:tc>
        <w:tc>
          <w:tcPr>
            <w:tcW w:type="dxa" w:w="28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 rows marked 'Shared input file with PnL'</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approval requirement and materiality threshold for TTC PD overlay. Confirm sign-off route.</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2.7  Input File Preparation for the System</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Input file formats and naming conventions</w:t>
            </w:r>
            <w:r>
              <w:br/>
              <w:t xml:space="preserve"/>
            </w:r>
            <w:r>
              <w:rPr>
                <w:rFonts w:ascii="Arial" w:cs="Arial" w:eastAsia="Arial" w:hAnsi="Arial"/>
                <w:i/>
                <w:iCs/>
                <w:color w:val="595959"/>
                <w:sz w:val="20"/>
                <w:szCs w:val="20"/>
              </w:rPr>
              <w:t xml:space="preserve">Validation checks, Version control approach, Access controls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Complete input file inventory for GMD4929 CCR RWA: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3040"/>
        <w:gridCol w:w="300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Input File</w:t>
            </w:r>
          </w:p>
        </w:tc>
        <w:tc>
          <w:tcPr>
            <w:tcW w:type="dxa" w:w="3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Description</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Source / Process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EMR_CCR_RWA_MAP_astro_holdco</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Barclays Legal/Booking Entities (typically static)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 COREP (LE) vs previous input file for additional HOLDCOs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CCR_PNL_bic_industries_ifrs9</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code to industry 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EMR_CCR_RWA_MAP_bic_wholesal_eassetclass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(4-digit) Mapping; typically static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Add asset class for missing BICs vs previous 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CCR_PNL_bic_with_csf</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BIC to CSF 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EMR_CCR_RWA_blank_bic</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Reporting keys (SDS ID) in COREP with no BIC or blank BIC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 BIC in COREP for blank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EMR_CCR_RWA_MAP_business_product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table; mapping of product types and exposure type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previous exercise input files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CCR_PNL_c5_alpha_shocks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alpha shocks by industry, CSF, region and DG category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EMR_CCR_RWA_ccps_and_hfs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of Hedge Funds and CCPs; extracted from BO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CCR_RWA_PNL_Output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CSP plus Coll Flag; use PnL working file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CCR_RWA_Calc_Input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of 3D Scenario Names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CCR_RWA_clienttiering</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Franchise value of cpty; deciding factor for weakly/uncollateralised cpty renewal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James Launders; provide list of CptyIDs from COREP; filter column F=1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CCR_RWA_3DCOLL_FLG_CALC</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Flag: whether CSP is strongly collateralised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CCR_RWA_corep_3dbookingsite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of 3D Booking SiteIDs (typically static)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 3D data for additional booking/site ID via BO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EMR_CCR_RWA_corep_spot_datase_t_rwa</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Main source data from RIS; all spot RWA/EAD/RW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H2\Raw Data\RIS (COREP). Data Cleaning per Section 2.4.1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CCR_RWA_counterparty_site_trade_count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Cpty, Site and trade count; extracted from 3D via BO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 Sheet2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EMR_CCR_RWA_MAP_country</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Country 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 select * from dbo.country; check for additional missing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EMR_CCR_RWA_MAP_countryregion</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Country mapped to specific region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SQL: select * from dbo.country; check for additional missing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CCR_RWA_Cpty_DefiniteCollateralised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table (definite list of collateralised cpty's)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 use previous exercise input 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CCR_FX_RAW_scenario</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FX data sent by SET/GES (Global Economic Scenario)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H2\Market Data Shocks\Gen 1\BOE 2022 ACS_DRAFT_VV.xlsx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EMR_CCR_RWA_gna_counterparties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List of GNA cpty's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CCR_RWA_MTP_Scalars</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Medium term plan; illustrates growth of each business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Refer to working file; gathered per cluster (see Section 2.3.2)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EMR_CCR_RWA_nexus_list (deleted)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related to migration to BBI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previous exercise input 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EMR_CCR_RWA_MAP_optimusaccount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table; account 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Use previous exercise input file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CCR_RWA_IMM3DALL_Scenario</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Stressed exposure from 3D via BO (IMM Exposure method)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 and 3D scenario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CCR_RWA_NPM3D_AllScenario</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Stressed exposure from 3D via BO (NPM Exposure method)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 and 3D scenario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CCR_RWA_GCIS_RP_Exposure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MTM for CSPs (from JUNO)</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Refresh BO to current COB 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EMR_CCR_IMM_Eagle_ECR</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extracted with SQL</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Risk Data Requests team (xrariskdatarequests@barclays.com)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CCR_PNL_REGION_MAPPING</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Region mapping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CCR_RWA_FX_ccy_proxy</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RWA Currency (typically static)</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 COREP (RWA CCY) vs previous input file for additional currency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CCR_RWA_PD_Data</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COREP data with added PiT PD and Country of Incorporation columns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Email Eleftherios Papadakis; add extra column for PiT PD and Country of Incorp in COREP; save to ...\Raw Data\RIS (PD LGD Country of Incorp)</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CCR_PNL_sector_to_industry</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Sector to industry mapping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Shared with PnL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CCR_RWA_Slotting_ElRule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 file; summary of RW% and EL% based on slotting category and residual maturity (CRR Article 153(5) and 158(6))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Static</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EMR_CCR_RWA_spot_rwa_adjustment</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RWA data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Copy RWA_GBP into Adjusted_RWA column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EMR_CCR_RWA_TTC_PD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Typically static table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Check Credit Stress testing team; request from Alberto (betas)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EMR_CCR_RWA_xva_by_cp_usd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by counterparty in adjusted USD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Request XVA data; ...\Stress Testing\2022 BoE H2\Raw Data\XVA\20220630\Revised version</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EMR_CCR_RWA_Overlay_table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If PD adjustment needed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Blank file by default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CCR_PNL_RWA_SiteID_Override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Provides functionality to override site 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Input File Summary Table (all pages)</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2.8  Model Execution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System / model name and version, Execution steps</w:t>
            </w:r>
            <w:r>
              <w:br/>
              <w:t xml:space="preserve"/>
            </w:r>
            <w:r>
              <w:rPr>
                <w:rFonts w:ascii="Arial" w:cs="Arial" w:eastAsia="Arial" w:hAnsi="Arial"/>
                <w:i/>
                <w:iCs/>
                <w:color w:val="595959"/>
                <w:sz w:val="20"/>
                <w:szCs w:val="20"/>
              </w:rPr>
              <w:t xml:space="preserve">Run parameters, Logs and run evidence produced</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Model: GMD4929 CCR RWA Stress Testing | Platform: OCP (Offline Control Portal) / EMF</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2.8.1  OCP Model Run Steps</w:t>
      </w:r>
    </w:p>
    <w:p>
      <w:pPr>
        <w:spacing w:after="80"/>
      </w:pPr>
      <w:r>
        <w:rPr>
          <w:rFonts w:ascii="Arial" w:cs="Arial" w:eastAsia="Arial" w:hAnsi="Arial"/>
          <w:color w:val="000000"/>
          <w:sz w:val="22"/>
          <w:szCs w:val="22"/>
        </w:rPr>
        <w:t xml:space="preserve">OCP is a platform to upload and save input files, used in the CCR RWA model run.</w:t>
      </w:r>
    </w:p>
    <w:p>
      <w:pPr>
        <w:spacing w:after="80"/>
      </w:pPr>
      <w:r>
        <w:rPr>
          <w:rFonts w:ascii="Arial" w:cs="Arial" w:eastAsia="Arial" w:hAnsi="Arial"/>
          <w:color w:val="000000"/>
          <w:sz w:val="22"/>
          <w:szCs w:val="22"/>
        </w:rPr>
        <w:t xml:space="preserve">EMF IT Engine Prod URL: http://gbrpsr000005081.intranet.barcapint.com:8080/emfweb/dist/#/dynamicRunModel</w:t>
      </w:r>
    </w:p>
    <w:p>
      <w:pPr>
        <w:spacing w:after="40"/>
      </w:pPr>
      <w:r>
        <w:rPr>
          <w:rFonts w:ascii="Arial" w:cs="Arial" w:eastAsia="Arial" w:hAnsi="Arial"/>
          <w:sz w:val="22"/>
          <w:szCs w:val="22"/>
        </w:rPr>
        <w:t xml:space="preserve"/>
      </w:r>
    </w:p>
    <w:p>
      <w:pPr>
        <w:pStyle w:val="ListParagraph"/>
        <w:numPr>
          <w:ilvl w:val="0"/>
          <w:numId w:val="3"/>
        </w:numPr>
        <w:spacing w:after="60"/>
      </w:pPr>
      <w:r>
        <w:rPr>
          <w:rFonts w:ascii="Arial" w:cs="Arial" w:eastAsia="Arial" w:hAnsi="Arial"/>
          <w:color w:val="000000"/>
          <w:sz w:val="22"/>
          <w:szCs w:val="22"/>
        </w:rPr>
        <w:t xml:space="preserve">After following the link, click on the Offline Control Portal tab</w:t>
      </w:r>
    </w:p>
    <w:p>
      <w:pPr>
        <w:pStyle w:val="ListParagraph"/>
        <w:numPr>
          <w:ilvl w:val="0"/>
          <w:numId w:val="3"/>
        </w:numPr>
        <w:spacing w:after="60"/>
      </w:pPr>
      <w:r>
        <w:rPr>
          <w:rFonts w:ascii="Arial" w:cs="Arial" w:eastAsia="Arial" w:hAnsi="Arial"/>
          <w:color w:val="000000"/>
          <w:sz w:val="22"/>
          <w:szCs w:val="22"/>
        </w:rPr>
        <w:t xml:space="preserve">Click on IT RE-PLATFORM OCP to access the PNST Models</w:t>
      </w:r>
    </w:p>
    <w:p>
      <w:pPr>
        <w:pStyle w:val="ListParagraph"/>
        <w:numPr>
          <w:ilvl w:val="0"/>
          <w:numId w:val="3"/>
        </w:numPr>
        <w:spacing w:after="60"/>
      </w:pPr>
      <w:r>
        <w:rPr>
          <w:rFonts w:ascii="Arial" w:cs="Arial" w:eastAsia="Arial" w:hAnsi="Arial"/>
          <w:color w:val="000000"/>
          <w:sz w:val="22"/>
          <w:szCs w:val="22"/>
        </w:rPr>
        <w:t xml:space="preserve">Select the COB date and report name for which you want to upload the input file. Click Bulk Upload to upload the files</w:t>
      </w:r>
    </w:p>
    <w:p>
      <w:pPr>
        <w:pStyle w:val="ListParagraph"/>
        <w:numPr>
          <w:ilvl w:val="0"/>
          <w:numId w:val="3"/>
        </w:numPr>
        <w:spacing w:after="60"/>
      </w:pPr>
      <w:r>
        <w:rPr>
          <w:rFonts w:ascii="Arial" w:cs="Arial" w:eastAsia="Arial" w:hAnsi="Arial"/>
          <w:color w:val="000000"/>
          <w:sz w:val="22"/>
          <w:szCs w:val="22"/>
        </w:rPr>
        <w:t xml:space="preserve">After uploading the input file, select Submit and Save</w:t>
      </w:r>
    </w:p>
    <w:p>
      <w:pPr>
        <w:pStyle w:val="ListParagraph"/>
        <w:numPr>
          <w:ilvl w:val="0"/>
          <w:numId w:val="3"/>
        </w:numPr>
        <w:spacing w:after="60"/>
      </w:pPr>
      <w:r>
        <w:rPr>
          <w:rFonts w:ascii="Arial" w:cs="Arial" w:eastAsia="Arial" w:hAnsi="Arial"/>
          <w:color w:val="000000"/>
          <w:sz w:val="22"/>
          <w:szCs w:val="22"/>
        </w:rPr>
        <w:t xml:space="preserve">After uploading all required input files in the engine and saving, the model is ready for execution</w:t>
      </w:r>
    </w:p>
    <w:p>
      <w:pPr>
        <w:pStyle w:val="ListParagraph"/>
        <w:numPr>
          <w:ilvl w:val="0"/>
          <w:numId w:val="3"/>
        </w:numPr>
        <w:spacing w:after="60"/>
      </w:pPr>
      <w:r>
        <w:rPr>
          <w:rFonts w:ascii="Arial" w:cs="Arial" w:eastAsia="Arial" w:hAnsi="Arial"/>
          <w:color w:val="000000"/>
          <w:sz w:val="22"/>
          <w:szCs w:val="22"/>
        </w:rPr>
        <w:t xml:space="preserve">After inputting the model run description, click Submit and run the model</w:t>
      </w:r>
    </w:p>
    <w:p>
      <w:pPr>
        <w:pStyle w:val="ListParagraph"/>
        <w:numPr>
          <w:ilvl w:val="0"/>
          <w:numId w:val="3"/>
        </w:numPr>
        <w:spacing w:after="60"/>
      </w:pPr>
      <w:r>
        <w:rPr>
          <w:rFonts w:ascii="Arial" w:cs="Arial" w:eastAsia="Arial" w:hAnsi="Arial"/>
          <w:color w:val="000000"/>
          <w:sz w:val="22"/>
          <w:szCs w:val="22"/>
        </w:rPr>
        <w:t xml:space="preserve">After successful run, the output can be accessed from EMF Execution History Tab. Download the CCR RWA Final Output</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4.2.3 Model Run – Offline Control Portal (OCP)</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2.8.2  Model Outputs</w:t>
      </w:r>
    </w:p>
    <w:p>
      <w:pPr>
        <w:spacing w:after="80"/>
      </w:pPr>
      <w:r>
        <w:rPr>
          <w:rFonts w:ascii="Arial" w:cs="Arial" w:eastAsia="Arial" w:hAnsi="Arial"/>
          <w:color w:val="000000"/>
          <w:sz w:val="22"/>
          <w:szCs w:val="22"/>
        </w:rPr>
        <w:t xml:space="preserve">The final output file gives CCR RWA for Y1, Y2, Y3, Y4, Y5. RWA numbers are reported at group and different legal entity levels.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2.8.3  Bridge Runs (Impact Decomposition)</w:t>
      </w:r>
    </w:p>
    <w:p>
      <w:pPr>
        <w:spacing w:after="80"/>
      </w:pPr>
      <w:r>
        <w:rPr>
          <w:rFonts w:ascii="Arial" w:cs="Arial" w:eastAsia="Arial" w:hAnsi="Arial"/>
          <w:color w:val="000000"/>
          <w:sz w:val="22"/>
          <w:szCs w:val="22"/>
        </w:rPr>
        <w:t xml:space="preserve">Separate bridge runs are performed to find the individual impact of PD, FX, and Exposure on stressed RWA:</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304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Bridge Run</w:t>
            </w:r>
          </w:p>
        </w:tc>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Files Used</w:t>
            </w:r>
          </w:p>
        </w:tc>
        <w:tc>
          <w:tcPr>
            <w:tcW w:type="dxa" w:w="3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Fixed / Stressed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FX Impact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CCR_FX_RAW_scenario (stressed FX)</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Unstressed PD and Exposure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Exposure Impact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CCR_RWA_IMM3DALL_Scenario, CCR_RWA_NPM3D_AllScenario (stressed Exposure)</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Unstressed PD and FX data</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Impact</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CCR_PNL_c5_alpha_shocks (stressed PD)</w:t>
            </w:r>
          </w:p>
        </w:tc>
        <w:tc>
          <w:tcPr>
            <w:tcW w:type="dxa" w:w="30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Unstressed FX and Exposure data</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4.2.3 Model Run – bridge runs</w:t>
      </w:r>
    </w:p>
    <w:p>
      <w:pPr>
        <w:spacing w:after="40"/>
      </w:pPr>
      <w:r>
        <w:rPr>
          <w:rFonts w:ascii="Arial" w:cs="Arial" w:eastAsia="Arial" w:hAnsi="Arial"/>
          <w:sz w:val="22"/>
          <w:szCs w:val="22"/>
        </w:rPr>
        <w:t xml:space="preserve"/>
      </w:r>
    </w:p>
    <w:p>
      <w:pPr>
        <w:pStyle w:val="Heading3"/>
        <w:spacing w:after="60" w:before="160"/>
      </w:pPr>
      <w:r>
        <w:rPr>
          <w:rFonts w:ascii="Arial" w:cs="Arial" w:eastAsia="Arial" w:hAnsi="Arial"/>
          <w:b/>
          <w:bCs/>
          <w:color w:val="2E75B6"/>
          <w:sz w:val="24"/>
          <w:szCs w:val="24"/>
        </w:rPr>
        <w:t xml:space="preserve">2.8.4  EBA-Specific Run Notes</w:t>
      </w:r>
    </w:p>
    <w:p>
      <w:pPr>
        <w:pStyle w:val="ListParagraph"/>
        <w:numPr>
          <w:ilvl w:val="0"/>
          <w:numId w:val="2"/>
        </w:numPr>
        <w:spacing w:after="60"/>
      </w:pPr>
      <w:r>
        <w:rPr>
          <w:rFonts w:ascii="Arial" w:cs="Arial" w:eastAsia="Arial" w:hAnsi="Arial"/>
          <w:color w:val="000000"/>
          <w:sz w:val="22"/>
          <w:szCs w:val="22"/>
        </w:rPr>
        <w:t xml:space="preserve">EBA is a constant balance sheet exercise – no exposure stress is needed</w:t>
      </w:r>
    </w:p>
    <w:p>
      <w:pPr>
        <w:pStyle w:val="ListParagraph"/>
        <w:numPr>
          <w:ilvl w:val="0"/>
          <w:numId w:val="2"/>
        </w:numPr>
        <w:spacing w:after="60"/>
      </w:pPr>
      <w:r>
        <w:rPr>
          <w:rFonts w:ascii="Arial" w:cs="Arial" w:eastAsia="Arial" w:hAnsi="Arial"/>
          <w:color w:val="000000"/>
          <w:sz w:val="22"/>
          <w:szCs w:val="22"/>
        </w:rPr>
        <w:t xml:space="preserve">CCR RWAs are only stressed for PD and FX</w:t>
      </w:r>
    </w:p>
    <w:p>
      <w:pPr>
        <w:pStyle w:val="ListParagraph"/>
        <w:numPr>
          <w:ilvl w:val="0"/>
          <w:numId w:val="2"/>
        </w:numPr>
        <w:spacing w:after="60"/>
      </w:pPr>
      <w:r>
        <w:rPr>
          <w:rFonts w:ascii="Arial" w:cs="Arial" w:eastAsia="Arial" w:hAnsi="Arial"/>
          <w:color w:val="000000"/>
          <w:sz w:val="22"/>
          <w:szCs w:val="22"/>
        </w:rPr>
        <w:t xml:space="preserve">PD and FX stress is applied for 3 years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4.2.3 Model Run – EBA</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2.9  Model Output Review and Analysis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Key outputs reviewed, Review techniques (trend, variance, benchmarks)</w:t>
            </w:r>
            <w:r>
              <w:br/>
              <w:t xml:space="preserve"/>
            </w:r>
            <w:r>
              <w:rPr>
                <w:rFonts w:ascii="Arial" w:cs="Arial" w:eastAsia="Arial" w:hAnsi="Arial"/>
                <w:i/>
                <w:iCs/>
                <w:color w:val="595959"/>
                <w:sz w:val="20"/>
                <w:szCs w:val="20"/>
              </w:rPr>
              <w:t xml:space="preserve">Expected vs actual outcomes, Known model behaviours</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Key outputs:</w:t>
      </w:r>
    </w:p>
    <w:p>
      <w:pPr>
        <w:pStyle w:val="ListParagraph"/>
        <w:numPr>
          <w:ilvl w:val="0"/>
          <w:numId w:val="2"/>
        </w:numPr>
        <w:spacing w:after="60"/>
      </w:pPr>
      <w:r>
        <w:rPr>
          <w:rFonts w:ascii="Arial" w:cs="Arial" w:eastAsia="Arial" w:hAnsi="Arial"/>
          <w:color w:val="000000"/>
          <w:sz w:val="22"/>
          <w:szCs w:val="22"/>
        </w:rPr>
        <w:t xml:space="preserve">Stressed RWA for Y1–Y5 at group and legal entity level</w:t>
      </w:r>
    </w:p>
    <w:p>
      <w:pPr>
        <w:pStyle w:val="ListParagraph"/>
        <w:numPr>
          <w:ilvl w:val="0"/>
          <w:numId w:val="2"/>
        </w:numPr>
        <w:spacing w:after="60"/>
      </w:pPr>
      <w:r>
        <w:rPr>
          <w:rFonts w:ascii="Arial" w:cs="Arial" w:eastAsia="Arial" w:hAnsi="Arial"/>
          <w:color w:val="000000"/>
          <w:sz w:val="22"/>
          <w:szCs w:val="22"/>
        </w:rPr>
        <w:t xml:space="preserve">Bridge run decomposition showing PD, FX, and Exposure impacts separately</w:t>
      </w:r>
    </w:p>
    <w:p>
      <w:pPr>
        <w:pStyle w:val="ListParagraph"/>
        <w:numPr>
          <w:ilvl w:val="0"/>
          <w:numId w:val="2"/>
        </w:numPr>
        <w:spacing w:after="60"/>
      </w:pPr>
      <w:r>
        <w:rPr>
          <w:rFonts w:ascii="Arial" w:cs="Arial" w:eastAsia="Arial" w:hAnsi="Arial"/>
          <w:color w:val="000000"/>
          <w:sz w:val="22"/>
          <w:szCs w:val="22"/>
        </w:rPr>
        <w:t xml:space="preserve">Model monitoring checks M1–M5 (see Section 2.5.3)</w:t>
      </w:r>
    </w:p>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M2 – Sensitivity-Based vs Full Revaluation Accuracy (detail):</w:t>
      </w:r>
    </w:p>
    <w:p>
      <w:pPr>
        <w:pStyle w:val="ListParagraph"/>
        <w:numPr>
          <w:ilvl w:val="0"/>
          <w:numId w:val="2"/>
        </w:numPr>
        <w:spacing w:after="60"/>
      </w:pPr>
      <w:r>
        <w:rPr>
          <w:rFonts w:ascii="Arial" w:cs="Arial" w:eastAsia="Arial" w:hAnsi="Arial"/>
          <w:color w:val="000000"/>
          <w:sz w:val="22"/>
          <w:szCs w:val="22"/>
        </w:rPr>
        <w:t xml:space="preserve">Source data: Data tab from BO MM folder</w:t>
      </w:r>
    </w:p>
    <w:p>
      <w:pPr>
        <w:pStyle w:val="ListParagraph"/>
        <w:numPr>
          <w:ilvl w:val="0"/>
          <w:numId w:val="2"/>
        </w:numPr>
        <w:spacing w:after="60"/>
      </w:pPr>
      <w:r>
        <w:rPr>
          <w:rFonts w:ascii="Arial" w:cs="Arial" w:eastAsia="Arial" w:hAnsi="Arial"/>
          <w:color w:val="000000"/>
          <w:sz w:val="22"/>
          <w:szCs w:val="22"/>
        </w:rPr>
        <w:t xml:space="preserve">Update CSP based on data tab</w:t>
      </w:r>
    </w:p>
    <w:p>
      <w:pPr>
        <w:pStyle w:val="ListParagraph"/>
        <w:numPr>
          <w:ilvl w:val="0"/>
          <w:numId w:val="2"/>
        </w:numPr>
        <w:spacing w:after="60"/>
      </w:pPr>
      <w:r>
        <w:rPr>
          <w:rFonts w:ascii="Arial" w:cs="Arial" w:eastAsia="Arial" w:hAnsi="Arial"/>
          <w:color w:val="000000"/>
          <w:sz w:val="22"/>
          <w:szCs w:val="22"/>
        </w:rPr>
        <w:t xml:space="preserve">Filter for column I = 'N2'</w:t>
      </w:r>
    </w:p>
    <w:p>
      <w:pPr>
        <w:pStyle w:val="ListParagraph"/>
        <w:numPr>
          <w:ilvl w:val="0"/>
          <w:numId w:val="2"/>
        </w:numPr>
        <w:spacing w:after="60"/>
      </w:pPr>
      <w:r>
        <w:rPr>
          <w:rFonts w:ascii="Arial" w:cs="Arial" w:eastAsia="Arial" w:hAnsi="Arial"/>
          <w:color w:val="000000"/>
          <w:sz w:val="22"/>
          <w:szCs w:val="22"/>
        </w:rPr>
        <w:t xml:space="preserve">Remove all duplicates</w:t>
      </w:r>
    </w:p>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4.2.4 Model Monitoring</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The output review checklist comprises the following benchmark testing and analysis steps, performed at each exercise:</w:t>
      </w:r>
    </w:p>
    <w:p>
      <w:pPr>
        <w:spacing w:after="40"/>
      </w:pPr>
      <w:r>
        <w:rPr>
          <w:rFonts w:ascii="Arial" w:cs="Arial" w:eastAsia="Arial" w:hAnsi="Arial"/>
          <w:sz w:val="22"/>
          <w:szCs w:val="22"/>
        </w:rPr>
        <w:t xml:space="preserve">- Internal benchmarking against the previous two BoE/IST exercises, comparing Total CCR RWA by projection year, the contribution to RWA from Exposure-only, FX-only and RW-only effects, and average AIRB risk weights produced in stress by counterparty type (Corporates, Financials, Sovereign)</w:t>
      </w:r>
    </w:p>
    <w:p>
      <w:pPr>
        <w:spacing w:after="40"/>
      </w:pPr>
      <w:r>
        <w:rPr>
          <w:rFonts w:ascii="Arial" w:cs="Arial" w:eastAsia="Arial" w:hAnsi="Arial"/>
          <w:sz w:val="22"/>
          <w:szCs w:val="22"/>
        </w:rPr>
        <w:t xml:space="preserve">- Full Reval vs. Risk Reval and Risk Factor Coverage test: for the uncollateralised and weakly collateralised portfolio, the absolute MTM delta by product is reviewed against revaluation methodology categories (Linear OK, Non-Linear OK, Non-Linear Not OK). Threshold: should the proportion of change in MTM by product in the ‘Non-Linear Not OK’ category rise above a soft threshold of 20%, potential overlays are considered depending on materiality relative to total CCR RWA</w:t>
      </w:r>
    </w:p>
    <w:p>
      <w:pPr>
        <w:spacing w:after="40"/>
      </w:pPr>
      <w:r>
        <w:rPr>
          <w:rFonts w:ascii="Arial" w:cs="Arial" w:eastAsia="Arial" w:hAnsi="Arial"/>
          <w:sz w:val="22"/>
          <w:szCs w:val="22"/>
        </w:rPr>
        <w:t xml:space="preserve">- Uncollateralised structural position review: monitoring of the largest structural positions (e.g. received fix GBP rates swaps book) to confirm the conservative relationship of ΔCE~ΔEEPE still holds given the scenario direction</w:t>
      </w:r>
    </w:p>
    <w:p>
      <w:pPr>
        <w:spacing w:after="40"/>
      </w:pPr>
      <w:r>
        <w:rPr>
          <w:rFonts w:ascii="Arial" w:cs="Arial" w:eastAsia="Arial" w:hAnsi="Arial"/>
          <w:sz w:val="22"/>
          <w:szCs w:val="22"/>
        </w:rPr>
        <w:t xml:space="preserve">- Sustained volatility testing over the exposure calibration window (Section 7.1.7), comparing 3-year average implied volatilities under the stress projection against the sEE calibration window, with a volatility materiality test (Section 7.1.8) assessing Vega Sensitivity, Delta MTM and RWA Delta as a share of the total collateralised portfolio</w:t>
      </w:r>
    </w:p>
    <w:p>
      <w:pPr>
        <w:spacing w:after="40"/>
      </w:pPr>
      <w:r>
        <w:rPr>
          <w:rFonts w:ascii="Arial" w:cs="Arial" w:eastAsia="Arial" w:hAnsi="Arial"/>
          <w:sz w:val="22"/>
          <w:szCs w:val="22"/>
        </w:rPr>
        <w:t xml:space="preserve">- EEPE vs CE scalar assessment (Section 7.1.10): comparison of the EEPE/CE scalar derived from historical EAD and CE movements against the current exercise’s delta EAD, to materiality-test the core ΔCE~ΔEEPE assumption</w:t>
      </w:r>
    </w:p>
    <w:p>
      <w:pPr>
        <w:spacing w:after="80"/>
      </w:pPr>
      <w:r>
        <w:rPr>
          <w:rFonts w:ascii="Arial" w:cs="Arial" w:eastAsia="Arial" w:hAnsi="Arial"/>
          <w:sz w:val="22"/>
          <w:szCs w:val="22"/>
        </w:rPr>
        <w:t xml:space="preserve">Variance vs. prior exercise is assessed qualitatively rather than against a single fixed numerical tolerance, given the high-level, future-estimate nature of the exercise; any material unexplained variance is escalated through the review chain set out in Section 2.12. Sign-off requirements follow the review and approval chain in Sections 2.12 and 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Section 7.1 Benchmark Testing (7.1.2, 7.1.3, 7.1.4, 7.1.7, 7.1.8, 7.1.10)</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2.10  Post-Model Adjustments and Overlays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Adjustment rationale, Impact assessment</w:t>
            </w:r>
            <w:r>
              <w:br/>
              <w:t xml:space="preserve"/>
            </w:r>
            <w:r>
              <w:rPr>
                <w:rFonts w:ascii="Arial" w:cs="Arial" w:eastAsia="Arial" w:hAnsi="Arial"/>
                <w:i/>
                <w:iCs/>
                <w:color w:val="595959"/>
                <w:sz w:val="20"/>
                <w:szCs w:val="20"/>
              </w:rPr>
              <w:t xml:space="preserve">Approval hierarchy, Documentation approach</w:t>
            </w:r>
          </w:p>
        </w:tc>
      </w:tr>
    </w:tbl>
    <w:p>
      <w:pPr>
        <w:spacing w:after="40"/>
      </w:pPr>
      <w:r>
        <w:rPr>
          <w:rFonts w:ascii="Arial" w:cs="Arial" w:eastAsia="Arial" w:hAnsi="Arial"/>
          <w:sz w:val="22"/>
          <w:szCs w:val="22"/>
        </w:rPr>
        <w:t xml:space="preserve"/>
      </w:r>
    </w:p>
    <w:p>
      <w:pPr>
        <w:spacing w:after="80"/>
      </w:pPr>
      <w:r>
        <w:rPr>
          <w:rFonts w:ascii="Arial" w:cs="Arial" w:eastAsia="Arial" w:hAnsi="Arial"/>
          <w:color w:val="000000"/>
          <w:sz w:val="22"/>
          <w:szCs w:val="22"/>
        </w:rPr>
        <w:t xml:space="preserve">Post-model adjustments for CCR RWA are minimal. The primary adjustment mechanism is the TTC PD Overlay (Section 2.6.1), applied pre-model. If any post-model RWA adjustment is required, this must be justified and documented.</w:t>
      </w:r>
    </w:p>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Post-model adjustments (PMAs) and overrides identified in the model design document are as follows:</w:t>
      </w:r>
    </w:p>
    <w:p>
      <w:pPr>
        <w:spacing w:after="40"/>
      </w:pPr>
      <w:r>
        <w:rPr>
          <w:rFonts w:ascii="Arial" w:cs="Arial" w:eastAsia="Arial" w:hAnsi="Arial"/>
          <w:sz w:val="22"/>
          <w:szCs w:val="22"/>
        </w:rPr>
        <w:t xml:space="preserve">- IRB Repair PMA: a scalar of 1.16x is applied on the IRB population of the projected RWA from Y1–Y5, to compensate for the deficiency in the rejected feeder PD/LGD models (GMD4769, GMD59, GMD86). The scalar is derived from the delta between Spot RWA – RIS and Spot RWA – Engine replicated (16.32% delta at June 2023 COB)</w:t>
      </w:r>
    </w:p>
    <w:p>
      <w:pPr>
        <w:spacing w:after="40"/>
      </w:pPr>
      <w:r>
        <w:rPr>
          <w:rFonts w:ascii="Arial" w:cs="Arial" w:eastAsia="Arial" w:hAnsi="Arial"/>
          <w:sz w:val="22"/>
          <w:szCs w:val="22"/>
        </w:rPr>
        <w:t xml:space="preserve">- Downturn LGD PMA: using the GMD6521 LGD shift parameters (calibrated as the maximum across a 5-year horizon) to compensate for downturn LGDs not being stressed under the scenario; this PMA impacts IRBA risk weights only and was estimated at ~£1bn (~2% of total stressed CCR RWA) for IST 2023; rated Key/Non-Material</w:t>
      </w:r>
    </w:p>
    <w:p>
      <w:pPr>
        <w:spacing w:after="40"/>
      </w:pPr>
      <w:r>
        <w:rPr>
          <w:rFonts w:ascii="Arial" w:cs="Arial" w:eastAsia="Arial" w:hAnsi="Arial"/>
          <w:sz w:val="22"/>
          <w:szCs w:val="22"/>
        </w:rPr>
        <w:t xml:space="preserve">- BE Overlay: BE RWA stress impact is the estimate derived from the Group stress testing, with adjustments made on BE RWA (Group BE RW inflation reversed out, BE RW inflation added) before arriving at the RWA stress impact for BE</w:t>
      </w:r>
    </w:p>
    <w:p>
      <w:pPr>
        <w:spacing w:after="40"/>
      </w:pPr>
      <w:r>
        <w:rPr>
          <w:rFonts w:ascii="Arial" w:cs="Arial" w:eastAsia="Arial" w:hAnsi="Arial"/>
          <w:sz w:val="22"/>
          <w:szCs w:val="22"/>
        </w:rPr>
        <w:t xml:space="preserve">- MTP Override Scalars: where anticipated changes to business mix are significant and can be explained by the business, they are incorporated into the stressed projections via an override scalar; Management actions resulting from the stress can similarly be incorporated via scalars, but these must go through the standard governance process applicable to all Management Actions in the exercise</w:t>
      </w:r>
    </w:p>
    <w:p>
      <w:pPr>
        <w:spacing w:after="80"/>
      </w:pPr>
      <w:r>
        <w:rPr>
          <w:rFonts w:ascii="Arial" w:cs="Arial" w:eastAsia="Arial" w:hAnsi="Arial"/>
          <w:sz w:val="22"/>
          <w:szCs w:val="22"/>
        </w:rPr>
        <w:t xml:space="preserve">Governance of overrides is owned by the model owner and reviewed/approved by the IB Stress Test Steerco. There is no separate quantitative D-level sign-off threshold defined in the model design document beyond the standard Management Action governance process; sign-off follows the review and approval chain in Sections 2.12 and 3.</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Section 3.4 Rationales (IRB Repair PMA); Assumptions and Limitations Table 15, item 10; Section 6.1.12 BE Overlay; Section 6.2.2 Overrides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2.11  Final Template Preparation</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Template population steps, Validation checks</w:t>
            </w:r>
            <w:r>
              <w:br/>
              <w:t xml:space="preserve"/>
            </w:r>
            <w:r>
              <w:rPr>
                <w:rFonts w:ascii="Arial" w:cs="Arial" w:eastAsia="Arial" w:hAnsi="Arial"/>
                <w:i/>
                <w:iCs/>
                <w:color w:val="595959"/>
                <w:sz w:val="20"/>
                <w:szCs w:val="20"/>
              </w:rPr>
              <w:t xml:space="preserve">Cross-template consistency checks, Final formatting rules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b/>
                <w:bCs/>
                <w:color w:val="C00000"/>
                <w:sz w:val="20"/>
                <w:szCs w:val="20"/>
              </w:rPr>
              <w:t xml:space="preserve">⚠ CONTENT REQUIRED – </w:t>
            </w:r>
            <w:r>
              <w:rPr>
                <w:rFonts w:ascii="Arial" w:cs="Arial" w:eastAsia="Arial" w:hAnsi="Arial"/>
                <w:i/>
                <w:iCs/>
                <w:color w:val="C00000"/>
                <w:sz w:val="20"/>
                <w:szCs w:val="20"/>
              </w:rPr>
              <w:t xml:space="preserve">Document the steps for populating the final regulatory template (e.g. COREP / EBA submission template) from model outputs. Include any cross-template consistency checks and version control steps. Not addressed in the model design document (GMD4929) — confirm operationally with the model owner / regulatory reporting team.</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2.12  Review, Approval and Governance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Review layers, Governance forums</w:t>
            </w:r>
            <w:r>
              <w:br/>
              <w:t xml:space="preserve"/>
            </w:r>
            <w:r>
              <w:rPr>
                <w:rFonts w:ascii="Arial" w:cs="Arial" w:eastAsia="Arial" w:hAnsi="Arial"/>
                <w:i/>
                <w:iCs/>
                <w:color w:val="595959"/>
                <w:sz w:val="20"/>
                <w:szCs w:val="20"/>
              </w:rPr>
              <w:t xml:space="preserve">Approval artefacts (minutes, emails, packs), Timelines</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The full review and approval chain for Group exercises (IST, BoE/ACS, RST) is:</w:t>
      </w:r>
    </w:p>
    <w:p>
      <w:pPr>
        <w:spacing w:after="40"/>
      </w:pPr>
      <w:r>
        <w:rPr>
          <w:rFonts w:ascii="Arial" w:cs="Arial" w:eastAsia="Arial" w:hAnsi="Arial"/>
          <w:sz w:val="22"/>
          <w:szCs w:val="22"/>
        </w:rPr>
        <w:t xml:space="preserve">1. Preparer sign-off: the Counterparty Risk Management (CRM) team reviews the stressed CCR RWA methodologies and results internally</w:t>
      </w:r>
    </w:p>
    <w:p>
      <w:pPr>
        <w:spacing w:after="40"/>
      </w:pPr>
      <w:r>
        <w:rPr>
          <w:rFonts w:ascii="Arial" w:cs="Arial" w:eastAsia="Arial" w:hAnsi="Arial"/>
          <w:sz w:val="22"/>
          <w:szCs w:val="22"/>
        </w:rPr>
        <w:t xml:space="preserve">2. Independent reviewer sign-off: an independent member of Group Wholesale Credit Risk reviews the results, followed by the front office FiRM team (who are responsible for proposing associated Management Actions)</w:t>
      </w:r>
    </w:p>
    <w:p>
      <w:pPr>
        <w:spacing w:after="40"/>
      </w:pPr>
      <w:r>
        <w:rPr>
          <w:rFonts w:ascii="Arial" w:cs="Arial" w:eastAsia="Arial" w:hAnsi="Arial"/>
          <w:sz w:val="22"/>
          <w:szCs w:val="22"/>
        </w:rPr>
        <w:t xml:space="preserve">3. Director-level approver: the IB stress test Steerco panel (comprising Risk, Finance and Treasury) reviews the results before they are passed to the Wholesale Credit Risk Management Committee, where they are signed off by the Credit Key Risk Officer (KRO), then escalated to Group Steerco, with ultimate sign-off by the Chief Risk Officer (CRO) and Chief Financial Officer (CFO)</w:t>
      </w:r>
    </w:p>
    <w:p>
      <w:pPr>
        <w:spacing w:after="80"/>
      </w:pPr>
      <w:r>
        <w:rPr>
          <w:rFonts w:ascii="Arial" w:cs="Arial" w:eastAsia="Arial" w:hAnsi="Arial"/>
          <w:sz w:val="22"/>
          <w:szCs w:val="22"/>
        </w:rPr>
        <w:t xml:space="preserve">4. Governance forum names and cadence: Wholesale Credit Risk Management Committee (per-exercise cadence aligned to BoE/IST run frequency, i.e. annual); IB Stress Test Steerco (per-exercise review and challenge); Group Steerco (final escalation, per-exercise). For Barclays Europe, the equivalent chain is BE CRM team review, independent review by a member of BE Wholesale Credit Risk, then the front office FiRM team, with the IRB-to-STD local adjustment reviewed and signed off by the Head of BE CALM. Submission pack format is not specified in the model design document and should be confirmed operationally.</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Section 6.2 Governance (6.2.1 Stress Test Steerco Panel; 6.2.3 Barclays Europe Governance)</w:t>
            </w:r>
          </w:p>
        </w:tc>
      </w:tr>
    </w:tbl>
    <w:p>
      <w:pPr>
        <w:spacing w:after="40"/>
      </w:pPr>
      <w:r>
        <w:rPr>
          <w:rFonts w:ascii="Arial" w:cs="Arial" w:eastAsia="Arial" w:hAnsi="Arial"/>
          <w:sz w:val="22"/>
          <w:szCs w:val="22"/>
        </w:rPr>
        <w:t xml:space="preserve"/>
      </w:r>
    </w:p>
    <w:p>
      <w:pPr>
        <w:pBdr>
          <w:bottom w:val="single" w:color="2E75B6" w:sz="4" w:space="1"/>
        </w:pBdr>
        <w:spacing w:after="200" w:before="200"/>
      </w:pPr>
    </w:p>
    <w:p>
      <w:pPr>
        <w:pStyle w:val="Heading1"/>
        <w:spacing w:after="120" w:before="320"/>
      </w:pPr>
      <w:r>
        <w:rPr>
          <w:rFonts w:ascii="Arial" w:cs="Arial" w:eastAsia="Arial" w:hAnsi="Arial"/>
          <w:b/>
          <w:bCs/>
          <w:color w:val="1F3864"/>
          <w:sz w:val="32"/>
          <w:szCs w:val="32"/>
        </w:rPr>
        <w:t xml:space="preserve">3.  Approval</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 step-by-step guide for how to review and approve the report.</w:t>
            </w:r>
          </w:p>
        </w:tc>
      </w:tr>
    </w:tbl>
    <w:p>
      <w:pPr>
        <w:spacing w:after="40"/>
      </w:pPr>
      <w:r>
        <w:rPr>
          <w:rFonts w:ascii="Arial" w:cs="Arial" w:eastAsia="Arial" w:hAnsi="Arial"/>
          <w:sz w:val="22"/>
          <w:szCs w:val="22"/>
        </w:rPr>
        <w:t xml:space="preserve"/>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C00000" w:sz="1"/>
              <w:left w:val="single" w:color="C00000" w:sz="1"/>
              <w:bottom w:val="single" w:color="C00000" w:sz="1"/>
              <w:right w:val="single" w:color="C00000" w:sz="1"/>
            </w:tcBorders>
            <w:shd w:fill="FFE0E0" w:val="clear"/>
            <w:tcMar>
              <w:top w:type="dxa" w:w="80"/>
              <w:left w:type="dxa" w:w="160"/>
              <w:bottom w:type="dxa" w:w="80"/>
              <w:right w:type="dxa" w:w="160"/>
            </w:tcMar>
          </w:tcPr>
          <w:p>
            <w:pPr>
              <w:spacing w:after="0"/>
            </w:pPr>
            <w:r>
              <w:rPr>
                <w:rFonts w:ascii="Arial" w:cs="Arial" w:eastAsia="Arial" w:hAnsi="Arial"/>
                <w:i/>
                <w:iCs/>
                <w:color w:val="595959"/>
                <w:sz w:val="20"/>
                <w:szCs w:val="20"/>
              </w:rPr>
              <w:t xml:space="preserve">[Resolved in Step 2 — see narrative below]</w:t>
            </w:r>
          </w:p>
        </w:tc>
      </w:tr>
    </w:tbl>
    <w:p>
      <w:pPr>
        <w:spacing w:after="80" w:before="80"/>
      </w:pPr>
      <w:r>
        <w:rPr>
          <w:rFonts w:ascii="Arial" w:cs="Arial" w:eastAsia="Arial" w:hAnsi="Arial"/>
          <w:color w:val="000000"/>
          <w:sz w:val="22"/>
          <w:szCs w:val="22"/>
        </w:rPr>
        <w:t xml:space="preserve">The approval procedure mirrors the review and approval chain set out in Section 2.12:</w:t>
      </w:r>
    </w:p>
    <w:p>
      <w:pPr>
        <w:spacing w:after="40"/>
      </w:pPr>
      <w:r>
        <w:rPr>
          <w:rFonts w:ascii="Arial" w:cs="Arial" w:eastAsia="Arial" w:hAnsi="Arial"/>
          <w:sz w:val="22"/>
          <w:szCs w:val="22"/>
        </w:rPr>
        <w:t xml:space="preserve">- The Counterparty Risk Management (CRM) team reviews the stressed CCR RWA methodology and results internally, checking conceptual soundness, the benchmark testing outputs (Section 7.1), and assumptions/limitations materiality assessments</w:t>
      </w:r>
    </w:p>
    <w:p>
      <w:pPr>
        <w:spacing w:after="40"/>
      </w:pPr>
      <w:r>
        <w:rPr>
          <w:rFonts w:ascii="Arial" w:cs="Arial" w:eastAsia="Arial" w:hAnsi="Arial"/>
          <w:sz w:val="22"/>
          <w:szCs w:val="22"/>
        </w:rPr>
        <w:t xml:space="preserve">- An independent member of Group Wholesale Credit Risk then reviews the results, followed by the front office FiRM team, who check for and propose any associated Management Actions</w:t>
      </w:r>
    </w:p>
    <w:p>
      <w:pPr>
        <w:spacing w:after="40"/>
      </w:pPr>
      <w:r>
        <w:rPr>
          <w:rFonts w:ascii="Arial" w:cs="Arial" w:eastAsia="Arial" w:hAnsi="Arial"/>
          <w:sz w:val="22"/>
          <w:szCs w:val="22"/>
        </w:rPr>
        <w:t xml:space="preserve">- Director-level approval requirement: results are passed to the IB stress test Steerco panel (Risk, Finance, Treasury), then the Wholesale Credit Risk Management Committee where they are signed off by the Credit Key Risk Officer (KRO), then Group Steerco, with ultimate sign-off by the Chief Risk Officer (CRO) and Chief Financial Officer (CFO)</w:t>
      </w:r>
    </w:p>
    <w:p>
      <w:pPr>
        <w:spacing w:after="80"/>
      </w:pPr>
      <w:r>
        <w:rPr>
          <w:rFonts w:ascii="Arial" w:cs="Arial" w:eastAsia="Arial" w:hAnsi="Arial"/>
          <w:sz w:val="22"/>
          <w:szCs w:val="22"/>
        </w:rPr>
        <w:t xml:space="preserve">The model design document does not specify the exact mechanism by which approval is evidenced (e.g. committee minutes vs. email sign-off) or the specific evidence retention location; this should be confirmed operationally and aligned with the Document Governance ‘Location of Approval Evidence’ field at the front of this SOP.</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2E75B6" w:sz="4"/>
              <w:left w:val="single" w:color="2E75B6" w:sz="4"/>
              <w:bottom w:val="single" w:color="2E75B6" w:sz="4"/>
              <w:right w:val="single" w:color="2E75B6" w:sz="4"/>
            </w:tcBorders>
            <w:shd w:fill="DCE6F1" w:val="clear"/>
            <w:tcMar>
              <w:top w:type="dxa" w:w="80"/>
              <w:left w:type="dxa" w:w="160"/>
              <w:bottom w:type="dxa" w:w="80"/>
              <w:right w:type="dxa" w:w="160"/>
            </w:tcMar>
          </w:tcPr>
          <w:p>
            <w:pPr>
              <w:spacing w:after="0"/>
            </w:pPr>
            <w:r>
              <w:rPr>
                <w:rFonts w:ascii="Arial" w:cs="Arial" w:eastAsia="Arial" w:hAnsi="Arial"/>
                <w:b/>
                <w:bCs/>
                <w:color w:val="2E75B6"/>
                <w:sz w:val="20"/>
                <w:szCs w:val="20"/>
              </w:rPr>
              <w:t xml:space="preserve">📘 Source: </w:t>
            </w:r>
            <w:r>
              <w:rPr>
                <w:rFonts w:ascii="Arial" w:cs="Arial" w:eastAsia="Arial" w:hAnsi="Arial"/>
                <w:i/>
                <w:iCs/>
                <w:color w:val="2E75B6"/>
                <w:sz w:val="20"/>
                <w:szCs w:val="20"/>
              </w:rPr>
              <w:t xml:space="preserve">Model Design Document (GMD4929), Section 6.2 Governance (6.2.1 Stress Test Steerco Panel)</w:t>
            </w:r>
          </w:p>
        </w:tc>
      </w:tr>
    </w:tbl>
    <w:p>
      <w:pPr>
        <w:spacing w:after="40"/>
      </w:pPr>
      <w:r>
        <w:rPr>
          <w:rFonts w:ascii="Arial" w:cs="Arial" w:eastAsia="Arial" w:hAnsi="Arial"/>
          <w:sz w:val="22"/>
          <w:szCs w:val="22"/>
        </w:rPr>
        <w:t xml:space="preserve"/>
      </w:r>
    </w:p>
    <w:p>
      <w:pPr>
        <w:pBdr>
          <w:bottom w:val="single" w:color="2E75B6" w:sz="4" w:space="1"/>
        </w:pBdr>
        <w:spacing w:after="200" w:before="200"/>
      </w:pPr>
    </w:p>
    <w:p>
      <w:pPr>
        <w:pStyle w:val="Heading1"/>
        <w:spacing w:after="120" w:before="320"/>
      </w:pPr>
      <w:r>
        <w:rPr>
          <w:rFonts w:ascii="Arial" w:cs="Arial" w:eastAsia="Arial" w:hAnsi="Arial"/>
          <w:b/>
          <w:bCs/>
          <w:color w:val="1F3864"/>
          <w:sz w:val="32"/>
          <w:szCs w:val="32"/>
        </w:rPr>
        <w:t xml:space="preserve">4.  Appendices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8640"/>
      </w:tblGrid>
      <w:tr>
        <w:tc>
          <w:tcPr>
            <w:tcW w:type="dxa" w:w="8640"/>
            <w:tcBorders>
              <w:top w:val="single" w:color="AAAAAA" w:sz="1"/>
              <w:left w:val="single" w:color="AAAAAA" w:sz="1"/>
              <w:bottom w:val="single" w:color="AAAAAA" w:sz="1"/>
              <w:right w:val="single" w:color="AAAAAA" w:sz="1"/>
            </w:tcBorders>
            <w:shd w:fill="F2F2F2" w:val="clear"/>
            <w:tcMar>
              <w:top w:type="dxa" w:w="80"/>
              <w:left w:type="dxa" w:w="160"/>
              <w:bottom w:type="dxa" w:w="80"/>
              <w:right w:type="dxa" w:w="160"/>
            </w:tcMar>
          </w:tcPr>
          <w:p>
            <w:pPr>
              <w:spacing w:after="0"/>
            </w:pPr>
            <w:r>
              <w:rPr>
                <w:rFonts w:ascii="Arial" w:cs="Arial" w:eastAsia="Arial" w:hAnsi="Arial"/>
                <w:b/>
                <w:bCs/>
                <w:color w:val="595959"/>
                <w:sz w:val="20"/>
                <w:szCs w:val="20"/>
              </w:rPr>
              <w:t xml:space="preserve">📋 Guidance   </w:t>
            </w:r>
            <w:r>
              <w:rPr>
                <w:rFonts w:ascii="Arial" w:cs="Arial" w:eastAsia="Arial" w:hAnsi="Arial"/>
                <w:i/>
                <w:iCs/>
                <w:color w:val="595959"/>
                <w:sz w:val="20"/>
                <w:szCs w:val="20"/>
              </w:rPr>
              <w:t xml:space="preserve">Any supplemental material to aid the user in executing the process.</w:t>
            </w:r>
            <w:r>
              <w:br/>
              <w:t xml:space="preserve"/>
            </w:r>
            <w:r>
              <w:rPr>
                <w:rFonts w:ascii="Arial" w:cs="Arial" w:eastAsia="Arial" w:hAnsi="Arial"/>
                <w:i/>
                <w:iCs/>
                <w:color w:val="595959"/>
                <w:sz w:val="20"/>
                <w:szCs w:val="20"/>
              </w:rPr>
              <w:t xml:space="preserve">Additional information about the report, Email samples, Contact details.</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A – Key Contacts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24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Team / Individual</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Role</w:t>
            </w:r>
          </w:p>
        </w:tc>
        <w:tc>
          <w:tcPr>
            <w:tcW w:type="dxa" w:w="3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Contact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Likitha Rongali – RIS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COREP data provider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likitha.rongali@barclays.com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Eleftherios Papadakis – Risk GLA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PD and Country of Incorporation data</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eleftherios.papadakis@barclays.com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James Launders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Client tiering / CptyID list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Alberto – WCR Stress Testing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sPiT PD matrices and TTC PD betas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Risk Data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 request (EMR_CCR_IMM_Eagle_ECR)</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xrariskdatarequests@barclays.com</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CB cluster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Hashim Iqbal, Filippos Exarchopoulos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BCSL cluster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Sanjeev Paramanathan, Alex Lukin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Tsy cluster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Iyanuoluwa Oladipupo Ojelabi, Sanjeev Paramanathan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BUK cluster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Satyan Pisavari, Abhishek Agarwal</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IB non Trs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Goyal Nitin – Finance; Uduchukwu Ogochukwu – BX Finance and Business Management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emails]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by counterparty data</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contact]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SET / GES team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FX scenario data (CCR_FX_RAW_scenario)</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[REQUIRED – confirm contact]</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B – File Location Reference</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624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Purpose</w:t>
            </w:r>
          </w:p>
        </w:tc>
        <w:tc>
          <w:tcPr>
            <w:tcW w:type="dxa" w:w="62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working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Testing\2023 IST (Group &amp; Legal Entities)\Raw Data\MTP\MTP with LE for CCR\HoldCo_RWA_incl._MTP_v02.xlsx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cluster emails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Testing\2023 IST (Group &amp; Legal Entities)\Raw Data\MTP\MTP Cluster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MTP reconciliation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Testing\2023 IST (Group &amp; Legal Entities)\02. CCR RWA\RWA Reconciliation\Consolidated Item 5.xlsx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COREP raw data (RIS)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H2\Raw Data\RIS (COREP)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STAR 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H2\Raw Data\STAR\Star_Data_Extract_20220630.xlsx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XVA 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H2\Raw Data\XVA\20220630\Revised version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FX scenario 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H2\Market Data Shocks\Gen 1\BOE 2022 ACS_DRAFT_VV.xlsx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BoE BO Industry Mapping</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...\Stress Testing\2022 BoE H2\Raw Data\Industry Mapping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TTC PD working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Y:\Ldn\Risk\CRDMPortfolio\Stress Testing\2023 IST (Group &amp; Legal Entities)\Raw Data\IFRS9 Gen2 PD &amp; LGD\WF for CCR RWA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Alpha &amp; Beta shocks training file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\\intranet.barcapint.com\DFS-EMEA\GROUP\Ldn\Risk\Portfolio\Risk Appetite\Misc WCR\01. Trainings\2021 10 21 Alpha and Beta shocks\2021 10 PD LGD Alpha and Beta Shocks Training.xlsx</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OCP / EMF portal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http://gbrpsr000005081.intranet.barcapint.com:8080/emfweb/dist/#/dynamicRunModel</w:t>
            </w:r>
          </w:p>
        </w:tc>
      </w:tr>
    </w:tbl>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C – Slotting EL Rule Reference Table</w:t>
      </w:r>
    </w:p>
    <w:p>
      <w:pPr>
        <w:spacing w:after="80"/>
      </w:pPr>
      <w:r>
        <w:rPr>
          <w:rFonts w:ascii="Arial" w:cs="Arial" w:eastAsia="Arial" w:hAnsi="Arial"/>
          <w:color w:val="000000"/>
          <w:sz w:val="22"/>
          <w:szCs w:val="22"/>
        </w:rPr>
        <w:t xml:space="preserve">The following static table (CCR_RWA_Slotting_ElRule) is used in model calculations. Source: CRR Article 153(5) and 158(6), January 2021.</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920"/>
        <w:gridCol w:w="192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Regulatory Category</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Residual Maturity</w:t>
            </w:r>
          </w:p>
        </w:tc>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RW %</w:t>
            </w:r>
          </w:p>
        </w:tc>
        <w:tc>
          <w:tcPr>
            <w:tcW w:type="dxa" w:w="19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EL %</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1 – Strong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 2.5 years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1 – Strong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 2.5 years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2 – Good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&lt; 2.5 years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2 – Good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&gt;= 2.5 years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3 – Satisfactory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exposures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115</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2.8</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4 – Weak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exposures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250</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Cat 5 – Default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All exposures</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n/a</w:t>
            </w:r>
          </w:p>
        </w:tc>
        <w:tc>
          <w:tcPr>
            <w:tcW w:type="dxa" w:w="19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50.0</w:t>
            </w:r>
          </w:p>
        </w:tc>
      </w:tr>
    </w:tbl>
    <w:p>
      <w:pPr>
        <w:spacing w:after="60"/>
      </w:pPr>
      <w:r>
        <w:rPr>
          <w:rFonts w:ascii="Arial" w:cs="Arial" w:eastAsia="Arial" w:hAnsi="Arial"/>
          <w:b/>
          <w:bCs/>
          <w:i/>
          <w:iCs/>
          <w:color w:val="1F5C8B"/>
          <w:sz w:val="18"/>
          <w:szCs w:val="18"/>
        </w:rPr>
        <w:t xml:space="preserve">📘 Source: </w:t>
      </w:r>
      <w:r>
        <w:rPr>
          <w:rFonts w:ascii="Arial" w:cs="Arial" w:eastAsia="Arial" w:hAnsi="Arial"/>
          <w:i/>
          <w:iCs/>
          <w:color w:val="1F5C8B"/>
          <w:sz w:val="18"/>
          <w:szCs w:val="18"/>
        </w:rPr>
        <w:t xml:space="preserve">Old Procedure Document (GMD4929_old_procedure.pdf), Section 4.2.2 CCR_RWA_Slotting_ElRule</w:t>
      </w:r>
    </w:p>
    <w:p>
      <w:pPr>
        <w:spacing w:after="40"/>
      </w:pPr>
      <w:r>
        <w:rPr>
          <w:rFonts w:ascii="Arial" w:cs="Arial" w:eastAsia="Arial" w:hAnsi="Arial"/>
          <w:sz w:val="22"/>
          <w:szCs w:val="22"/>
        </w:rPr>
        <w:t xml:space="preserve"/>
      </w:r>
    </w:p>
    <w:p>
      <w:pPr>
        <w:pStyle w:val="Heading2"/>
        <w:spacing w:after="80" w:before="240"/>
      </w:pPr>
      <w:r>
        <w:rPr>
          <w:rFonts w:ascii="Arial" w:cs="Arial" w:eastAsia="Arial" w:hAnsi="Arial"/>
          <w:b/>
          <w:bCs/>
          <w:color w:val="2E75B6"/>
          <w:sz w:val="28"/>
          <w:szCs w:val="28"/>
        </w:rPr>
        <w:t xml:space="preserve">Appendix D – Step 2 Resolution Status (Model Design Document GMD4929)</w:t>
      </w:r>
    </w:p>
    <w:p>
      <w:pPr>
        <w:spacing w:after="80"/>
      </w:pPr>
      <w:r>
        <w:rPr>
          <w:rFonts w:ascii="Arial" w:cs="Arial" w:eastAsia="Arial" w:hAnsi="Arial"/>
          <w:color w:val="000000"/>
          <w:sz w:val="22"/>
          <w:szCs w:val="22"/>
        </w:rPr>
        <w:t xml:space="preserve">Step 2 has been completed using the GMD4929 model design document. Of the 10 items originally pending, 7 have been resolved with content inserted directly into the relevant sections (marked with blue 📘 source tags). The remaining 3 items, plus a small number of related operational/system-link sub-items, are not addressed in the model design document (they relate to operational hyperlinks, calendars, or system workflows rather than model design) and remain red-boxed pending confirmation with the model owner / relevant operational teams.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500"/>
        <w:gridCol w:w="700"/>
        <w:gridCol w:w="5640"/>
        <w:gridCol w:w="1800"/>
      </w:tblGrid>
      <w:tr>
        <w:tc>
          <w:tcPr>
            <w:tcW w:type="dxa" w:w="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Item</w:t>
            </w:r>
          </w:p>
        </w:tc>
        <w:tc>
          <w:tcPr>
            <w:tcW w:type="dxa" w:w="7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Section</w:t>
            </w:r>
          </w:p>
        </w:tc>
        <w:tc>
          <w:tcPr>
            <w:tcW w:type="dxa" w:w="56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Topic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sz w:val="20"/>
                <w:szCs w:val="20"/>
              </w:rPr>
              <w:t xml:space="preserve">Status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purpose of report and regulatory submissions fed by GMD4929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Target completion timeline for each exercise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Business Glossary entry link (BDP)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Data Lineage reference link (Columbus/BDP/Ab Initio)</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EUDA/model inventory reference and implementation platform confirmation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1.8.4</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Adjustments scorecard / CAM adjustment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1.8.5</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Validations and Controls Inventory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1.9</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DQ Dashboard applicability and Central DQ Issues Inventory link</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9</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DQ governance forum identification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10</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Model Owner, Independent Reviewer and Director-level Approver names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2.4.2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Formal DQ attestation process (email vs. system workflow)</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2.5.3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model monitoring KPI thresholds and working file locations (M1, M3, M4, M5)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2.6</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TTC PD overlay approval requirement and materiality threshold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2.9</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Output review checklist and variance thresholds vs prior exercise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2.10</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Post-model adjustment rules and D-level sign-off requirements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16</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2.11</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Final template preparation steps (regulatory submission population)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C00000"/>
                <w:sz w:val="20"/>
                <w:szCs w:val="20"/>
              </w:rPr>
              <w:t xml:space="preserve">Outstanding (operational)</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17</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2.12</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review, approval and governance chain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18</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3</w:t>
            </w:r>
          </w:p>
        </w:tc>
        <w:tc>
          <w:tcPr>
            <w:tcW w:type="dxa" w:w="56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Full approval procedure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E7D32"/>
                <w:sz w:val="20"/>
                <w:szCs w:val="20"/>
              </w:rPr>
              <w:t xml:space="preserve">Resolved</w:t>
            </w:r>
          </w:p>
        </w:tc>
      </w:tr>
    </w:tbl>
    <w:p>
      <w:pPr>
        <w:spacing w:after="40"/>
      </w:pPr>
      <w:r>
        <w:rPr>
          <w:rFonts w:ascii="Arial" w:cs="Arial" w:eastAsia="Arial" w:hAnsi="Arial"/>
          <w:sz w:val="22"/>
          <w:szCs w:val="22"/>
        </w:rPr>
        <w:t xml:space="preserve"/>
      </w:r>
    </w:p>
    <w:p>
      <w:pPr>
        <w:spacing w:before="400"/>
        <w:jc w:val="center"/>
      </w:pPr>
      <w:r>
        <w:rPr>
          <w:rFonts w:ascii="Arial" w:cs="Arial" w:eastAsia="Arial" w:hAnsi="Arial"/>
          <w:i/>
          <w:iCs/>
          <w:color w:val="595959"/>
          <w:sz w:val="20"/>
          <w:szCs w:val="20"/>
        </w:rPr>
        <w:t xml:space="preserve">— End of Document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o"/>
      <w:lvlJc w:val="left"/>
      <w:pPr>
        <w:ind w:left="1440" w:hanging="360"/>
      </w:pPr>
    </w:lvl>
    <w:lvl w:ilvl="2" w15:tentative="1">
      <w:start w:val="1"/>
      <w:numFmt w:val="bullet"/>
      <w:lvlText w:val="▪"/>
      <w:lvlJc w:val="left"/>
      <w:pPr>
        <w:ind w:left="216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 w:type="paragraph" w:styleId="Heading4">
    <w:name w:val="Heading 4"/>
    <w:basedOn w:val="Normal"/>
    <w:next w:val="Normal"/>
    <w:qFormat/>
    <w:pPr>
      <w:spacing w:after="40" w:before="120"/>
      <w:outlineLvl w:val="3"/>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2026-06-17T02:08:08.581Z</dcterms:created>
  <dcterms:modified xsi:type="dcterms:W3CDTF">2026-06-17T02:08:08.595Z</dcterms:modified>
</cp:coreProperties>
</file>

<file path=docProps/custom.xml><?xml version="1.0" encoding="utf-8"?>
<Properties xmlns="http://schemas.openxmlformats.org/officeDocument/2006/custom-properties" xmlns:vt="http://schemas.openxmlformats.org/officeDocument/2006/docPropsVTypes"/>
</file>