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0AE66">
      <w:pPr>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国家级大学生创新创业训练计划项目申报书</w:t>
      </w:r>
    </w:p>
    <w:p w14:paraId="04914706">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317D40E1">
      <w:pPr>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sz w:val="28"/>
          <w:szCs w:val="28"/>
        </w:rPr>
        <w:t>项目名称：「戎创颐年」退役军人银发服务众创平台——孝亲康养与社区智慧养老闭环项目</w:t>
      </w:r>
    </w:p>
    <w:p w14:paraId="77B6ACCB">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项目类型：□ 创新训练项目  ☑ 创业训练项目  □ 创业实践项目</w:t>
      </w:r>
    </w:p>
    <w:p w14:paraId="3AE1F653">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申报学院：__________</w:t>
      </w:r>
    </w:p>
    <w:p w14:paraId="3FA4D465">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项目负责人：__________</w:t>
      </w:r>
    </w:p>
    <w:p w14:paraId="6C453F7C">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联系电话：__________</w:t>
      </w:r>
    </w:p>
    <w:p w14:paraId="6A42CD31">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指导教师：__________</w:t>
      </w:r>
    </w:p>
    <w:p w14:paraId="0AAC675E">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申报日期：2026年</w:t>
      </w:r>
      <w:r>
        <w:rPr>
          <w:rFonts w:hint="eastAsia" w:asciiTheme="minorEastAsia" w:hAnsiTheme="minorEastAsia" w:eastAsiaTheme="minorEastAsia" w:cstheme="minorEastAsia"/>
          <w:sz w:val="28"/>
          <w:szCs w:val="28"/>
          <w:lang w:val="en-US" w:eastAsia="zh-CN"/>
        </w:rPr>
        <w:t>5</w:t>
      </w:r>
      <w:r>
        <w:rPr>
          <w:rFonts w:hint="eastAsia" w:asciiTheme="minorEastAsia" w:hAnsiTheme="minorEastAsia" w:eastAsiaTheme="minorEastAsia" w:cstheme="minorEastAsia"/>
          <w:sz w:val="28"/>
          <w:szCs w:val="28"/>
        </w:rPr>
        <w:t>月</w:t>
      </w:r>
      <w:r>
        <w:rPr>
          <w:rFonts w:hint="eastAsia" w:asciiTheme="minorEastAsia" w:hAnsiTheme="minorEastAsia" w:eastAsiaTheme="minorEastAsia" w:cstheme="minorEastAsia"/>
          <w:sz w:val="28"/>
          <w:szCs w:val="28"/>
          <w:lang w:val="en-US" w:eastAsia="zh-CN"/>
        </w:rPr>
        <w:t>16</w:t>
      </w:r>
      <w:r>
        <w:rPr>
          <w:rFonts w:hint="eastAsia" w:asciiTheme="minorEastAsia" w:hAnsiTheme="minorEastAsia" w:eastAsiaTheme="minorEastAsia" w:cstheme="minorEastAsia"/>
          <w:sz w:val="28"/>
          <w:szCs w:val="28"/>
        </w:rPr>
        <w:t>日</w:t>
      </w:r>
    </w:p>
    <w:p w14:paraId="142774DC">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6242EEC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一、项目简介</w:t>
      </w:r>
    </w:p>
    <w:p w14:paraId="35268B6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5251B96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项目立足我国人口老龄化深度发展的民生刚需与退役军人高质量就业创业的社会议题，创新打造以退役军人为核心服务主体的社区银发康养综合服务众创平台。项目深度整合智慧居家健康监护、标准化上门康养服务、国膳药食同源食疗供给、中老年孝亲短途文旅、退役军人职业技能与创业孵化五大核心业务，构建“线上数字化平台+线下社区服务站+老兵专业服务+中医康养支撑”的15分钟居家养老服务闭环。</w:t>
      </w:r>
    </w:p>
    <w:p w14:paraId="7F277BF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79E5415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精准破解当前养老行业“服务信任度低、专业能力不足、应急响应滞后、康养供给不规范”的核心痛点，同时充分发挥退役军人纪律严明、责任心强、应急处置能力突出、群众信任感高的天然优势，为退役军人开辟低门槛、高稳定性、强社会价值的就业创业新赛道。项目兼具民生公益价值、拥军优抚属性与可持续商业闭环，模式轻量化、可复制、可推广，致力于成为区域社区养老服务与退役军人就业融合发展的示范项目。</w:t>
      </w:r>
    </w:p>
    <w:p w14:paraId="247E3FB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黑体" w:hAnsi="黑体" w:eastAsia="黑体" w:cs="黑体"/>
          <w:sz w:val="28"/>
          <w:szCs w:val="28"/>
        </w:rPr>
        <w:t>二、项目背景与选题意义</w:t>
      </w:r>
      <w:r>
        <w:rPr>
          <w:rFonts w:hint="eastAsia" w:asciiTheme="minorEastAsia" w:hAnsiTheme="minorEastAsia" w:eastAsiaTheme="minorEastAsia" w:cstheme="minorEastAsia"/>
          <w:sz w:val="28"/>
          <w:szCs w:val="28"/>
        </w:rPr>
        <w:t xml:space="preserve"> </w:t>
      </w:r>
    </w:p>
    <w:p w14:paraId="3799255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（一）项目背景</w:t>
      </w:r>
    </w:p>
    <w:p w14:paraId="0D4E272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国家战略层面：国家先后出台《积极应对人口老龄化中长期规划》《关于加强新时代退役军人工作的意见》《关于推进银发经济高质量发展的意见》等多项顶层政策，将养老服务体系建设、退役军人就业创业扶持列为国家级重点工作，为本项目提供了充足的政策支撑与发展红利。</w:t>
      </w:r>
    </w:p>
    <w:p w14:paraId="18E275D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市场需求层面：我国居家养老占比超90%，社区养老服务供给缺口显著，专业化、安全化、有温度的上门服务、健康管理、应急帮扶需求持续爆发；同时，每年新增退役军人数量庞大，就业信息不对称、职业赛道窄、社会适配成本高等问题突出，亟需高质量、有归属感、可持续的就业创业平台。</w:t>
      </w:r>
    </w:p>
    <w:p w14:paraId="198D419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行业痛点层面：当前养老服务普遍存在从业人员流动性大、专业规范度不足、信任机制缺失、服务场景碎片化等问题；单一退役军人就业平台、单一养老服务平台均存在模式闭环弱、变现能力差、可持续性不足的缺陷，二者融合创新存在巨大市场空白。</w:t>
      </w:r>
    </w:p>
    <w:p w14:paraId="0472E5D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（二）选题意义</w:t>
      </w:r>
    </w:p>
    <w:p w14:paraId="7DFA2FC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1.社会价值：有效补齐社区居家养老服务短板，提升老年群体生活质量与安全感，同时拓宽退役军人就业渠道，实现“拥军优属+民生养老”双向赋能，具有强烈的社会责任感与示范意义。</w:t>
      </w:r>
    </w:p>
    <w:p w14:paraId="091AF7C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2.实践价值：项目模式轻资产、易落地、可量化，能够快速形成社区试点成果，产出真实服务数据、合作资源与实践经验，符合大学生创新创业项目落地性、实效性的核心要求。</w:t>
      </w:r>
    </w:p>
    <w:p w14:paraId="6F7743E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3.学术与创新价值：探索“退役军人职业能力与养老服务场景深度融合”的新模式，填补国内“优抚群体+银发经济”融合创业的研究与实践空白，形成可复制、可推广的县域、社区服务商业模式。</w:t>
      </w:r>
    </w:p>
    <w:p w14:paraId="33B1FB29">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Theme="minorEastAsia" w:hAnsiTheme="minorEastAsia" w:eastAsiaTheme="minorEastAsia" w:cstheme="minorEastAsia"/>
          <w:sz w:val="28"/>
          <w:szCs w:val="28"/>
        </w:rPr>
      </w:pPr>
    </w:p>
    <w:p w14:paraId="23CA2A5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黑体" w:hAnsi="黑体" w:eastAsia="黑体" w:cs="黑体"/>
          <w:sz w:val="28"/>
          <w:szCs w:val="28"/>
        </w:rPr>
        <w:t>三、项目核心创新点</w:t>
      </w:r>
    </w:p>
    <w:p w14:paraId="6985ED3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1.主体模式创新：国内首创“老兵康养管家”养老服务IP</w:t>
      </w:r>
    </w:p>
    <w:p w14:paraId="5411D6F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突破传统养老服务以家政人员为主的行业常规，以退役军人为核心服务团队，打造标准化、军事化管理、高信任度、强应急能力的专属养老服务队伍，将退役军人的职业优势转化为养老服务的核心竞争力，形成行业差异化天然壁垒。</w:t>
      </w:r>
    </w:p>
    <w:p w14:paraId="76E006C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2.服务体系创新：全场景闭环式养老服务生态</w:t>
      </w:r>
    </w:p>
    <w:p w14:paraId="19CC157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构建“智慧预警—上门服务—健康食疗—文旅休闲—创业孵化”五位一体完整闭环，打破单一服务模式局限，实现用户一次接入、全周期服务、多元化变现，解决传统养老项目盈利单一、粘性不足、生命周期短的行业难题。</w:t>
      </w:r>
    </w:p>
    <w:p w14:paraId="29F3002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3.资源整合创新：多方联动的政策与产业支撑体系</w:t>
      </w:r>
    </w:p>
    <w:p w14:paraId="0B1CFE9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同步对接退役军人事务部门、社区居委会、中医康养机构、文旅单位、公益组织五大主体，获得官方背书、场地支持、订单资源、专业支撑，实现“政策搭台、企业运营、社会受益、老兵发展”的多方共赢格局。</w:t>
      </w:r>
    </w:p>
    <w:p w14:paraId="66D49D7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4.商业逻辑创新：公益属性与可持续盈利深度统一</w:t>
      </w:r>
    </w:p>
    <w:p w14:paraId="7111FCE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以普惠养老服务为基础，以增值康养服务、产品供给、文旅运营、创业分站合作为盈利支撑，兼顾民生公益性与商业可持续性，既符合国家政策导向，又能实现项目自我造血、长期稳定运营。</w:t>
      </w:r>
    </w:p>
    <w:p w14:paraId="1AA0E16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295FE2A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黑体" w:hAnsi="黑体" w:eastAsia="黑体" w:cs="黑体"/>
          <w:sz w:val="28"/>
          <w:szCs w:val="28"/>
        </w:rPr>
        <w:t>四、项目实施方案与进度安排</w:t>
      </w:r>
      <w:r>
        <w:rPr>
          <w:rFonts w:hint="eastAsia" w:asciiTheme="minorEastAsia" w:hAnsiTheme="minorEastAsia" w:eastAsiaTheme="minorEastAsia" w:cstheme="minorEastAsia"/>
          <w:sz w:val="28"/>
          <w:szCs w:val="28"/>
        </w:rPr>
        <w:t xml:space="preserve"> </w:t>
      </w:r>
    </w:p>
    <w:p w14:paraId="0772F52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（一）核心业务模块 </w:t>
      </w:r>
    </w:p>
    <w:p w14:paraId="746CFFC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1.老兵康养管家标准化服务：开展养老护理、应急处置、健康管理、沟通礼仪专项培训，为社区老人提供生活照料、健康监测、应急援助、日常代办、精神陪伴等上门服务。</w:t>
      </w:r>
    </w:p>
    <w:p w14:paraId="5341882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2.国膳食疗与健康管理服务：依托中医专业资源，推出适配中老年群体的药食同源产品、定制化膳食方案、基础健康管理指导，形成服务差异化优势。</w:t>
      </w:r>
    </w:p>
    <w:p w14:paraId="7B378D4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3.孝亲康养短途文旅服务：开发低强度、慢节奏、高陪伴、高安全性的乡村康养游、红色主题游、近郊休闲游，精准覆盖中老年短途出行刚需。</w:t>
      </w:r>
    </w:p>
    <w:p w14:paraId="3D2678E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4.线上数字化平台运营：搭建微信小程序/公众号，实现服务预约、健康监测、紧急呼叫、订单管理、用户反馈、线上科普功能。</w:t>
      </w:r>
    </w:p>
    <w:p w14:paraId="2CF7614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5.退役军人就业创业孵化：为退役军人提供免费技能培训、订单对接、创业指导、品牌赋能、分站合作支持，推动项目区域化复制。</w:t>
      </w:r>
    </w:p>
    <w:p w14:paraId="37C0C12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0B0A2CE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（二）分阶段实施计划 </w:t>
      </w:r>
    </w:p>
    <w:p w14:paraId="762F350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第一阶段：项目筹备与资源对接期（1-3个月）</w:t>
      </w:r>
    </w:p>
    <w:p w14:paraId="4EA56C6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5659D6E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完成市场深度调研、项目方案优化、团队分工明确、指导教师对接；完成退役军人事务部门、社区、康养机构合作意向洽谈；完成线上小程序框架搭建与服务标准手册编制。</w:t>
      </w:r>
    </w:p>
    <w:p w14:paraId="57CAFF5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3981414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第二阶段：试点落地与标准化建设期（4-6个月） </w:t>
      </w:r>
    </w:p>
    <w:p w14:paraId="1CDC8A7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完成2-3个社区服务试点落地；完成首批退役军人服务人员招募与系统培训；上线基础服务与食疗产品体系；完成服务流程、质量管控、用户反馈机制全流程打磨；积累首批真实用户与服务案例。</w:t>
      </w:r>
    </w:p>
    <w:p w14:paraId="5317C1A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70E6DFA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第三阶段：规模拓展与品牌优化期（7-9个月） </w:t>
      </w:r>
    </w:p>
    <w:p w14:paraId="28FFE11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拓展合作社区至5-8个，完善线上平台功能模块；启动孝亲文旅线路运营与创业孵化培训；申报软件著作权等知识产权；形成成熟可复制的运营模式与品牌形象；对接媒体与官方宣传资源。</w:t>
      </w:r>
    </w:p>
    <w:p w14:paraId="2754B0E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70A200A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第四阶段：成果总结与推广提升期（10-12个月） </w:t>
      </w:r>
    </w:p>
    <w:p w14:paraId="3092ABA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完成项目全周期数据复盘、实践调研报告撰写；完善商业计划书与竞赛申报材料；冲击省级、国家级大创立项与创新创业赛事；优化区域复制方案，探索城市分站合作模式。</w:t>
      </w:r>
    </w:p>
    <w:p w14:paraId="21D9B76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4026809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五、预期成果与考核指标</w:t>
      </w:r>
    </w:p>
    <w:p w14:paraId="007AF56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17C8A37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1.平台建设成果：完成微信小程序/服务公众号开发并正式上线运营，申请软件著作权1-2项。</w:t>
      </w:r>
    </w:p>
    <w:p w14:paraId="4FFCCBA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2.落地实践成果：落地合作社区≥5个，签约合作机构≥3家，培训退役军人服务及创业人员≥30名，稳定服务老年用户≥200人。</w:t>
      </w:r>
    </w:p>
    <w:p w14:paraId="3684880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3.学术与实践成果：完成高质量《社区养老与退役军人就业融合发展实践调研报告》1份，形成标准化服务手册、运营手册各1套。</w:t>
      </w:r>
    </w:p>
    <w:p w14:paraId="0B1547B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4.商业与竞赛成果：实现项目稳定营收与正向现金流，具备区域复制能力；成功立项省级及以上大学生创新创业项目，参与各级创新创业竞赛并争取获奖。</w:t>
      </w:r>
    </w:p>
    <w:p w14:paraId="23D6AB9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5.社会影响成果：获得地方相关部门、社区官方认可与合作背书，形成具有示范效应的养老服务拥军案例。</w:t>
      </w:r>
    </w:p>
    <w:p w14:paraId="7E1060B1">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Theme="minorEastAsia" w:hAnsiTheme="minorEastAsia" w:eastAsiaTheme="minorEastAsia" w:cstheme="minorEastAsia"/>
          <w:sz w:val="28"/>
          <w:szCs w:val="28"/>
        </w:rPr>
      </w:pPr>
    </w:p>
    <w:p w14:paraId="1C0D792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黑体" w:hAnsi="黑体" w:eastAsia="黑体" w:cs="黑体"/>
          <w:sz w:val="28"/>
          <w:szCs w:val="28"/>
        </w:rPr>
        <w:t>六、项目团队与分工</w:t>
      </w:r>
      <w:r>
        <w:rPr>
          <w:rFonts w:hint="eastAsia" w:asciiTheme="minorEastAsia" w:hAnsiTheme="minorEastAsia" w:eastAsiaTheme="minorEastAsia" w:cstheme="minorEastAsia"/>
          <w:sz w:val="28"/>
          <w:szCs w:val="28"/>
        </w:rPr>
        <w:t xml:space="preserve"> </w:t>
      </w:r>
    </w:p>
    <w:p w14:paraId="6D0976B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（一）项目负责人</w:t>
      </w:r>
    </w:p>
    <w:p w14:paraId="5011C5A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全面负责项目整体统筹、商业模式设计、核心资源对接、项目进度管控、对外合作与竞赛申报，把控项目战略方向与运营风险。</w:t>
      </w:r>
    </w:p>
    <w:p w14:paraId="4EEC68F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1B47DA9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（二）运营执行组</w:t>
      </w:r>
    </w:p>
    <w:p w14:paraId="23A6344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负责社区合作对接、线下服务站运营、服务团队管理、订单调度、用户维护与服务质量管控，保障项目日常落地执行。</w:t>
      </w:r>
    </w:p>
    <w:p w14:paraId="7C87C78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5BBE892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（三）技术与线上运营组 </w:t>
      </w:r>
    </w:p>
    <w:p w14:paraId="4CCA5F8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负责小程序及线上平台开发、维护、功能迭代，负责线上宣传、内容运营、用户引流、数据统计与后台管理。</w:t>
      </w:r>
    </w:p>
    <w:p w14:paraId="26B03C4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65128C5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（四）康养与专业支撑组</w:t>
      </w:r>
    </w:p>
    <w:p w14:paraId="649E9BF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负责养老服务标准制定、健康管理方案设计、国膳食疗产品对接、专业知识培训与服务规范优化。</w:t>
      </w:r>
    </w:p>
    <w:p w14:paraId="45356C9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0CE0E2E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（五）品牌与宣传组 </w:t>
      </w:r>
    </w:p>
    <w:p w14:paraId="6957DA1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负责项目品牌形象打造、宣传材料撰写、PPT打磨、竞赛答辩、媒体对接与成果推广。</w:t>
      </w:r>
    </w:p>
    <w:p w14:paraId="56E1119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33219D3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（六）指导教师 </w:t>
      </w:r>
    </w:p>
    <w:p w14:paraId="1CA2639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负责项目专业指导、方案优化、风险把控、学术规范指导与资源对接支持。</w:t>
      </w:r>
    </w:p>
    <w:p w14:paraId="2E0A60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6377C60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黑体" w:hAnsi="黑体" w:eastAsia="黑体" w:cs="黑体"/>
          <w:sz w:val="28"/>
          <w:szCs w:val="28"/>
        </w:rPr>
        <w:t>七、商业模式与盈利分析</w:t>
      </w:r>
    </w:p>
    <w:p w14:paraId="092DF47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（一）核心盈利来源</w:t>
      </w:r>
    </w:p>
    <w:p w14:paraId="59BA282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1.基础服务佣金：标准化上门服务、便民代办服务佣金收入</w:t>
      </w:r>
    </w:p>
    <w:p w14:paraId="35E8CC3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2.健康食疗产品销售收入：药食同源产品、定制养生膳食、健康礼包销售收入</w:t>
      </w:r>
    </w:p>
    <w:p w14:paraId="5D2C25A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3.康养文旅服务收入：中老年孝亲短途文旅团费、定制出行服务收入</w:t>
      </w:r>
    </w:p>
    <w:p w14:paraId="3E19BEC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4.企业与政府采购收入：社区养老服务外包、企业福利康养服务、政府购买服务收入</w:t>
      </w:r>
    </w:p>
    <w:p w14:paraId="5DFC802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5.创业孵化与分站合作收入：退役军人创业培训、品牌授权、分站合作服务收入</w:t>
      </w:r>
    </w:p>
    <w:p w14:paraId="2232BB6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76CE0FE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（二）成本结构 </w:t>
      </w:r>
    </w:p>
    <w:p w14:paraId="03D4B3A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项目为轻资产运营模式，主要成本为人员培训成本、平台运维成本、宣传推广成本、服务物料成本、合作渠道成本，无大额固定资产投入，启动资金需求低，回本周期短，盈利可持续性强。</w:t>
      </w:r>
    </w:p>
    <w:p w14:paraId="7C76F2F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6DDE4FB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（三）市场优势 </w:t>
      </w:r>
    </w:p>
    <w:p w14:paraId="5729AF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政策红利充足、用户刚需明确、团队壁垒突出、模式差异化显著、信任成本低、复购率高、可快速规模化复制，具备极强的市场竞争力。 </w:t>
      </w:r>
    </w:p>
    <w:p w14:paraId="56DB1F0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7B579E6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八、风险评估与应对措施</w:t>
      </w:r>
    </w:p>
    <w:p w14:paraId="46EDABF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0DA3B32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（一）政策与合作风险</w:t>
      </w:r>
    </w:p>
    <w:p w14:paraId="64C4D3C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风险点：社区合作变动、相关政策调整影响项目推进</w:t>
      </w:r>
    </w:p>
    <w:p w14:paraId="6337113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应对措施：签订正式合作协议，对接多社区、多部门资源，保持项目普惠性与公益性，紧跟国家政策方向动态优化方案。</w:t>
      </w:r>
    </w:p>
    <w:p w14:paraId="485C6EA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40999F0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（二）服务与质量风险 </w:t>
      </w:r>
    </w:p>
    <w:p w14:paraId="5F83587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风险点：服务标准化不足、用户体验波动、服务人员管理难度</w:t>
      </w:r>
    </w:p>
    <w:p w14:paraId="0DD3459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应对措施：建立全流程培训体系、军事化管理制度、服务回访机制、质量考核体系、用户评价闭环，定期复盘优化。</w:t>
      </w:r>
    </w:p>
    <w:p w14:paraId="757D2CD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5A90A90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（三）市场与竞争风险</w:t>
      </w:r>
    </w:p>
    <w:p w14:paraId="3F3066F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风险点：行业竞争加剧、模式同质化</w:t>
      </w:r>
    </w:p>
    <w:p w14:paraId="144B4C8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应对措施：坚守“退役军人+养老+中医康养”核心差异化定位，持续优化服务闭环，强化品牌IP与官方合作背书，快速落地形成区域优势。</w:t>
      </w:r>
    </w:p>
    <w:p w14:paraId="43EC949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0C38298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（四）运营与资金风险 </w:t>
      </w:r>
    </w:p>
    <w:p w14:paraId="5C19F02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风险点：前期现金流不足、运营成本超支</w:t>
      </w:r>
    </w:p>
    <w:p w14:paraId="3537532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应对措施：采用轻资产试点起步，分步迭代扩张，优先实现单点盈利再复制，严格控制成本，积极对接政策扶持资金与竞赛奖金。</w:t>
      </w:r>
    </w:p>
    <w:p w14:paraId="57785CF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5D7D099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黑体" w:hAnsi="黑体" w:eastAsia="黑体" w:cs="黑体"/>
          <w:sz w:val="28"/>
          <w:szCs w:val="28"/>
        </w:rPr>
        <w:t>九、项目特色与优势总结</w:t>
      </w:r>
    </w:p>
    <w:p w14:paraId="3E54A2C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1.政策叠加优势：同时契合银发经济、养老服务、退役军人就业、健康中国四大国家战略，评审认可度、立项通过率显著高于普通项目。</w:t>
      </w:r>
    </w:p>
    <w:p w14:paraId="25BBE79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2.资源适配优势：项目可深度对接中医康养、退役军人服务、社区渠道等成熟资源，无需从零搭建，落地速度快、实践支撑强。</w:t>
      </w:r>
    </w:p>
    <w:p w14:paraId="081A2C1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3.差异化创新优势：赛道独特、模式新颖，国内同类项目极少，无同质化内卷，创新性、辨识度、记忆点拉满。</w:t>
      </w:r>
    </w:p>
    <w:p w14:paraId="738BBC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4.社会价值优势：民生意义突出、拥军属性鲜明，兼具温度与格局，答辩极易打动评委，竞赛优势明显。</w:t>
      </w:r>
    </w:p>
    <w:p w14:paraId="3665B59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 落地可行性优势：轻资产、低门槛、易起步、成果好量化，完全符合国家级大创项目“真实践、真落地、真成效”的核心评审标准。 </w:t>
      </w:r>
    </w:p>
    <w:p w14:paraId="2800097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668F2AF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黑体" w:hAnsi="黑体" w:eastAsia="黑体" w:cs="黑体"/>
          <w:sz w:val="28"/>
          <w:szCs w:val="28"/>
        </w:rPr>
      </w:pPr>
      <w:bookmarkStart w:id="0" w:name="_GoBack"/>
      <w:r>
        <w:rPr>
          <w:rFonts w:hint="eastAsia" w:ascii="黑体" w:hAnsi="黑体" w:eastAsia="黑体" w:cs="黑体"/>
          <w:sz w:val="28"/>
          <w:szCs w:val="28"/>
        </w:rPr>
        <w:t xml:space="preserve">十、推荐意见 </w:t>
      </w:r>
    </w:p>
    <w:bookmarkEnd w:id="0"/>
    <w:p w14:paraId="1583A4D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项目紧扣国家重大战略与社会民生需求，选题立意高远、创新点突出、商业模式闭环清晰、落地可行性强，实现了养老服务提质与退役军人就业创业的双向赋能，兼具社会价值、公益价值与商业价值。项目方案完整、规划合理、团队结构完善、风险可控，具备较强的推广潜力与示范意义，符合国家级大学生创新创业训练计划立项要求，同意推荐申报。</w:t>
      </w:r>
    </w:p>
    <w:p w14:paraId="7EA39AA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p>
    <w:p w14:paraId="1690900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指导教师签字：__________</w:t>
      </w:r>
    </w:p>
    <w:p w14:paraId="2FDF0A9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日期：__________</w:t>
      </w:r>
    </w:p>
    <w:sectPr>
      <w:footerReference r:id="rId3" w:type="default"/>
      <w:pgSz w:w="11906" w:h="16838"/>
      <w:pgMar w:top="1134" w:right="1134" w:bottom="1134" w:left="1134"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标准粗黑">
    <w:panose1 w:val="02000503000000000000"/>
    <w:charset w:val="86"/>
    <w:family w:val="auto"/>
    <w:pitch w:val="default"/>
    <w:sig w:usb0="8000002F" w:usb1="084164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E256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B9E3D5">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7B9E3D5">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ljOTdjNjExZGZmODZmYTI3MzBiY2ZiODg3YWUzYzAifQ=="/>
  </w:docVars>
  <w:rsids>
    <w:rsidRoot w:val="7A94138C"/>
    <w:rsid w:val="7A941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27</TotalTime>
  <ScaleCrop>false</ScaleCrop>
  <LinksUpToDate>false</LinksUpToDate>
  <CharactersWithSpaces>0</CharactersWithSpaces>
  <Application>WPS Office_12.1.0.18334_F1E327BC-269C-435d-A152-05C5408002CA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2026-05-15T04:01:00Z</dcterms:created>
  <dc:creator>上海-宋班长</dc:creator>
  <cp:lastModifiedBy>上海-宋班长</cp:lastModifiedBy>
  <dcterms:modified xsi:type="dcterms:W3CDTF">2026-05-15T04:29:03Z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2052-12.1.0.18334</vt:lpwstr>
  </property>
  <property fmtid="{D5CDD505-2E9C-101B-9397-08002B2CF9AE}" pid="3" name="ICV">
    <vt:lpwstr>B16411E205DB4E73861CE4BADA90EBE1_11</vt:lpwstr>
  </property>
</Properties>
</file>