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Construction of Measures for the SA Directions Descriptive Exercise</w:t>
      </w:r>
    </w:p>
    <w:p>
      <w:pPr>
        <w:pStyle w:val="Normal"/>
      </w:pPr>
      <w:r>
        <w:t xml:space="preserve">Companion methods document. Monash University. 2026-06-20. This document specifies, for every variable used in the descriptive exercise, its data source, exact definition, construction steps, the assumptions it rests on, and any validation performed. Scripts named below live in the project's Direction/ directory.</w:t>
      </w:r>
    </w:p>
    <w:p>
      <w:pPr>
        <w:pStyle w:val="Titre1"/>
      </w:pPr>
      <w:r>
        <w:t xml:space="preserve">0. Sample, units, and panel spine</w:t>
      </w:r>
    </w:p>
    <w:p>
      <w:pPr>
        <w:pStyle w:val="Normal"/>
      </w:pPr>
      <w:r>
        <w:t xml:space="preserve">Sample period 2022-01 to 2024-12 at 5-minute resolution, South Australia (region SA1). The treated synchronous units are TORRB1-4 (Torrens Island B), PPCCGT (Pelican Point), OSB-AG (Osborne), QPS5 (Quarantine), DRYCGT1-3 (Dry Creek), MINTARO, and BARKIPS1 (Barker Inlet). June 2022 is excluded from behavioural panels (market suspension and administered pricing). The behavioural spine is panel_v3.rds, one row per treated unit per 5-minute interval, carrying the offer, dispatch, cost, prize, and treatment variables defined below. Built by descriptive_analysis_v3.R.</w:t>
      </w:r>
    </w:p>
    <w:p>
      <w:pPr>
        <w:pStyle w:val="Titre1"/>
      </w:pPr>
      <w:r>
        <w:t xml:space="preserve">1. The directed price d_t</w:t>
      </w:r>
    </w:p>
    <w:p>
      <w:pPr>
        <w:pStyle w:val="Normal"/>
      </w:pPr>
      <w:r>
        <w:t xml:space="preserve">Source: SA1 dispatch price (DISPATCHPRICE) for the reconstruction; early-period directions financials for validation. Definition: d_t is AEMO's AMP, the trailing-365-day 90th percentile of the SA regional spot price as of the trading day a direction is issued. Operationally we use a monthly series (gate0_dt_series.rds, column dt_real): for each month, the 90th percentile of SA spot over the preceding 365 days.</w:t>
      </w:r>
    </w:p>
    <w:p>
      <w:pPr>
        <w:pStyle w:val="Normal"/>
      </w:pPr>
      <w:r>
        <w:t xml:space="preserve">Validation: the reconstructed series is compared to realised compensation per unit of directed energy, DCP/DQ, recovered from the directions financials. Correlation is 0.984 over 35 overlapping months and 0.997 over the 24 months in which the trailing window is fully populated; mean absolute difference $7.6-10.6/MWh. Spike-month level gaps (e.g. realised $378 vs reconstructed $350 in 2022-08) reflect aggregation across issue dates and the June-2022 administered-price period.</w:t>
      </w:r>
    </w:p>
    <w:p>
      <w:pPr>
        <w:pStyle w:val="Normal"/>
      </w:pPr>
      <w:r>
        <w:t xml:space="preserve">Key property: because d_t depends only on prices in the preceding 12 months, it is predetermined relative to current bidding. The mid-2023 exit (a 54% fall from the ~$349 plateau to a ~$160 trough as 2022 spike intervals leave the trailing window) is computable in advance and is the project's identifying variation. Exit month: 2023-07.</w:t>
      </w:r>
    </w:p>
    <w:p>
      <w:pPr>
        <w:pStyle w:val="Titre1"/>
      </w:pPr>
      <w:r>
        <w:t xml:space="preserve">2. Treatment flags: directed and synchronise</w:t>
      </w:r>
    </w:p>
    <w:p>
      <w:pPr>
        <w:pStyle w:val="Normal"/>
      </w:pPr>
      <w:r>
        <w:t xml:space="preserve">Source: per-DUID direction event log; build_treatment_panel.R producing treatment_panel.rds (375,264 directed unit-intervals). Construction: each event is expanded from its effective time to its cancellation time onto the 5-minute grid, per DUID; overlapping market notices are unioned (not summed). Two indicators result: directed (any direction active) and synchronise (the instruction was to synchronise an offline unit, as opposed to Remain, which keeps an already-running unit on). The Synchronise margin is the strategic offline-to-directed margin; Remain serves as a placebo. Flags are merged onto the bid panel by DUID and interval; intervals with no event row are coded zero.</w:t>
      </w:r>
    </w:p>
    <w:p>
      <w:pPr>
        <w:pStyle w:val="Titre1"/>
      </w:pPr>
      <w:r>
        <w:t xml:space="preserve">3. Short-run marginal cost (SRMC)</w:t>
      </w:r>
    </w:p>
    <w:p>
      <w:pPr>
        <w:pStyle w:val="Normal"/>
      </w:pPr>
      <w:r>
        <w:t xml:space="preserve">Source and script: gate_a_srmc.R, producing GateA_srmc_params.csv (one row per unit-month). SRMC combines a fuel price, a heat rate, and variable O&amp;M.</w:t>
      </w:r>
    </w:p>
    <w:p>
      <w:pPr>
        <w:pStyle w:val="Titre2"/>
      </w:pPr>
      <w:r>
        <w:t xml:space="preserve">3.1 Fuel price</w:t>
      </w:r>
    </w:p>
    <w:p>
      <w:pPr>
        <w:pStyle w:val="Normal"/>
      </w:pPr>
      <w:r>
        <w:t xml:space="preserve">Gas: AER quarterly STTM Adelaide ex-ante price (Quarterly_STTM_Price.CSV), HHV $/GJ, mapped from each 'quarter ending' to its three constituent calendar months. Distillate parity: distillate-capable units (BARKIPS1, DRYCGT1-3, QPS5) may burn the cheaper of gas and diesel, so the fuel price is min(gas, diesel) and a fuel-type flag records which bound. A locale-safe month-name parser is used because Windows date parsing returns NA on abbreviated month names.</w:t>
      </w:r>
    </w:p>
    <w:p>
      <w:pPr>
        <w:pStyle w:val="Titre2"/>
      </w:pPr>
      <w:r>
        <w:t xml:space="preserve">3.2 Heat rate</w:t>
      </w:r>
    </w:p>
    <w:p>
      <w:pPr>
        <w:pStyle w:val="Normal"/>
      </w:pPr>
      <w:r>
        <w:t xml:space="preserve">From the AEMO heat-rate workbook (summarised in srmc_inputs_heatrate_vom.md), as-generated, higher-heating-value. The workbook encodes a two-part fuel curve, fuel(GJ/h) = no-load base + incremental x MW, yielding two heat rates per unit: an incremental (marginal) heat rate and a static (average) heat rate. Both are carried. Two data gaps are filled by proxy and flagged: BARKIPS1 has no workbook entry (reciprocating-engine class proxy, ~7.9 GJ/MWh); Torrens Island B has no class VOM (proxy $2.5/MWh). For PPCCGT and OSB-AG the workbook's incremental heat rate exceeds the static, which is physically backwards; for these two units the static heat rate is used for both SRMC measures.</w:t>
      </w:r>
    </w:p>
    <w:p>
      <w:pPr>
        <w:pStyle w:val="Titre2"/>
      </w:pPr>
      <w:r>
        <w:t xml:space="preserve">3.3 Variable O&amp;M</w:t>
      </w:r>
    </w:p>
    <w:p>
      <w:pPr>
        <w:pStyle w:val="Normal"/>
      </w:pPr>
      <w:r>
        <w:t xml:space="preserve">Aurecon 2024 Cost and Technical Parameters Review, by technology class: CCGT $4.1/MWh, OCGT $8.1/MWh (large frame), reciprocating $8.51/MWh, gas-steam proxied at $2.5/MWh. These are new-entrant representative costs and small relative to fuel, so they barely move the SRMC level; the heat rate and gas price dominate.</w:t>
      </w:r>
    </w:p>
    <w:p>
      <w:pPr>
        <w:pStyle w:val="Titre2"/>
      </w:pPr>
      <w:r>
        <w:t xml:space="preserve">3.4 The two SRMC measures</w:t>
      </w:r>
    </w:p>
    <w:p>
      <w:pPr>
        <w:pStyle w:val="Normal"/>
      </w:pPr>
      <w:r>
        <w:t xml:space="preserve">SRMC_marginal = fuel_price(GJ) x incremental_heat_rate + VOM. SRMC_allin = fuel_price(GJ) x static_heat_rate + VOM. The marginal measure is the relevant threshold for the above-cost withholding test (is the marginal offer band priced above the marginal cost of one more MWh while running); the all-in measure is used for the on/off question and as a robustness threshold. Validation (Gate A): d_t exceeds SRMC_marginal in 33-34 of 35 months for every unit, with no structural break at the d_t exit, confirming the variation is in the prize not in cost.</w:t>
      </w:r>
    </w:p>
    <w:p>
      <w:pPr>
        <w:pStyle w:val="Titre1"/>
      </w:pPr>
      <w:r>
        <w:t xml:space="preserve">4. Withheld share (primary outcome)</w:t>
      </w:r>
    </w:p>
    <w:p>
      <w:pPr>
        <w:pStyle w:val="Normal"/>
      </w:pPr>
      <w:r>
        <w:t xml:space="preserve">Definition, per treated unit and 5-minute interval: withheld_share = (sum over price bands j of BANDAVAIL_j for bands with PRICEBAND_j &gt; SRMC_marginal) / MAXAVAIL. It is the fraction of a unit's available capacity that is offered above its marginal cost. Construction: keep the latest rebid version per unit-interval (most recent OFFERDATETIME); join the daily price bands (BIDDAYOFFER PRICEBAND1-10) to the interval band quantities (BIDOFFERPERIOD BANDAVAIL1-10); compare each band's price to the unit-month SRMC_marginal; sum the qualifying band quantities and divide by MAXAVAIL. The measure is defined when MAXAVAIL &gt; 1 MW and is capped at 1. It is SRMC-relative by design, so a change in the cost environment does not mechanically move it for a fixed offer.</w:t>
      </w:r>
    </w:p>
    <w:p>
      <w:pPr>
        <w:pStyle w:val="Titre1"/>
      </w:pPr>
      <w:r>
        <w:t xml:space="preserve">5. Spot price and net rent</w:t>
      </w:r>
    </w:p>
    <w:p>
      <w:pPr>
        <w:pStyle w:val="Normal"/>
      </w:pPr>
      <w:r>
        <w:t xml:space="preserve">Spot: SA1 regional reference price (DISPATCHPRICE RRP), base run only (INTERVENTION = 0), at native 5-minute resolution. In regressions spot enters at 5-minute resolution so within-day volatility is fully preserved. For figures that require a monthly spot level, a hierarchical aggregation (5-minute to 30-minute to daily to monthly) is used so that each day contributes equally rather than a flat mean dominated by a few cap-priced intervals; with complete 5-minute data this nested mean equals the grand mean, so a separate spike-share statistic (fraction of intervals above $300/MWh) carries the within-day volatility information. Net rent, per directed interval: rent = d_t - spot, the per-MWh value of being directed rather than settling at spot.</w:t>
      </w:r>
    </w:p>
    <w:p>
      <w:pPr>
        <w:pStyle w:val="Titre1"/>
      </w:pPr>
      <w:r>
        <w:t xml:space="preserve">6. Derived descriptive cuts</w:t>
      </w:r>
    </w:p>
    <w:p>
      <w:pPr>
        <w:pStyle w:val="Normal"/>
      </w:pPr>
      <w:r>
        <w:t xml:space="preserve">•  d_t terciles: tercile cutpoints of d_t computed over the directed-interval distribution, labelling Low, Mid, High; used to show net rent rising with d_t.</w:t>
      </w:r>
    </w:p>
    <w:p>
      <w:pPr>
        <w:pStyle w:val="Normal"/>
      </w:pPr>
      <w:r>
        <w:t xml:space="preserve">•  Direction margin: d_t - SRMC_marginal, the per-MWh rent over marginal cost; reported by unit and pre/post exit.</w:t>
      </w:r>
    </w:p>
    <w:p>
      <w:pPr>
        <w:pStyle w:val="Normal"/>
      </w:pPr>
      <w:r>
        <w:t xml:space="preserve">•  Direction volume: total directed unit-hours per month (directed 5-minute intervals summed across units, times 5/60); plotted against the fleet-mean margin to show AEMO direction incidence is only weakly correlated with the rent (correlation 0.167), supporting exogeneity of direction incidence.</w:t>
      </w:r>
    </w:p>
    <w:p>
      <w:pPr>
        <w:pStyle w:val="Titre1"/>
      </w:pPr>
      <w:r>
        <w:t xml:space="preserve">7. System-strength pivotality</w:t>
      </w:r>
    </w:p>
    <w:p>
      <w:pPr>
        <w:pStyle w:val="Normal"/>
      </w:pPr>
      <w:r>
        <w:t xml:space="preserve">Scripts: extract_dispatchload.R (online status) and pivotality.R (the measure). This is the central new construction, so it is documented in full.</w:t>
      </w:r>
    </w:p>
    <w:p>
      <w:pPr>
        <w:pStyle w:val="Titre2"/>
      </w:pPr>
      <w:r>
        <w:t xml:space="preserve">7.1 The security standard</w:t>
      </w:r>
    </w:p>
    <w:p>
      <w:pPr>
        <w:pStyle w:val="Normal"/>
      </w:pPr>
      <w:r>
        <w:t xml:space="preserve">AEMO publishes acceptable minimum synchronous generator combinations for SA (sa_minimum_generator_combinations.csv): 123 rows across the system-normal and risk-of-islanding regimes. Each row specifies, at a given non-synchronous penetration threshold (non_sync_mw) and required synchronous-condenser count, how many units at each station must be online. The eight station columns are torrens_island_b, pelican_point_gt, osborne_gt_st, quarantine_5, dry_creek, mintaro, bips, snapper_point. System strength is secure if and only if the online synchronous fleet satisfies at least one applicable combination, that is, for every station the online count meets or exceeds that row's requirement.</w:t>
      </w:r>
    </w:p>
    <w:p>
      <w:pPr>
        <w:pStyle w:val="Titre2"/>
      </w:pPr>
      <w:r>
        <w:t xml:space="preserve">7.2 Station-to-DUID mapping and online counts</w:t>
      </w:r>
    </w:p>
    <w:p>
      <w:pPr>
        <w:pStyle w:val="Normal"/>
      </w:pPr>
      <w:r>
        <w:t xml:space="preserve">Multi-DUID stations are counted exactly from dispatch: torrens_island_b = number of TORRB1-4 online; dry_creek = number of DRYCGT1-3 online. Single-DUID multi-unit stations are approximated from MW because dispatch does not resolve the internal units: pelican_point_gt = 2 if PPCCGT &gt; 250 MW else 1 if &gt; 0; osborne_gt_st = 2 if OSB-AG &gt; 120 MW else 1 if &gt; 0; bips = round(BARKIPS1 MW / 16.1), capped at 12 (Barker Inlet is roughly twelve reciprocating engines under one DUID); snapper_point = round(MW / 20), capped at 5 (appears only in islanding combinations). A unit is online (synchronised) when TOTALCLEARED &gt; 0 in DISPATCHLOAD; mere availability is not enough, because peakers sit available but unsynchronised 98-100% of the time and provide no system strength unless actually running.</w:t>
      </w:r>
    </w:p>
    <w:p>
      <w:pPr>
        <w:pStyle w:val="Titre2"/>
      </w:pPr>
      <w:r>
        <w:t xml:space="preserve">7.3 Non-synchronous penetration and the applicable tier</w:t>
      </w:r>
    </w:p>
    <w:p>
      <w:pPr>
        <w:pStyle w:val="Normal"/>
      </w:pPr>
      <w:r>
        <w:t xml:space="preserve">Non-synchronous penetration in each interval is the summed dispatched output (TOTALCLEARED) of SA semi-scheduled units, identified as those carrying a positive semi-dispatch cap (or, where the field exists, a positive intermittent-generation forecast UIGF). A combination with threshold T is treated as applicable when observed non-synchronous penetration is at or below T; as penetration rises, fewer and stricter combinations remain applicable. If penetration exceeds the maximum threshold, the strictest tier is used. Synchronous-condenser availability is assumed met throughout (the four SA condensers were commissioned in 2021); the analysis uses the system-normal regime as the headline, with risk-of-islanding combinations reserved for robustness.</w:t>
      </w:r>
    </w:p>
    <w:p>
      <w:pPr>
        <w:pStyle w:val="Titre2"/>
      </w:pPr>
      <w:r>
        <w:t xml:space="preserve">7.4 The feasibility test and the two pivotality measures</w:t>
      </w:r>
    </w:p>
    <w:p>
      <w:pPr>
        <w:pStyle w:val="Normal"/>
      </w:pPr>
      <w:r>
        <w:t xml:space="preserve">Feasibility(counts, penetration): TRUE if at least one applicable combination has every station requirement met by counts. Realised pivotality, piv: for an online unit, drop one of its units from the online vector and test feasibility; if removal makes every applicable combination infeasible, the unit is pivotal (incumbency). When the online fleet already satisfies no combination (the system is short), pivotality is assessed on the available menu (completion). Ex-ante pivotality, pex: set the station's availability to zero and test whether the remaining rivals' available fleet can satisfy any applicable combination; if not, the unit is essential. The ex-ante measure depends only on rivals' availability and the non-synchronous penetration, never on the unit's own online status or its own offer, and is therefore exogenous to the unit's own withholding. It is the clean treatment; the realised measure is reported alongside for completeness and is more prevalent but endogenous.</w:t>
      </w:r>
    </w:p>
    <w:p>
      <w:pPr>
        <w:pStyle w:val="Titre2"/>
      </w:pPr>
      <w:r>
        <w:t xml:space="preserve">7.5 Prevalence and validation</w:t>
      </w:r>
    </w:p>
    <w:tbl>
      <w:tblPr>
        <w:tblStyle w:val="tabletemplate"/>
        <w:tblLayout w:type="autofit"/>
        <w:jc w:val="center"/>
        <w:tblW w:type="pct" w:w="5000"/>
        <w:tblLook w:firstRow="1" w:lastRow="0" w:firstColumn="0" w:lastColumn="0" w:noHBand="0" w:noVBand="1"/>
      </w:tblPr>
      <w:tr>
        <w:trPr>
          <w:tblHeader/>
        </w:trPr>
        <w:tc>
          <w:p>
            <w:pPr>
              <w:pStyle w:val="Normal"/>
            </w:pPr>
            <w:r>
              <w:t>Station</w:t>
            </w:r>
          </w:p>
        </w:tc>
        <w:tc>
          <w:p>
            <w:pPr>
              <w:pStyle w:val="Normal"/>
            </w:pPr>
            <w:r>
              <w:t>Realised_pct</w:t>
            </w:r>
          </w:p>
        </w:tc>
        <w:tc>
          <w:p>
            <w:pPr>
              <w:pStyle w:val="Normal"/>
            </w:pPr>
            <w:r>
              <w:t>ExAnte_pct</w:t>
            </w:r>
          </w:p>
        </w:tc>
      </w:tr>
      <w:tr>
        <w:tc>
          <w:p>
            <w:pPr>
              <w:pStyle w:val="Normal"/>
            </w:pPr>
            <w:r>
              <w:t>Torrens Island B</w:t>
            </w:r>
          </w:p>
        </w:tc>
        <w:tc>
          <w:p>
            <w:pPr>
              <w:pStyle w:val="Normal"/>
            </w:pPr>
            <w:r>
              <w:t>42.4</w:t>
            </w:r>
          </w:p>
        </w:tc>
        <w:tc>
          <w:p>
            <w:pPr>
              <w:pStyle w:val="Normal"/>
            </w:pPr>
            <w:r>
              <w:t>1.3</w:t>
            </w:r>
          </w:p>
        </w:tc>
      </w:tr>
      <w:tr>
        <w:tc>
          <w:p>
            <w:pPr>
              <w:pStyle w:val="Normal"/>
            </w:pPr>
            <w:r>
              <w:t>Pelican Point</w:t>
            </w:r>
          </w:p>
        </w:tc>
        <w:tc>
          <w:p>
            <w:pPr>
              <w:pStyle w:val="Normal"/>
            </w:pPr>
            <w:r>
              <w:t>15.3</w:t>
            </w:r>
          </w:p>
        </w:tc>
        <w:tc>
          <w:p>
            <w:pPr>
              <w:pStyle w:val="Normal"/>
            </w:pPr>
            <w:r>
              <w:t>0.1</w:t>
            </w:r>
          </w:p>
        </w:tc>
      </w:tr>
      <w:tr>
        <w:tc>
          <w:p>
            <w:pPr>
              <w:pStyle w:val="Normal"/>
            </w:pPr>
            <w:r>
              <w:t>Mintaro</w:t>
            </w:r>
          </w:p>
        </w:tc>
        <w:tc>
          <w:p>
            <w:pPr>
              <w:pStyle w:val="Normal"/>
            </w:pPr>
            <w:r>
              <w:t>11.8</w:t>
            </w:r>
          </w:p>
        </w:tc>
        <w:tc>
          <w:p>
            <w:pPr>
              <w:pStyle w:val="Normal"/>
            </w:pPr>
            <w:r>
              <w:t>~0</w:t>
            </w:r>
          </w:p>
        </w:tc>
      </w:tr>
      <w:tr>
        <w:tc>
          <w:p>
            <w:pPr>
              <w:pStyle w:val="Normal"/>
            </w:pPr>
            <w:r>
              <w:t>Quarantine 5</w:t>
            </w:r>
          </w:p>
        </w:tc>
        <w:tc>
          <w:p>
            <w:pPr>
              <w:pStyle w:val="Normal"/>
            </w:pPr>
            <w:r>
              <w:t>1.6</w:t>
            </w:r>
          </w:p>
        </w:tc>
        <w:tc>
          <w:p>
            <w:pPr>
              <w:pStyle w:val="Normal"/>
            </w:pPr>
            <w:r>
              <w:t>~0</w:t>
            </w:r>
          </w:p>
        </w:tc>
      </w:tr>
      <w:tr>
        <w:tc>
          <w:p>
            <w:pPr>
              <w:pStyle w:val="Normal"/>
            </w:pPr>
            <w:r>
              <w:t>Osborne / Dry Creek / BIPS / Snapper</w:t>
            </w:r>
          </w:p>
        </w:tc>
        <w:tc>
          <w:p>
            <w:pPr>
              <w:pStyle w:val="Normal"/>
            </w:pPr>
            <w:r>
              <w:t>~0</w:t>
            </w:r>
          </w:p>
        </w:tc>
        <w:tc>
          <w:p>
            <w:pPr>
              <w:pStyle w:val="Normal"/>
            </w:pPr>
            <w:r>
              <w:t>~0</w:t>
            </w:r>
          </w:p>
        </w:tc>
      </w:tr>
    </w:tbl>
    <w:p>
      <w:pPr>
        <w:pStyle w:val="Normal"/>
      </w:pPr>
      <w:r>
        <w:t xml:space="preserve">Ex-ante essentiality is rare because peakers sit near-100% available, so the available fleet can almost always form some combination without any single unit; the rare cases are the genuinely scarce moments of unambiguous market power. Validation: directions concentrate in pivotal intervals. The probability that TIB is pivotal given it is directed is 0.65 versus a 0.44 baseline; for Pelican Point, 0.35 versus 0.17 (a 2.1-fold concentration). AEMO directs units 1.5 to 2 times more often when they are pivotal, confirming the measure tracks genuine security need.</w:t>
      </w:r>
    </w:p>
    <w:p>
      <w:pPr>
        <w:pStyle w:val="Titre1"/>
      </w:pPr>
      <w:r>
        <w:t xml:space="preserve">8. Rebid measures</w:t>
      </w:r>
    </w:p>
    <w:p>
      <w:pPr>
        <w:pStyle w:val="Normal"/>
      </w:pPr>
      <w:r>
        <w:t xml:space="preserve">Script: rebid_analysis.R. All offer versions are retained in BIDOFFERPERIOD, identified by OFFERDATETIME, which permits intraday rebid analysis. Three unit-day measures are built.</w:t>
      </w:r>
    </w:p>
    <w:p>
      <w:pPr>
        <w:pStyle w:val="Titre2"/>
      </w:pPr>
      <w:r>
        <w:t xml:space="preserve">8.1 Rebid intensity</w:t>
      </w:r>
    </w:p>
    <w:p>
      <w:pPr>
        <w:pStyle w:val="Normal"/>
      </w:pPr>
      <w:r>
        <w:t xml:space="preserve">n_versions = number of distinct OFFERDATETIME values per unit-day (mean 14.5; up to 51 for Pelican Point). This counts revisions regardless of direction.</w:t>
      </w:r>
    </w:p>
    <w:p>
      <w:pPr>
        <w:pStyle w:val="Titre2"/>
      </w:pPr>
      <w:r>
        <w:t xml:space="preserve">8.2 Quantity withholding</w:t>
      </w:r>
    </w:p>
    <w:p>
      <w:pPr>
        <w:pStyle w:val="Normal"/>
      </w:pPr>
      <w:r>
        <w:t xml:space="preserve">Interval-fixed first-versus-last MAXAVAIL change. For each unit, day, and 5-minute interval, take the MAXAVAIL of the first offer version (earliest OFFERDATETIME) and of the last version, and average (first minus last) over the day's intervals. A positive value means the unit withdrew available capacity across the trading day. The interval is held fixed so the comparison is like-for-like and not contaminated by the within-day shape of MAXAVAIL.</w:t>
      </w:r>
    </w:p>
    <w:p>
      <w:pPr>
        <w:pStyle w:val="Titre2"/>
      </w:pPr>
      <w:r>
        <w:t xml:space="preserve">8.3 Price-band escalation</w:t>
      </w:r>
    </w:p>
    <w:p>
      <w:pPr>
        <w:pStyle w:val="Normal"/>
      </w:pPr>
      <w:r>
        <w:t xml:space="preserve">Above-SRMC capacity share in the last version minus the first. The day's price ladder is held fixed at the latest BIDDAYOFFER price bands. For the first and last quantity versions, the band quantities (BANDAVAIL1-10, summed over the day's intervals) are split by whether each band's price exceeds SRMC_marginal, and the above-SRMC share is computed for each version. The escalation is the last-version share minus the first-version share; a positive value means the unit's rebidding moved capacity up the price ladder, above marginal cost, over the day. This isolates price withholding via rebid, complementing the quantity measure.</w:t>
      </w:r>
    </w:p>
    <w:p>
      <w:pPr>
        <w:pStyle w:val="Titre1"/>
      </w:pPr>
      <w:r>
        <w:t xml:space="preserve">9. Estimation and inference</w:t>
      </w:r>
    </w:p>
    <w:p>
      <w:pPr>
        <w:pStyle w:val="Normal"/>
      </w:pPr>
      <w:r>
        <w:t xml:space="preserve">Estimators are two-way fixed-effects linear regressions (fixest::feols). The level test regresses withheld_share on the pivotality indicator with unit fixed effects and SRMC and spot controls; the prize test regresses on standardised d_t interacted with pivotality; the within-day test (Cut 6) uses unit-by-month fixed effects with d_t held fixed within month so identification comes from spot variation. Rebid tests regress the three unit-day measures on the daily pivotal share with unit and month fixed effects. Standard errors are clustered by month, the dimension in which the predetermined d_t and the non-synchronous state vary. Because the cluster counts are small (35 months; 11-12 units), analytic cluster-robust errors are a stopgap; the wild-cluster bootstrap with Webb weights is the planned primary inference for headline coefficients and is not yet run.</w:t>
      </w:r>
    </w:p>
    <w:p>
      <w:pPr>
        <w:pStyle w:val="Titre1"/>
      </w:pPr>
      <w:r>
        <w:t xml:space="preserve">10. Assumptions and limitations</w:t>
      </w:r>
    </w:p>
    <w:tbl>
      <w:tblPr>
        <w:tblStyle w:val="tabletemplate"/>
        <w:tblLayout w:type="autofit"/>
        <w:jc w:val="center"/>
        <w:tblW w:type="pct" w:w="5000"/>
        <w:tblLook w:firstRow="1" w:lastRow="0" w:firstColumn="0" w:lastColumn="0" w:noHBand="0" w:noVBand="1"/>
      </w:tblPr>
      <w:tr>
        <w:trPr>
          <w:tblHeader/>
        </w:trPr>
        <w:tc>
          <w:p>
            <w:pPr>
              <w:pStyle w:val="Normal"/>
            </w:pPr>
            <w:r>
              <w:t>Area</w:t>
            </w:r>
          </w:p>
        </w:tc>
        <w:tc>
          <w:p>
            <w:pPr>
              <w:pStyle w:val="Normal"/>
            </w:pPr>
            <w:r>
              <w:t>Assumption_or_limitation</w:t>
            </w:r>
          </w:p>
        </w:tc>
      </w:tr>
      <w:tr>
        <w:tc>
          <w:p>
            <w:pPr>
              <w:pStyle w:val="Normal"/>
            </w:pPr>
            <w:r>
              <w:t>d_t resolution</w:t>
            </w:r>
          </w:p>
        </w:tc>
        <w:tc>
          <w:p>
            <w:pPr>
              <w:pStyle w:val="Normal"/>
            </w:pPr>
            <w:r>
              <w:t>Monthly trailing 90th percentile used operationally; per-issue-date variation within month suppressed.</w:t>
            </w:r>
          </w:p>
        </w:tc>
      </w:tr>
      <w:tr>
        <w:tc>
          <w:p>
            <w:pPr>
              <w:pStyle w:val="Normal"/>
            </w:pPr>
            <w:r>
              <w:t>SRMC heat rates</w:t>
            </w:r>
          </w:p>
        </w:tc>
        <w:tc>
          <w:p>
            <w:pPr>
              <w:pStyle w:val="Normal"/>
            </w:pPr>
            <w:r>
              <w:t>AEMO incremental vs static; PPCCGT/OSB-AG anomaly forces static for both measures.</w:t>
            </w:r>
          </w:p>
        </w:tc>
      </w:tr>
      <w:tr>
        <w:tc>
          <w:p>
            <w:pPr>
              <w:pStyle w:val="Normal"/>
            </w:pPr>
            <w:r>
              <w:t>SRMC gaps</w:t>
            </w:r>
          </w:p>
        </w:tc>
        <w:tc>
          <w:p>
            <w:pPr>
              <w:pStyle w:val="Normal"/>
            </w:pPr>
            <w:r>
              <w:t>BARKIPS1 heat rate and TORRB VOM are proxies, flagged; revealed-cost anchoring is a planned robustness.</w:t>
            </w:r>
          </w:p>
        </w:tc>
      </w:tr>
      <w:tr>
        <w:tc>
          <w:p>
            <w:pPr>
              <w:pStyle w:val="Normal"/>
            </w:pPr>
            <w:r>
              <w:t>Online status</w:t>
            </w:r>
          </w:p>
        </w:tc>
        <w:tc>
          <w:p>
            <w:pPr>
              <w:pStyle w:val="Normal"/>
            </w:pPr>
            <w:r>
              <w:t>Synchronised proxied by TOTALCLEARED &gt; 0; units spinning at zero MW are treated as offline.</w:t>
            </w:r>
          </w:p>
        </w:tc>
      </w:tr>
      <w:tr>
        <w:tc>
          <w:p>
            <w:pPr>
              <w:pStyle w:val="Normal"/>
            </w:pPr>
            <w:r>
              <w:t>BIPS/Pelican counts</w:t>
            </w:r>
          </w:p>
        </w:tc>
        <w:tc>
          <w:p>
            <w:pPr>
              <w:pStyle w:val="Normal"/>
            </w:pPr>
            <w:r>
              <w:t>Internal unit counts approximated from MW; bind only for combinations requiring two-plus of a single-DUID station.</w:t>
            </w:r>
          </w:p>
        </w:tc>
      </w:tr>
      <w:tr>
        <w:tc>
          <w:p>
            <w:pPr>
              <w:pStyle w:val="Normal"/>
            </w:pPr>
            <w:r>
              <w:t>Non-sync tier</w:t>
            </w:r>
          </w:p>
        </w:tc>
        <w:tc>
          <w:p>
            <w:pPr>
              <w:pStyle w:val="Normal"/>
            </w:pPr>
            <w:r>
              <w:t>A combination applies at or below its non_sync_mw threshold; mapping to be checked against AEMO source. Rooftop solar (non-scheduled) is excluded from the penetration measure.</w:t>
            </w:r>
          </w:p>
        </w:tc>
      </w:tr>
      <w:tr>
        <w:tc>
          <w:p>
            <w:pPr>
              <w:pStyle w:val="Normal"/>
            </w:pPr>
            <w:r>
              <w:t>Syn condensers</w:t>
            </w:r>
          </w:p>
        </w:tc>
        <w:tc>
          <w:p>
            <w:pPr>
              <w:pStyle w:val="Normal"/>
            </w:pPr>
            <w:r>
              <w:t>Four SA condensers assumed available throughout (true post-2021).</w:t>
            </w:r>
          </w:p>
        </w:tc>
      </w:tr>
      <w:tr>
        <w:tc>
          <w:p>
            <w:pPr>
              <w:pStyle w:val="Normal"/>
            </w:pPr>
            <w:r>
              <w:t>Ex-ante sparsity</w:t>
            </w:r>
          </w:p>
        </w:tc>
        <w:tc>
          <w:p>
            <w:pPr>
              <w:pStyle w:val="Normal"/>
            </w:pPr>
            <w:r>
              <w:t>Ex-ante binary pivotality is rare (TIB 1.3%), so power for the binary spec is limited; the continuous non-sync driver is the higher-powered exogenous instrument and agrees.</w:t>
            </w:r>
          </w:p>
        </w:tc>
      </w:tr>
      <w:tr>
        <w:tc>
          <w:p>
            <w:pPr>
              <w:pStyle w:val="Normal"/>
            </w:pPr>
            <w:r>
              <w:t>Rebid escalation</w:t>
            </w:r>
          </w:p>
        </w:tc>
        <w:tc>
          <w:p>
            <w:pPr>
              <w:pStyle w:val="Normal"/>
            </w:pPr>
            <w:r>
              <w:t>Price ladder held at the day's latest bands; pure price-band rebids within the day are not separately tracked.</w:t>
            </w:r>
          </w:p>
        </w:tc>
      </w:tr>
      <w:tr>
        <w:tc>
          <w:p>
            <w:pPr>
              <w:pStyle w:val="Normal"/>
            </w:pPr>
            <w:r>
              <w:t>Inference</w:t>
            </w:r>
          </w:p>
        </w:tc>
        <w:tc>
          <w:p>
            <w:pPr>
              <w:pStyle w:val="Normal"/>
            </w:pPr>
            <w:r>
              <w:t>Few clusters; wild-cluster bootstrap pending.</w:t>
            </w:r>
          </w:p>
        </w:tc>
      </w:tr>
    </w:tbl>
    <w:p>
      <w:pPr>
        <w:pStyle w:val="Titre1"/>
      </w:pPr>
      <w:r>
        <w:t xml:space="preserve">11. Reproducibility</w:t>
      </w:r>
    </w:p>
    <w:p>
      <w:pPr>
        <w:pStyle w:val="Normal"/>
      </w:pPr>
      <w:r>
        <w:t xml:space="preserve">Pipeline order: extract_dispatchload.R (DISPATCHLOAD, 36 months) then pivotality.R (pivotality_panel.rds); gate_a_srmc.R (SRMC) and descriptive_analysis_v3.R (panel_v3.rds, Cuts 2-6); figures_srmc_controlled.R and cut5_spot_controlled.R (controlled figures and spot robustness); pivotality_analysis.R and rebid_analysis.R (pivotal-vs-non-pivotal bidding and rebids). Outputs are written to outputs/descriptives_v3/. Numbers cited here and in the proposal are traceable to the fact bullets in facts_memo.md and the readouts descriptive_readout_v3.md and pivotality_readout.md.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2026-06-29T13:00:28Z</dcterms:modified>
  <cp:category/>
</cp:coreProperties>
</file>