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MeetingFlow AI</w:t>
        <w:br/>
        <w:t>Markdown 文档规范（项目适配版）</w:t>
      </w:r>
    </w:p>
    <w:p>
      <w:pPr>
        <w:jc w:val="center"/>
      </w:pPr>
      <w:r>
        <w:rPr>
          <w:i/>
        </w:rPr>
        <w:t>适用于“基于会议纪要智能体的任务抽取与项目进度跟踪系统设计与实现”</w:t>
      </w:r>
    </w:p>
    <w:p>
      <w:r>
        <w:t>版本：v1.0  |  生成日期：2026-07-21  |  文档性质：项目文档设计与 AI 协作约定</w:t>
      </w:r>
    </w:p>
    <w:p>
      <w:pPr>
        <w:pStyle w:val="Heading1"/>
      </w:pPr>
      <w:r>
        <w:t>1. 结论摘要</w:t>
      </w:r>
    </w:p>
    <w:p>
      <w:r>
        <w:t>原始文档的“入口文档 + 深度文档下沉 + AI 规则独立”的设计方向合理，但它是通用脚手架，不应直接复制到当前仓库。当前项目仍处于演示型 MVP 阶段，建议采用精简文档集，并只保留能被真实执行和验证的规则。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1814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652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文档结构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保留分层思路，但将初期的 8+ 文件压缩为 5 个核心文件。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AGENTS.md 篇幅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原模板约 100 行且有重复/冲突；对本项目偏长。建议控制在约 50-70 行，只写项目事实和可执行约束。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自动化要求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当前未配置 lint、format、test 脚本，不应在规则中写成“必须全部执行”。先以 build 和服务健康检查为准。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GitHub/PR 规则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当前工作区未检测到可用 Git 仓库元数据；将其作为“使用远程协作时适用”的可选规则，而非硬性流程。</w:t>
            </w:r>
          </w:p>
        </w:tc>
      </w:tr>
    </w:tbl>
    <w:p>
      <w:pPr>
        <w:spacing w:after="20"/>
      </w:pPr>
    </w:p>
    <w:p>
      <w:pPr>
        <w:pStyle w:val="Heading1"/>
      </w:pPr>
      <w:r>
        <w:t>2. 当前项目事实（作为文档的唯一依据）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1247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3402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实际实现</w:t>
            </w:r>
          </w:p>
        </w:tc>
        <w:tc>
          <w:tcPr>
            <w:tcW w:type="dxa" w:w="3685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文档中应反映的重点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前端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apps/web：Vue 3 + Vite + TypeScript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本地端口 5173；/api 代理至 API 服务。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后端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apps/api：NestJS 11 + TypeScript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全局前缀 /api；默认端口 3000；输入使用 ValidationPipe 校验。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AI 服务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apps/ai：FastAPI + Pydantic + Uvicorn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默认端口 8000；当前为 mock 模式，输出必须人工复核。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基础设施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docker-compose：MySQL、Redis、Qdrant、MinIO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当前应用使用内存种子数据；这些服务用于后续持久化演进。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核心流程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会议纪要导入 -&gt; 分析草稿 -&gt; 项目经理复核 -&gt; 创建/更新任务 -&gt; 进度追踪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强调证据来源、人审关卡和演示模式边界。</w:t>
            </w:r>
          </w:p>
        </w:tc>
      </w:tr>
    </w:tbl>
    <w:p>
      <w:pPr>
        <w:spacing w:after="20"/>
      </w:pPr>
    </w:p>
    <w:p>
      <w:pPr>
        <w:pStyle w:val="Heading1"/>
      </w:pPr>
      <w:r>
        <w:t>3. 推荐的文档目录</w:t>
      </w:r>
    </w:p>
    <w:p>
      <w:r>
        <w:t>以下目录适合当前规模。等出现多人协作、正式发布或外部 API 后，再拆出 CONTRIBUTING、CHANGELOG 和更细的子目录。</w:t>
      </w:r>
    </w:p>
    <w:p>
      <w:pPr>
        <w:spacing w:before="80" w:after="160" w:line="252" w:lineRule="auto"/>
        <w:ind w:left="198" w:right="198"/>
        <w:shd w:fill="F3F5F7"/>
      </w:pPr>
      <w:r>
        <w:rPr>
          <w:rFonts w:ascii="Consolas" w:hAnsi="Consolas" w:eastAsia="等线"/>
          <w:sz w:val="17"/>
        </w:rPr>
        <w:t>项目根目录/</w:t>
        <w:br/>
        <w:t>├── AGENTS.md                 # 面向 AI 的短规则：项目事实、边界、验证</w:t>
        <w:br/>
        <w:t>├── README.md                 # 人类入口：简介、启动、演示账号、文档链接</w:t>
        <w:br/>
        <w:t>├── docs/</w:t>
        <w:br/>
        <w:t>│   ├── architecture.md       # 三服务架构、数据流、人工复核边界</w:t>
        <w:br/>
        <w:t>│   ├── development.md        # 环境、命令、调试、验证方法</w:t>
        <w:br/>
        <w:t>│   ├── api.md                # 当前 REST 接口与鉴权/角色说明</w:t>
        <w:br/>
        <w:t>│   └── deployment.md         # Docker Compose、环境变量、服务端口</w:t>
        <w:br/>
        <w:t>└── .env.example              # 可提交的环境变量示例，不存放真实密钥</w:t>
      </w:r>
    </w:p>
    <w:p>
      <w:r>
        <w:t>暂不建议创建：CONTRIBUTING.md、CHANGELOG.md、docs/images/ 空目录和 .githooks。它们在当前阶段没有对应的使用场景，容易形成“看起来完整、实际过期”的文档负担。</w:t>
      </w:r>
    </w:p>
    <w:p>
      <w:pPr>
        <w:pStyle w:val="Heading1"/>
      </w:pPr>
      <w:r>
        <w:t>4. AGENTS.md 设计审查</w:t>
      </w:r>
    </w:p>
    <w:p>
      <w:pPr>
        <w:pStyle w:val="Heading2"/>
      </w:pPr>
      <w:r>
        <w:t>4.1 原模板中应修改的内容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1757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原规则类型</w:t>
            </w:r>
          </w:p>
        </w:tc>
        <w:tc>
          <w:tcPr>
            <w:tcW w:type="dxa" w:w="3402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3175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项目适配后的处理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单一 src/、tests/、config 目录说明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与 apps/web、apps/api、apps/ai 的实际结构不符。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改为三服务目录、各自的运行命令和边界。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所有任务都必须格式化、静态检查、单测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仓库未定义对应命令；会导致不可执行的承诺。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写明“执行仓库已有的相关校验”；目前至少执行 npm run build。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注释率不低于 15%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不可量化且会诱导无价值注释。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只要求复杂逻辑、公共边界和安全/业务约束有必要注释。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改任何 .md 均需确认，同时又要求文档钩子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规则互相冲突，阻断正常文档维护。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文档变更随任务范围处理；大范围重构或基准规范变更再确认。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禁止修改 AGENTS.md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使规则无法随项目演进。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允许在用户明确要求或发现事实失真时更新，并在交付中说明。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固定 GitHub PR/推送钩子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当前不是可验证的必要工作流，也不应自动触发。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Git 提交、推送、PR 始终需要用户明确授权。</w:t>
            </w:r>
          </w:p>
        </w:tc>
      </w:tr>
    </w:tbl>
    <w:p>
      <w:pPr>
        <w:spacing w:after="20"/>
      </w:pPr>
    </w:p>
    <w:p>
      <w:pPr>
        <w:pStyle w:val="Heading2"/>
      </w:pPr>
      <w:r>
        <w:t>4.2 建议采用的精简 AGENTS.md</w:t>
      </w:r>
    </w:p>
    <w:p>
      <w:r>
        <w:t>以下内容可以直接作为项目根目录的 AGENTS.md。它刻意避免重复通用开发常识，并且不包含尚未配置的 lint/test 命令。</w:t>
      </w:r>
    </w:p>
    <w:p>
      <w:pPr>
        <w:spacing w:before="80" w:after="160" w:line="252" w:lineRule="auto"/>
        <w:ind w:left="198" w:right="198"/>
        <w:shd w:fill="F3F5F7"/>
      </w:pPr>
      <w:r>
        <w:rPr>
          <w:rFonts w:ascii="Consolas" w:hAnsi="Consolas" w:eastAsia="等线"/>
          <w:sz w:val="17"/>
        </w:rPr>
        <w:t># MeetingFlow AI - Agent Instructions</w:t>
        <w:br/>
        <w:br/>
        <w:t>## Project map</w:t>
        <w:br/>
        <w:t>- `apps/web`: Vue 3 + Vite frontend. API calls use `/api` and the dev server proxies to port 3000.</w:t>
        <w:br/>
        <w:t>- `apps/api`: NestJS API. Global prefix: `/api`; default port: 3000.</w:t>
        <w:br/>
        <w:t>- `apps/ai`: FastAPI service. Default port: 8000. Current `mock` mode is a demo boundary, not real LLM inference.</w:t>
        <w:br/>
        <w:t>- `docker-compose.yml`: local infrastructure and container startup. `.env.example` is the source for documented variables.</w:t>
        <w:br/>
        <w:br/>
        <w:t>## Product constraints</w:t>
        <w:br/>
        <w:t>- AI outputs are review drafts. Do not create a formal task or present a result as final without the project-manager review gate.</w:t>
        <w:br/>
        <w:t>- Preserve evidence/citation fields when changing meeting analysis or task extraction flows.</w:t>
        <w:br/>
        <w:t>- Do not add real keys, passwords, tokens, or personal meeting data to source files, examples, fixtures, or documentation.</w:t>
        <w:br/>
        <w:br/>
        <w:t>## Working rules</w:t>
        <w:br/>
        <w:t>- Inspect the relevant app and existing behavior before editing. Keep changes scoped to the request.</w:t>
        <w:br/>
        <w:t>- Ask before adding dependencies, changing public API contracts, data models, Docker/environment configuration, or repository layout.</w:t>
        <w:br/>
        <w:t>- Do not discard or overwrite existing user changes.</w:t>
        <w:br/>
        <w:t>- Git commits, pushes, PR creation, or destructive commands require explicit user authorization.</w:t>
        <w:br/>
        <w:br/>
        <w:t>## Validation</w:t>
        <w:br/>
        <w:t>- Run the narrowest relevant validation after a change.</w:t>
        <w:br/>
        <w:t>- For cross-service or release-facing changes, run `npm run build` from the repository root.</w:t>
        <w:br/>
        <w:t>- For AI-service changes, at least verify the FastAPI module/import and `/health` contract when the environment is available.</w:t>
        <w:br/>
        <w:t>- Report commands run and any verification that could not be performed.</w:t>
        <w:br/>
        <w:br/>
        <w:t>## Documentation</w:t>
        <w:br/>
        <w:t>- Update README or `docs/` when a user-facing workflow, startup command, API contract, environment variable, or architecture fact changes.</w:t>
        <w:br/>
        <w:t>- Keep documentation factual: distinguish current mock/demo behavior from planned persistent storage, RAG, or model-provider integrations.</w:t>
        <w:br/>
      </w:r>
    </w:p>
    <w:p>
      <w:pPr>
        <w:pStyle w:val="Heading1"/>
      </w:pPr>
      <w:r>
        <w:t>5. README.md 应替换为的项目内容</w:t>
      </w:r>
    </w:p>
    <w:p>
      <w:r>
        <w:t>README 应是使用者入口，而不是完整设计说明。建议包含以下事实性内容：</w:t>
      </w:r>
    </w:p>
    <w:p>
      <w:pPr>
        <w:pStyle w:val="ListBullet"/>
        <w:spacing w:after="60"/>
      </w:pPr>
      <w:r>
        <w:t>项目简介：面向项目团队的会议纪要智能体与任务/进度跟踪系统。</w:t>
      </w:r>
    </w:p>
    <w:p>
      <w:pPr>
        <w:pStyle w:val="ListBullet"/>
        <w:spacing w:after="60"/>
      </w:pPr>
      <w:r>
        <w:t>核心能力：会议纪要分析草稿、来源证据、候选任务与分派建议、人工复核、任务进度追踪。</w:t>
      </w:r>
    </w:p>
    <w:p>
      <w:pPr>
        <w:pStyle w:val="ListBullet"/>
        <w:spacing w:after="60"/>
      </w:pPr>
      <w:r>
        <w:t>明确边界：当前演示模式不依赖外部模型密钥，AI 服务为 mock 输出；正式任务需项目经理复核。</w:t>
      </w:r>
    </w:p>
    <w:p>
      <w:pPr>
        <w:pStyle w:val="ListBullet"/>
        <w:spacing w:after="60"/>
      </w:pPr>
      <w:r>
        <w:t>本地启动、Docker Compose 启动、服务地址和演示账号。</w:t>
      </w:r>
    </w:p>
    <w:p>
      <w:pPr>
        <w:pStyle w:val="ListBullet"/>
        <w:spacing w:after="60"/>
      </w:pPr>
      <w:r>
        <w:t>到 docs/architecture.md、development.md、api.md、deployment.md 的链接。</w:t>
      </w:r>
    </w:p>
    <w:p>
      <w:pPr>
        <w:spacing w:before="80" w:after="160" w:line="252" w:lineRule="auto"/>
        <w:ind w:left="198" w:right="198"/>
        <w:shd w:fill="F3F5F7"/>
      </w:pPr>
      <w:r>
        <w:rPr>
          <w:rFonts w:ascii="Consolas" w:hAnsi="Consolas" w:eastAsia="等线"/>
          <w:sz w:val="17"/>
        </w:rPr>
        <w:t># 本地启动</w:t>
        <w:br/>
        <w:t>npm install</w:t>
        <w:br/>
        <w:t>npm run dev:api</w:t>
        <w:br/>
        <w:t>npm run dev:web</w:t>
        <w:br/>
        <w:br/>
        <w:t># 新终端：启动 AI 服务</w:t>
        <w:br/>
        <w:t>python -m pip install -r apps/ai/requirements.txt</w:t>
        <w:br/>
        <w:t>uvicorn app.main:app --app-dir apps/ai --reload --port 8000</w:t>
        <w:br/>
        <w:br/>
        <w:t># 构建校验</w:t>
        <w:br/>
        <w:t>npm run build</w:t>
        <w:br/>
        <w:br/>
        <w:t># 容器方式</w:t>
        <w:br/>
        <w:t>docker compose up --build</w:t>
      </w:r>
    </w:p>
    <w:p>
      <w:r>
        <w:t>服务地址：前端 http://localhost:5173；API http://localhost:3000/api；AI 服务 http://localhost:8000/health。演示账号继续使用现有 README 中的 manager、member、admin 三个账号。</w:t>
      </w:r>
    </w:p>
    <w:p>
      <w:pPr>
        <w:pStyle w:val="Heading1"/>
      </w:pPr>
      <w:r>
        <w:t>6. 四份 docs 文档的最小内容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1701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4025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应包含</w:t>
            </w:r>
          </w:p>
        </w:tc>
        <w:tc>
          <w:tcPr>
            <w:tcW w:type="dxa" w:w="2608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暂不应写入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architecture.md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三服务交互图、会议到任务流程、人工复核、mock 与未来基础设施的分界。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将未实现的 RAG/数据库能力描述为已上线功能。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development.md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Node/Python 前置条件、四条启动命令、端口、build 校验、常见跨服务排错。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不存在的 format/lint/test 命令。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api.md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现有 /api/auth/login、/me、/projects、/meetings、/tasks、/analytics、/traces 等端点及角色约束。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未实现的数据库字段或第三方接口。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deployment.md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docker compose 服务、.env.example 变量、端口、数据卷、开发默认凭据仅限本地。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将开发默认密码用于生产环境的示例。</w:t>
            </w:r>
          </w:p>
        </w:tc>
      </w:tr>
    </w:tbl>
    <w:p>
      <w:pPr>
        <w:spacing w:after="20"/>
      </w:pPr>
    </w:p>
    <w:p>
      <w:pPr>
        <w:pStyle w:val="Heading1"/>
      </w:pPr>
      <w:r>
        <w:t>7. 落地优先级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85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969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行动</w:t>
            </w:r>
          </w:p>
        </w:tc>
        <w:tc>
          <w:tcPr>
            <w:tcW w:type="dxa" w:w="3515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用本适配版替代原通用模板，并创建精简 AGENTS.md。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消除目录、命令和规则冲突。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补充 README 与四份 docs 文档。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让系统可运行、可解释、可答辩。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为 root、web、api 增加 lint/test 脚本后，再将其写入 AGENTS.md。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规则必须有真实命令支撑。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接入持久化、RAG 或真实模型后扩充 architecture/api/deployment。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避免记录未来设想而非当前事实。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出现多人协作或发版节奏后，再增加 CONTRIBUTING.md 与 CHANGELOG.md。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减少早期维护成本。</w:t>
            </w:r>
          </w:p>
        </w:tc>
      </w:tr>
    </w:tbl>
    <w:p>
      <w:pPr>
        <w:spacing w:after="20"/>
      </w:pPr>
    </w:p>
    <w:p>
      <w:pPr>
        <w:pStyle w:val="Heading1"/>
      </w:pPr>
      <w:r>
        <w:t>8. 最终判断</w:t>
      </w:r>
    </w:p>
    <w:p>
      <w:r>
        <w:t>AGENTS.md 内容“有点多”的感觉是对的。它不应承担 README、贡献指南、代码风格手册和发布流程四种职责。对于这个项目，AGENTS.md 的最佳状态是：约 50-70 行、只记录三服务事实、产品红线、操作边界和可执行验证；细节文档放入 README 和 docs。这样既能稳定约束 AI，又不会在每次任务中消耗大量上下文或因规则过期而失效。</w:t>
      </w:r>
    </w:p>
    <w:sectPr w:rsidR="00FC693F" w:rsidRPr="0006063C" w:rsidSect="00034616">
      <w:footerReference w:type="default" r:id="rId9"/>
      <w:pgSz w:w="12240" w:h="15840"/>
      <w:pgMar w:top="1191" w:right="1219" w:bottom="1134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MeetingFlow AI | Markdown 文档规范（项目适配版）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