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val="0"/>
          <w:bCs w:val="0"/>
          <w:sz w:val="24"/>
          <w:szCs w:val="24"/>
          <w:lang w:val="en-US" w:eastAsia="zh-CN"/>
        </w:rPr>
      </w:pPr>
      <w:r>
        <w:rPr>
          <w:rFonts w:hint="eastAsia"/>
          <w:b/>
          <w:bCs/>
          <w:sz w:val="52"/>
          <w:szCs w:val="52"/>
          <w:lang w:val="en-US" w:eastAsia="zh-CN"/>
        </w:rPr>
        <w:t>中国医药产业互联网商业需求文档</w:t>
      </w:r>
      <w:r>
        <w:rPr>
          <w:rFonts w:hint="eastAsia"/>
          <w:b/>
          <w:bCs/>
          <w:sz w:val="56"/>
          <w:szCs w:val="96"/>
          <w:lang w:val="en-US" w:eastAsia="zh-CN"/>
        </w:rPr>
        <w:br w:type="textWrapping"/>
      </w:r>
      <w:r>
        <w:rPr>
          <w:rFonts w:hint="eastAsia"/>
          <w:b w:val="0"/>
          <w:bCs w:val="0"/>
          <w:sz w:val="24"/>
          <w:szCs w:val="24"/>
          <w:lang w:val="en-US" w:eastAsia="zh-CN"/>
        </w:rPr>
        <w:t>(数据从艾瑞网和IT桔子查询得到)</w:t>
      </w:r>
    </w:p>
    <w:p>
      <w:pPr>
        <w:bidi w:val="0"/>
        <w:jc w:val="both"/>
        <w:rPr>
          <w:rFonts w:hint="eastAsia"/>
          <w:b/>
          <w:bCs/>
          <w:sz w:val="56"/>
          <w:szCs w:val="96"/>
          <w:lang w:val="en-US" w:eastAsia="zh-CN"/>
        </w:rPr>
      </w:pPr>
    </w:p>
    <w:p>
      <w:pPr>
        <w:bidi w:val="0"/>
        <w:jc w:val="both"/>
        <w:rPr>
          <w:rFonts w:hint="eastAsia"/>
          <w:b/>
          <w:bCs/>
          <w:sz w:val="56"/>
          <w:szCs w:val="96"/>
          <w:lang w:val="en-US" w:eastAsia="zh-CN"/>
        </w:rPr>
      </w:pPr>
    </w:p>
    <w:sdt>
      <w:sdtPr>
        <w:rPr>
          <w:rFonts w:ascii="宋体" w:hAnsi="宋体" w:eastAsia="宋体" w:cstheme="minorBidi"/>
          <w:kern w:val="2"/>
          <w:sz w:val="21"/>
          <w:szCs w:val="24"/>
          <w:lang w:val="en-US" w:eastAsia="zh-CN" w:bidi="ar-SA"/>
        </w:rPr>
        <w:id w:val="147469857"/>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_Toc8273 </w:instrText>
          </w:r>
          <w:r>
            <w:rPr>
              <w:rFonts w:hint="eastAsia"/>
              <w:lang w:val="en-US" w:eastAsia="zh-CN"/>
            </w:rPr>
            <w:fldChar w:fldCharType="separate"/>
          </w:r>
          <w:r>
            <w:rPr>
              <w:rFonts w:hint="eastAsia"/>
              <w:lang w:val="en-US" w:eastAsia="zh-CN"/>
            </w:rPr>
            <w:t>1、方案背景</w:t>
          </w:r>
          <w:r>
            <w:tab/>
          </w:r>
          <w:r>
            <w:fldChar w:fldCharType="begin"/>
          </w:r>
          <w:r>
            <w:instrText xml:space="preserve"> PAGEREF _Toc8273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_Toc20852 </w:instrText>
          </w:r>
          <w:r>
            <w:rPr>
              <w:rFonts w:hint="eastAsia"/>
              <w:lang w:val="en-US" w:eastAsia="zh-CN"/>
            </w:rPr>
            <w:fldChar w:fldCharType="separate"/>
          </w:r>
          <w:r>
            <w:rPr>
              <w:rFonts w:hint="eastAsia"/>
              <w:lang w:val="en-US" w:eastAsia="zh-CN"/>
            </w:rPr>
            <w:t>1.1、行业背景和现状</w:t>
          </w:r>
          <w:r>
            <w:tab/>
          </w:r>
          <w:r>
            <w:fldChar w:fldCharType="begin"/>
          </w:r>
          <w:r>
            <w:instrText xml:space="preserve"> PAGEREF _Toc20852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_Toc23066 </w:instrText>
          </w:r>
          <w:r>
            <w:rPr>
              <w:rFonts w:hint="eastAsia"/>
              <w:lang w:val="en-US" w:eastAsia="zh-CN"/>
            </w:rPr>
            <w:fldChar w:fldCharType="separate"/>
          </w:r>
          <w:r>
            <w:rPr>
              <w:rFonts w:hint="eastAsia"/>
              <w:lang w:val="en-US" w:eastAsia="zh-CN"/>
            </w:rPr>
            <w:t>1.2、商业价值/市场规模</w:t>
          </w:r>
          <w:r>
            <w:tab/>
          </w:r>
          <w:r>
            <w:fldChar w:fldCharType="begin"/>
          </w:r>
          <w:r>
            <w:instrText xml:space="preserve"> PAGEREF _Toc23066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_Toc15273 </w:instrText>
          </w:r>
          <w:r>
            <w:rPr>
              <w:rFonts w:hint="eastAsia"/>
              <w:lang w:val="en-US" w:eastAsia="zh-CN"/>
            </w:rPr>
            <w:fldChar w:fldCharType="separate"/>
          </w:r>
          <w:r>
            <w:rPr>
              <w:rFonts w:hint="eastAsia"/>
              <w:lang w:val="en-US" w:eastAsia="zh-CN"/>
            </w:rPr>
            <w:t>1.3、用户需求</w:t>
          </w:r>
          <w:r>
            <w:tab/>
          </w:r>
          <w:r>
            <w:fldChar w:fldCharType="begin"/>
          </w:r>
          <w:r>
            <w:instrText xml:space="preserve"> PAGEREF _Toc15273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_Toc31227 </w:instrText>
          </w:r>
          <w:r>
            <w:rPr>
              <w:rFonts w:hint="eastAsia"/>
              <w:lang w:val="en-US" w:eastAsia="zh-CN"/>
            </w:rPr>
            <w:fldChar w:fldCharType="separate"/>
          </w:r>
          <w:r>
            <w:rPr>
              <w:rFonts w:hint="eastAsia"/>
              <w:lang w:val="en-US" w:eastAsia="zh-CN"/>
            </w:rPr>
            <w:t>1.4、发展趋势</w:t>
          </w:r>
          <w:r>
            <w:tab/>
          </w:r>
          <w:r>
            <w:fldChar w:fldCharType="begin"/>
          </w:r>
          <w:r>
            <w:instrText xml:space="preserve"> PAGEREF _Toc31227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1.5、竞争对手发展情况</w:t>
          </w:r>
          <w:r>
            <w:tab/>
          </w:r>
          <w:r>
            <w:fldChar w:fldCharType="begin"/>
          </w:r>
          <w:r>
            <w:instrText xml:space="preserve"> PAGEREF _Toc12080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_Toc32165 </w:instrText>
          </w:r>
          <w:r>
            <w:rPr>
              <w:rFonts w:hint="eastAsia"/>
              <w:lang w:val="en-US" w:eastAsia="zh-CN"/>
            </w:rPr>
            <w:fldChar w:fldCharType="separate"/>
          </w:r>
          <w:r>
            <w:rPr>
              <w:rFonts w:hint="eastAsia"/>
              <w:lang w:val="en-US" w:eastAsia="zh-CN"/>
            </w:rPr>
            <w:t>2、产品规划</w:t>
          </w:r>
          <w:r>
            <w:tab/>
          </w:r>
          <w:r>
            <w:fldChar w:fldCharType="begin"/>
          </w:r>
          <w:r>
            <w:instrText xml:space="preserve"> PAGEREF _Toc32165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_Toc25588 </w:instrText>
          </w:r>
          <w:r>
            <w:rPr>
              <w:rFonts w:hint="eastAsia"/>
              <w:lang w:val="en-US" w:eastAsia="zh-CN"/>
            </w:rPr>
            <w:fldChar w:fldCharType="separate"/>
          </w:r>
          <w:r>
            <w:rPr>
              <w:rFonts w:hint="eastAsia"/>
              <w:lang w:val="en-US" w:eastAsia="zh-CN"/>
            </w:rPr>
            <w:t>2.1、产品定位</w:t>
          </w:r>
          <w:r>
            <w:tab/>
          </w:r>
          <w:r>
            <w:fldChar w:fldCharType="begin"/>
          </w:r>
          <w:r>
            <w:instrText xml:space="preserve"> PAGEREF _Toc25588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_Toc10289 </w:instrText>
          </w:r>
          <w:r>
            <w:rPr>
              <w:rFonts w:hint="eastAsia"/>
              <w:lang w:val="en-US" w:eastAsia="zh-CN"/>
            </w:rPr>
            <w:fldChar w:fldCharType="separate"/>
          </w:r>
          <w:r>
            <w:rPr>
              <w:rFonts w:hint="eastAsia"/>
              <w:lang w:val="en-US" w:eastAsia="zh-CN"/>
            </w:rPr>
            <w:t>2.2、核心目标</w:t>
          </w:r>
          <w:r>
            <w:tab/>
          </w:r>
          <w:r>
            <w:fldChar w:fldCharType="begin"/>
          </w:r>
          <w:r>
            <w:instrText xml:space="preserve"> PAGEREF _Toc10289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_Toc29039 </w:instrText>
          </w:r>
          <w:r>
            <w:rPr>
              <w:rFonts w:hint="eastAsia"/>
              <w:lang w:val="en-US" w:eastAsia="zh-CN"/>
            </w:rPr>
            <w:fldChar w:fldCharType="separate"/>
          </w:r>
          <w:r>
            <w:rPr>
              <w:rFonts w:hint="eastAsia"/>
              <w:lang w:val="en-US" w:eastAsia="zh-CN"/>
            </w:rPr>
            <w:t>2.3、产品结构</w:t>
          </w:r>
          <w:r>
            <w:tab/>
          </w:r>
          <w:r>
            <w:fldChar w:fldCharType="begin"/>
          </w:r>
          <w:r>
            <w:instrText xml:space="preserve"> PAGEREF _Toc29039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_Toc8574 </w:instrText>
          </w:r>
          <w:r>
            <w:rPr>
              <w:rFonts w:hint="eastAsia"/>
              <w:lang w:val="en-US" w:eastAsia="zh-CN"/>
            </w:rPr>
            <w:fldChar w:fldCharType="separate"/>
          </w:r>
          <w:r>
            <w:rPr>
              <w:rFonts w:hint="eastAsia"/>
              <w:lang w:val="en-US" w:eastAsia="zh-CN"/>
            </w:rPr>
            <w:t>2.4、产品路线</w:t>
          </w:r>
          <w:r>
            <w:tab/>
          </w:r>
          <w:r>
            <w:fldChar w:fldCharType="begin"/>
          </w:r>
          <w:r>
            <w:instrText xml:space="preserve"> PAGEREF _Toc8574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_Toc17639 </w:instrText>
          </w:r>
          <w:r>
            <w:rPr>
              <w:rFonts w:hint="eastAsia"/>
              <w:lang w:val="en-US" w:eastAsia="zh-CN"/>
            </w:rPr>
            <w:fldChar w:fldCharType="separate"/>
          </w:r>
          <w:r>
            <w:rPr>
              <w:rFonts w:hint="eastAsia"/>
              <w:lang w:val="en-US" w:eastAsia="zh-CN"/>
            </w:rPr>
            <w:t>3、运营规划</w:t>
          </w:r>
          <w:r>
            <w:tab/>
          </w:r>
          <w:r>
            <w:fldChar w:fldCharType="begin"/>
          </w:r>
          <w:r>
            <w:instrText xml:space="preserve"> PAGEREF _Toc17639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_Toc31519 </w:instrText>
          </w:r>
          <w:r>
            <w:rPr>
              <w:rFonts w:hint="eastAsia"/>
              <w:lang w:val="en-US" w:eastAsia="zh-CN"/>
            </w:rPr>
            <w:fldChar w:fldCharType="separate"/>
          </w:r>
          <w:r>
            <w:rPr>
              <w:rFonts w:hint="eastAsia"/>
              <w:lang w:val="en-US" w:eastAsia="zh-CN"/>
            </w:rPr>
            <w:t>3.1、内容运营</w:t>
          </w:r>
          <w:r>
            <w:tab/>
          </w:r>
          <w:r>
            <w:fldChar w:fldCharType="begin"/>
          </w:r>
          <w:r>
            <w:instrText xml:space="preserve"> PAGEREF _Toc31519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_Toc1428 </w:instrText>
          </w:r>
          <w:r>
            <w:rPr>
              <w:rFonts w:hint="eastAsia"/>
              <w:lang w:val="en-US" w:eastAsia="zh-CN"/>
            </w:rPr>
            <w:fldChar w:fldCharType="separate"/>
          </w:r>
          <w:r>
            <w:rPr>
              <w:rFonts w:hint="eastAsia"/>
              <w:lang w:val="en-US" w:eastAsia="zh-CN"/>
            </w:rPr>
            <w:t>3.2、用户运营</w:t>
          </w:r>
          <w:r>
            <w:tab/>
          </w:r>
          <w:r>
            <w:fldChar w:fldCharType="begin"/>
          </w:r>
          <w:r>
            <w:instrText xml:space="preserve"> PAGEREF _Toc1428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_Toc911 </w:instrText>
          </w:r>
          <w:r>
            <w:rPr>
              <w:rFonts w:hint="eastAsia"/>
              <w:lang w:val="en-US" w:eastAsia="zh-CN"/>
            </w:rPr>
            <w:fldChar w:fldCharType="separate"/>
          </w:r>
          <w:r>
            <w:rPr>
              <w:rFonts w:hint="eastAsia"/>
              <w:lang w:val="en-US" w:eastAsia="zh-CN"/>
            </w:rPr>
            <w:t>3.3、活动运营</w:t>
          </w:r>
          <w:r>
            <w:tab/>
          </w:r>
          <w:r>
            <w:fldChar w:fldCharType="begin"/>
          </w:r>
          <w:r>
            <w:instrText xml:space="preserve"> PAGEREF _Toc911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_Toc32761 </w:instrText>
          </w:r>
          <w:r>
            <w:rPr>
              <w:rFonts w:hint="eastAsia"/>
              <w:lang w:val="en-US" w:eastAsia="zh-CN"/>
            </w:rPr>
            <w:fldChar w:fldCharType="separate"/>
          </w:r>
          <w:r>
            <w:rPr>
              <w:rFonts w:hint="eastAsia"/>
              <w:lang w:val="en-US" w:eastAsia="zh-CN"/>
            </w:rPr>
            <w:t>3.4、产品运营</w:t>
          </w:r>
          <w:r>
            <w:tab/>
          </w:r>
          <w:r>
            <w:fldChar w:fldCharType="begin"/>
          </w:r>
          <w:r>
            <w:instrText xml:space="preserve"> PAGEREF _Toc32761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_Toc5835 </w:instrText>
          </w:r>
          <w:r>
            <w:rPr>
              <w:rFonts w:hint="eastAsia"/>
              <w:lang w:val="en-US" w:eastAsia="zh-CN"/>
            </w:rPr>
            <w:fldChar w:fldCharType="separate"/>
          </w:r>
          <w:r>
            <w:rPr>
              <w:rFonts w:hint="eastAsia"/>
              <w:lang w:val="en-US" w:eastAsia="zh-CN"/>
            </w:rPr>
            <w:t>4、盈利模式</w:t>
          </w:r>
          <w:r>
            <w:tab/>
          </w:r>
          <w:r>
            <w:fldChar w:fldCharType="begin"/>
          </w:r>
          <w:r>
            <w:instrText xml:space="preserve"> PAGEREF _Toc5835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_Toc14806 </w:instrText>
          </w:r>
          <w:r>
            <w:rPr>
              <w:rFonts w:hint="eastAsia"/>
              <w:lang w:val="en-US" w:eastAsia="zh-CN"/>
            </w:rPr>
            <w:fldChar w:fldCharType="separate"/>
          </w:r>
          <w:r>
            <w:rPr>
              <w:rFonts w:hint="eastAsia"/>
              <w:lang w:val="en-US" w:eastAsia="zh-CN"/>
            </w:rPr>
            <w:t>5、收益与成本</w:t>
          </w:r>
          <w:r>
            <w:tab/>
          </w:r>
          <w:r>
            <w:fldChar w:fldCharType="begin"/>
          </w:r>
          <w:r>
            <w:instrText xml:space="preserve"> PAGEREF _Toc14806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_Toc14111 </w:instrText>
          </w:r>
          <w:r>
            <w:rPr>
              <w:rFonts w:hint="eastAsia"/>
              <w:lang w:val="en-US" w:eastAsia="zh-CN"/>
            </w:rPr>
            <w:fldChar w:fldCharType="separate"/>
          </w:r>
          <w:r>
            <w:rPr>
              <w:rFonts w:hint="eastAsia"/>
              <w:lang w:val="en-US" w:eastAsia="zh-CN"/>
            </w:rPr>
            <w:t>5.1、收益结构</w:t>
          </w:r>
          <w:r>
            <w:tab/>
          </w:r>
          <w:r>
            <w:fldChar w:fldCharType="begin"/>
          </w:r>
          <w:r>
            <w:instrText xml:space="preserve"> PAGEREF _Toc14111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_Toc30010 </w:instrText>
          </w:r>
          <w:r>
            <w:rPr>
              <w:rFonts w:hint="eastAsia"/>
              <w:lang w:val="en-US" w:eastAsia="zh-CN"/>
            </w:rPr>
            <w:fldChar w:fldCharType="separate"/>
          </w:r>
          <w:r>
            <w:rPr>
              <w:rFonts w:hint="eastAsia"/>
              <w:lang w:val="en-US" w:eastAsia="zh-CN"/>
            </w:rPr>
            <w:t>5.2、成本结构</w:t>
          </w:r>
          <w:r>
            <w:tab/>
          </w:r>
          <w:r>
            <w:fldChar w:fldCharType="begin"/>
          </w:r>
          <w:r>
            <w:instrText xml:space="preserve"> PAGEREF _Toc30010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_Toc7541 </w:instrText>
          </w:r>
          <w:r>
            <w:rPr>
              <w:rFonts w:hint="eastAsia"/>
              <w:lang w:val="en-US" w:eastAsia="zh-CN"/>
            </w:rPr>
            <w:fldChar w:fldCharType="separate"/>
          </w:r>
          <w:r>
            <w:rPr>
              <w:rFonts w:hint="eastAsia"/>
              <w:lang w:val="en-US" w:eastAsia="zh-CN"/>
            </w:rPr>
            <w:t>6、SWOT分析</w:t>
          </w:r>
          <w:r>
            <w:tab/>
          </w:r>
          <w:r>
            <w:fldChar w:fldCharType="begin"/>
          </w:r>
          <w:r>
            <w:instrText xml:space="preserve"> PAGEREF _Toc7541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_Toc12239 </w:instrText>
          </w:r>
          <w:r>
            <w:rPr>
              <w:rFonts w:hint="eastAsia"/>
              <w:lang w:val="en-US" w:eastAsia="zh-CN"/>
            </w:rPr>
            <w:fldChar w:fldCharType="separate"/>
          </w:r>
          <w:r>
            <w:rPr>
              <w:rFonts w:hint="eastAsia"/>
              <w:lang w:val="en-US" w:eastAsia="zh-CN"/>
            </w:rPr>
            <w:t>7、风险与对策</w:t>
          </w:r>
          <w:r>
            <w:tab/>
          </w:r>
          <w:r>
            <w:fldChar w:fldCharType="begin"/>
          </w:r>
          <w:r>
            <w:instrText xml:space="preserve"> PAGEREF _Toc12239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_Toc32661 </w:instrText>
          </w:r>
          <w:r>
            <w:rPr>
              <w:rFonts w:hint="eastAsia"/>
              <w:lang w:val="en-US" w:eastAsia="zh-CN"/>
            </w:rPr>
            <w:fldChar w:fldCharType="separate"/>
          </w:r>
          <w:r>
            <w:rPr>
              <w:rFonts w:hint="eastAsia"/>
              <w:lang w:val="en-US" w:eastAsia="zh-CN"/>
            </w:rPr>
            <w:t>8、总结</w:t>
          </w:r>
          <w:r>
            <w:tab/>
          </w:r>
          <w:r>
            <w:fldChar w:fldCharType="begin"/>
          </w:r>
          <w:r>
            <w:instrText xml:space="preserve"> PAGEREF _Toc32661 </w:instrText>
          </w:r>
          <w:r>
            <w:fldChar w:fldCharType="separate"/>
          </w:r>
          <w:r>
            <w:t>16</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default"/>
          <w:b w:val="0"/>
          <w:bCs/>
          <w:sz w:val="24"/>
          <w:szCs w:val="24"/>
          <w:lang w:val="en-US" w:eastAsia="zh-CN"/>
        </w:rPr>
      </w:pPr>
      <w:bookmarkStart w:id="0" w:name="_Toc8273"/>
      <w:r>
        <w:rPr>
          <w:rFonts w:hint="eastAsia"/>
          <w:lang w:val="en-US" w:eastAsia="zh-CN"/>
        </w:rPr>
        <w:t>1、方案背景</w:t>
      </w:r>
      <w:bookmarkEnd w:id="0"/>
      <w:bookmarkStart w:id="1" w:name="_Toc20852"/>
      <w:r>
        <w:rPr>
          <w:rFonts w:hint="eastAsia"/>
          <w:lang w:val="en-US" w:eastAsia="zh-CN"/>
        </w:rPr>
        <w:br w:type="textWrapping"/>
      </w:r>
      <w:r>
        <w:rPr>
          <w:rFonts w:hint="eastAsia"/>
          <w:b w:val="0"/>
          <w:bCs/>
          <w:lang w:val="en-US" w:eastAsia="zh-CN"/>
        </w:rPr>
        <w:t>1.1、行业背景和现状</w:t>
      </w:r>
      <w:bookmarkEnd w:id="1"/>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a、医药产业面临转型困境，痛点集中于经营、监管及供应链</w:t>
      </w:r>
      <w:r>
        <w:rPr>
          <w:rFonts w:hint="eastAsia"/>
          <w:b/>
          <w:bCs w:val="0"/>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传统的医药产业认为，对消费者需求的满足依靠的是“药品”这个产品本身，药品从药厂生产完毕后，其价值就已经恒定，下游包括药品分销企业和零售药店在内的流通企业是产品空间的转移者，是药品恒定价值的“分食者”。对药品分销的过度关注则导致了对供应链的增值服务开展的忽略。我国传统医药产业痛点主要集中于以下三方面：</w:t>
      </w:r>
      <w:r>
        <w:rPr>
          <w:rFonts w:hint="eastAsia"/>
          <w:b w:val="0"/>
          <w:bCs/>
          <w:sz w:val="24"/>
          <w:szCs w:val="24"/>
          <w:lang w:val="en-US" w:eastAsia="zh-CN"/>
        </w:rPr>
        <w:br w:type="textWrapping"/>
      </w:r>
      <w:r>
        <w:rPr>
          <w:rFonts w:hint="default"/>
          <w:lang w:val="en-US" w:eastAsia="zh-CN"/>
        </w:rPr>
        <w:drawing>
          <wp:inline distT="0" distB="0" distL="114300" distR="114300">
            <wp:extent cx="6228080" cy="2680970"/>
            <wp:effectExtent l="0" t="0" r="1270" b="508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pic:cNvPicPr>
                  </pic:nvPicPr>
                  <pic:blipFill>
                    <a:blip r:embed="rId4"/>
                    <a:stretch>
                      <a:fillRect/>
                    </a:stretch>
                  </pic:blipFill>
                  <pic:spPr>
                    <a:xfrm>
                      <a:off x="0" y="0"/>
                      <a:ext cx="6228080" cy="2680970"/>
                    </a:xfrm>
                    <a:prstGeom prst="rect">
                      <a:avLst/>
                    </a:prstGeom>
                  </pic:spPr>
                </pic:pic>
              </a:graphicData>
            </a:graphic>
          </wp:inline>
        </w:drawing>
      </w:r>
      <w:r>
        <w:rPr>
          <w:rFonts w:hint="default"/>
          <w:lang w:val="en-US" w:eastAsia="zh-CN"/>
        </w:rPr>
        <w:br w:type="textWrapping"/>
      </w:r>
      <w:r>
        <w:rPr>
          <w:rFonts w:hint="eastAsia"/>
          <w:lang w:val="en-US" w:eastAsia="zh-CN"/>
        </w:rPr>
        <w:tab/>
      </w:r>
      <w:r>
        <w:rPr>
          <w:rFonts w:hint="eastAsia"/>
          <w:b w:val="0"/>
          <w:bCs/>
          <w:sz w:val="24"/>
          <w:szCs w:val="24"/>
          <w:lang w:val="en-US" w:eastAsia="zh-CN"/>
        </w:rPr>
        <w:t>市场急需能够全面协同融合创新，助力整个行业产业链升级并能够符合医药企业高标准的供给平台的不断发力</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bCs w:val="0"/>
          <w:lang w:val="en-US" w:eastAsia="zh-CN"/>
        </w:rPr>
        <w:tab/>
      </w:r>
      <w:r>
        <w:rPr>
          <w:rFonts w:hint="eastAsia" w:ascii="宋体" w:hAnsi="宋体" w:eastAsia="宋体" w:cs="宋体"/>
          <w:b/>
          <w:bCs w:val="0"/>
          <w:kern w:val="44"/>
          <w:sz w:val="24"/>
          <w:szCs w:val="24"/>
          <w:lang w:val="en-US" w:eastAsia="zh-CN" w:bidi="ar-SA"/>
        </w:rPr>
        <w:t>b、2015-2019年医药领域重要政策</w:t>
      </w:r>
      <w:r>
        <w:rPr>
          <w:rFonts w:hint="eastAsia"/>
          <w:b/>
          <w:bCs w:val="0"/>
          <w:sz w:val="24"/>
          <w:szCs w:val="24"/>
          <w:lang w:val="en-US" w:eastAsia="zh-CN"/>
        </w:rPr>
        <w:br w:type="textWrapping"/>
      </w:r>
      <w:r>
        <w:rPr>
          <w:rFonts w:hint="default"/>
          <w:b w:val="0"/>
          <w:bCs/>
          <w:lang w:val="en-US" w:eastAsia="zh-CN"/>
        </w:rPr>
        <w:drawing>
          <wp:inline distT="0" distB="0" distL="114300" distR="114300">
            <wp:extent cx="6181090" cy="2550160"/>
            <wp:effectExtent l="0" t="0" r="10160" b="2540"/>
            <wp:docPr id="6" name="图片 6" descr="政策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政策背景"/>
                    <pic:cNvPicPr>
                      <a:picLocks noChangeAspect="1"/>
                    </pic:cNvPicPr>
                  </pic:nvPicPr>
                  <pic:blipFill>
                    <a:blip r:embed="rId5"/>
                    <a:stretch>
                      <a:fillRect/>
                    </a:stretch>
                  </pic:blipFill>
                  <pic:spPr>
                    <a:xfrm>
                      <a:off x="0" y="0"/>
                      <a:ext cx="6181090" cy="2550160"/>
                    </a:xfrm>
                    <a:prstGeom prst="rect">
                      <a:avLst/>
                    </a:prstGeom>
                  </pic:spPr>
                </pic:pic>
              </a:graphicData>
            </a:graphic>
          </wp:inline>
        </w:drawing>
      </w:r>
      <w:r>
        <w:rPr>
          <w:rFonts w:hint="eastAsia"/>
          <w:b/>
          <w:bCs w:val="0"/>
          <w:lang w:val="en-US" w:eastAsia="zh-CN"/>
        </w:rPr>
        <w:br w:type="textWrapping"/>
      </w:r>
      <w:r>
        <w:rPr>
          <w:rFonts w:hint="eastAsia"/>
          <w:b w:val="0"/>
          <w:bCs/>
          <w:sz w:val="24"/>
          <w:szCs w:val="24"/>
          <w:lang w:val="en-US" w:eastAsia="zh-CN"/>
        </w:rPr>
        <w:tab/>
      </w:r>
      <w:r>
        <w:rPr>
          <w:rFonts w:hint="eastAsia"/>
          <w:b w:val="0"/>
          <w:bCs/>
          <w:sz w:val="24"/>
          <w:szCs w:val="24"/>
          <w:lang w:val="en-US" w:eastAsia="zh-CN"/>
        </w:rPr>
        <w:t>从国家近几年颁发的医药领域政策，对药品生产和流通方面的监管力度越来越大，鼓励集中采购药品，以量换价，并且在新版药品管理法中并未禁止网售处方药，为网购处方药打开了绿灯。</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val="0"/>
          <w:bCs/>
          <w:sz w:val="24"/>
          <w:szCs w:val="24"/>
          <w:lang w:val="en-US" w:eastAsia="zh-CN"/>
        </w:rPr>
        <w:tab/>
      </w:r>
      <w:r>
        <w:rPr>
          <w:rFonts w:hint="eastAsia" w:ascii="宋体" w:hAnsi="宋体" w:eastAsia="宋体" w:cs="宋体"/>
          <w:b/>
          <w:bCs w:val="0"/>
          <w:kern w:val="44"/>
          <w:sz w:val="24"/>
          <w:szCs w:val="24"/>
          <w:lang w:val="en-US" w:eastAsia="zh-CN" w:bidi="ar-SA"/>
        </w:rPr>
        <w:t>c、医药流通市规模不断增长，医药线上化需求不断增强</w:t>
      </w:r>
      <w:r>
        <w:rPr>
          <w:rFonts w:hint="eastAsia"/>
          <w:b/>
          <w:bCs w:val="0"/>
          <w:sz w:val="24"/>
          <w:szCs w:val="24"/>
          <w:lang w:val="en-US" w:eastAsia="zh-CN"/>
        </w:rPr>
        <w:br w:type="textWrapping"/>
      </w:r>
      <w:r>
        <w:rPr>
          <w:rFonts w:hint="default"/>
          <w:b/>
          <w:bCs w:val="0"/>
          <w:sz w:val="24"/>
          <w:szCs w:val="24"/>
          <w:lang w:val="en-US" w:eastAsia="zh-CN"/>
        </w:rPr>
        <w:drawing>
          <wp:inline distT="0" distB="0" distL="114300" distR="114300">
            <wp:extent cx="6186805" cy="2700655"/>
            <wp:effectExtent l="0" t="0" r="4445" b="4445"/>
            <wp:docPr id="7" name="图片 7" descr="线上化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上化需求"/>
                    <pic:cNvPicPr>
                      <a:picLocks noChangeAspect="1"/>
                    </pic:cNvPicPr>
                  </pic:nvPicPr>
                  <pic:blipFill>
                    <a:blip r:embed="rId6"/>
                    <a:stretch>
                      <a:fillRect/>
                    </a:stretch>
                  </pic:blipFill>
                  <pic:spPr>
                    <a:xfrm>
                      <a:off x="0" y="0"/>
                      <a:ext cx="6186805" cy="2700655"/>
                    </a:xfrm>
                    <a:prstGeom prst="rect">
                      <a:avLst/>
                    </a:prstGeom>
                  </pic:spPr>
                </pic:pic>
              </a:graphicData>
            </a:graphic>
          </wp:inline>
        </w:drawing>
      </w:r>
      <w:r>
        <w:rPr>
          <w:rFonts w:hint="default"/>
          <w:b/>
          <w:bCs w:val="0"/>
          <w:sz w:val="24"/>
          <w:szCs w:val="24"/>
          <w:lang w:val="en-US" w:eastAsia="zh-CN"/>
        </w:rPr>
        <w:br w:type="textWrapping"/>
      </w:r>
      <w:r>
        <w:rPr>
          <w:rFonts w:hint="eastAsia"/>
          <w:b/>
          <w:bCs w:val="0"/>
          <w:sz w:val="24"/>
          <w:szCs w:val="24"/>
          <w:lang w:val="en-US" w:eastAsia="zh-CN"/>
        </w:rPr>
        <w:tab/>
      </w:r>
      <w:r>
        <w:rPr>
          <w:rFonts w:hint="eastAsia"/>
          <w:b w:val="0"/>
          <w:bCs/>
          <w:sz w:val="24"/>
          <w:szCs w:val="24"/>
          <w:lang w:val="en-US" w:eastAsia="zh-CN"/>
        </w:rPr>
        <w:t>从2015年至2019年医药流通市场规模提高了35.3%，医药线上化在5年中相比提高了69.0%，医药线上化的需求比而言增加得更快。主要原因在于：①线上渠道可有效补足线下药品缺失，对上游厂商及下游客户可提供信息透明度；②可有效提升安全保证；③价格优势明显。疫情的爆发进一步推进了线上化，无论是B端还是C端，未来线上化趋势将更加明显</w:t>
      </w:r>
    </w:p>
    <w:p>
      <w:pPr>
        <w:pStyle w:val="3"/>
        <w:bidi w:val="0"/>
        <w:rPr>
          <w:rFonts w:hint="default"/>
          <w:b w:val="0"/>
          <w:bCs/>
          <w:lang w:val="en-US" w:eastAsia="zh-CN"/>
        </w:rPr>
      </w:pPr>
      <w:bookmarkStart w:id="2" w:name="_Toc23066"/>
      <w:r>
        <w:rPr>
          <w:rFonts w:hint="eastAsia"/>
          <w:b w:val="0"/>
          <w:bCs/>
          <w:lang w:val="en-US" w:eastAsia="zh-CN"/>
        </w:rPr>
        <w:t>1.2、市场规模</w:t>
      </w:r>
      <w:bookmarkEnd w:id="2"/>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a、中国医药产业工业产值及GDP比重情况</w:t>
      </w:r>
      <w:r>
        <w:rPr>
          <w:rFonts w:hint="eastAsia" w:asciiTheme="minorHAnsi" w:hAnsiTheme="minorHAnsi" w:eastAsiaTheme="minorEastAsia" w:cstheme="minorBidi"/>
          <w:b/>
          <w:bCs w:val="0"/>
          <w:kern w:val="44"/>
          <w:sz w:val="24"/>
          <w:szCs w:val="24"/>
          <w:lang w:val="en-US" w:eastAsia="zh-CN" w:bidi="ar-SA"/>
        </w:rPr>
        <w:br w:type="textWrapping"/>
      </w:r>
      <w:r>
        <w:rPr>
          <w:rFonts w:hint="default"/>
          <w:b w:val="0"/>
          <w:bCs/>
          <w:lang w:val="en-US" w:eastAsia="zh-CN"/>
        </w:rPr>
        <w:drawing>
          <wp:inline distT="0" distB="0" distL="114300" distR="114300">
            <wp:extent cx="6184900" cy="2317750"/>
            <wp:effectExtent l="0" t="0" r="6350" b="6350"/>
            <wp:docPr id="8" name="图片 8" descr="GDP比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DP比重"/>
                    <pic:cNvPicPr>
                      <a:picLocks noChangeAspect="1"/>
                    </pic:cNvPicPr>
                  </pic:nvPicPr>
                  <pic:blipFill>
                    <a:blip r:embed="rId7"/>
                    <a:stretch>
                      <a:fillRect/>
                    </a:stretch>
                  </pic:blipFill>
                  <pic:spPr>
                    <a:xfrm>
                      <a:off x="0" y="0"/>
                      <a:ext cx="6184900" cy="2317750"/>
                    </a:xfrm>
                    <a:prstGeom prst="rect">
                      <a:avLst/>
                    </a:prstGeom>
                  </pic:spPr>
                </pic:pic>
              </a:graphicData>
            </a:graphic>
          </wp:inline>
        </w:drawing>
      </w:r>
    </w:p>
    <w:p>
      <w:pPr>
        <w:pStyle w:val="3"/>
        <w:bidi w:val="0"/>
        <w:ind w:firstLine="420" w:firstLineChars="0"/>
        <w:rPr>
          <w:rFonts w:hint="default" w:asciiTheme="minorHAnsi" w:hAnsiTheme="minorHAnsi" w:eastAsiaTheme="minorEastAsia" w:cstheme="minorBidi"/>
          <w:b w:val="0"/>
          <w:bCs/>
          <w:kern w:val="44"/>
          <w:sz w:val="24"/>
          <w:szCs w:val="24"/>
          <w:lang w:val="en-US" w:eastAsia="zh-CN" w:bidi="ar-SA"/>
        </w:rPr>
      </w:pPr>
      <w:bookmarkStart w:id="3" w:name="_Toc15273"/>
      <w:r>
        <w:rPr>
          <w:rFonts w:hint="eastAsia" w:asciiTheme="minorHAnsi" w:hAnsiTheme="minorHAnsi" w:eastAsiaTheme="minorEastAsia" w:cstheme="minorBidi"/>
          <w:b w:val="0"/>
          <w:bCs/>
          <w:kern w:val="44"/>
          <w:sz w:val="24"/>
          <w:szCs w:val="24"/>
          <w:lang w:val="en-US" w:eastAsia="zh-CN" w:bidi="ar-SA"/>
        </w:rPr>
        <w:t>2014-2017年，在我国政策的大力支持下，医药产业得到了快速发展，总产值在GDP的比重不断攀升。自2018年以来，由于政策鼓励竞争、集采降价、合理用药、医保控费，以及与国外的贸易摩擦，医药产业面临转型和产业改革的压力。在移动互联网高速发展的时代，大数据、人工智能、云计算、4G/5G通信技术将化作新动力，进一步推进医药产业的快速转型及升级。根据艾瑞网推算，2020年中国医药市场需求将达到2.5万亿元，成为全球最大药物市场之一。</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b、资本在医药领域的市场规模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7440" cy="2878455"/>
            <wp:effectExtent l="0" t="0" r="3810" b="17145"/>
            <wp:docPr id="9" name="图片 9" descr="C:\Users\VIP\Desktop\医药产业融资.png医药产业融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VIP\Desktop\医药产业融资.png医药产业融资"/>
                    <pic:cNvPicPr>
                      <a:picLocks noChangeAspect="1"/>
                    </pic:cNvPicPr>
                  </pic:nvPicPr>
                  <pic:blipFill>
                    <a:blip r:embed="rId8"/>
                    <a:srcRect/>
                    <a:stretch>
                      <a:fillRect/>
                    </a:stretch>
                  </pic:blipFill>
                  <pic:spPr>
                    <a:xfrm>
                      <a:off x="0" y="0"/>
                      <a:ext cx="6187440" cy="287845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在医药大健康领域中，医药产业一直广受资本关注，当国家政策形式逐渐明朗，2018年与2019年投融资金额立即翻了2.5倍，达到了1526.7亿元的高峰，2020年近H1就已达到934.6亿元。就笔均融资而言，2015年至2019年笔均融资提高了9.2亿，CAGR高达189.1%。随着政府政策推动行业大洗牌、带量采购等政策倒逼医药产业改变传统经营模式、医药产业头部创新企业集结，医药产业将进一步精简升级，资本对于医药产业中的优质企业关注度及笔均融资也将进一步提高。</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c、中国医药产业互联网市场规模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我国医药产业物联网市场规模预期将达到1450亿元，同比增长27.0%，其中，B2B类业务市场规模占比最大，达到84.3%。B2B类营收主要包括渠道佣金返点收入、营销销售收入以及对上游医药工业企业的推广、投放收入等。由于受到国家于2019年未放开对线上处方药售卖的限制的政策影响以及2020年疫情影响，医药产业互联网行业市场规模将持续增长，同时市场将迎来快速发展期，预计市场规模增速也将不断增加。</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0455" cy="2580005"/>
            <wp:effectExtent l="0" t="0" r="10795" b="10795"/>
            <wp:docPr id="10" name="图片 10" descr="中国医药产业互联网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中国医药产业互联网市场规模"/>
                    <pic:cNvPicPr>
                      <a:picLocks noChangeAspect="1"/>
                    </pic:cNvPicPr>
                  </pic:nvPicPr>
                  <pic:blipFill>
                    <a:blip r:embed="rId9"/>
                    <a:stretch>
                      <a:fillRect/>
                    </a:stretch>
                  </pic:blipFill>
                  <pic:spPr>
                    <a:xfrm>
                      <a:off x="0" y="0"/>
                      <a:ext cx="6180455" cy="258000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从医药政策、医药产业工业产值及GDP比重、医药融资及产业互联网及医药产业互联网这几方面分析可得：中国医药行业未来发展空间广阔。</w:t>
      </w:r>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1.3、用户需求</w:t>
      </w:r>
      <w:bookmarkEnd w:id="3"/>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a、2020年医药企业使用信息化的环节</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6170" cy="2413000"/>
            <wp:effectExtent l="0" t="0" r="5080" b="6350"/>
            <wp:docPr id="11" name="图片 11" descr="C:\Users\VIP\Desktop\使用信息化药企.png使用信息化药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VIP\Desktop\使用信息化药企.png使用信息化药企"/>
                    <pic:cNvPicPr>
                      <a:picLocks noChangeAspect="1"/>
                    </pic:cNvPicPr>
                  </pic:nvPicPr>
                  <pic:blipFill>
                    <a:blip r:embed="rId10"/>
                    <a:srcRect/>
                    <a:stretch>
                      <a:fillRect/>
                    </a:stretch>
                  </pic:blipFill>
                  <pic:spPr>
                    <a:xfrm>
                      <a:off x="0" y="0"/>
                      <a:ext cx="6186170" cy="24130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整体来看，医药企业大多在销售、运输、生产等环节应用信息化工具，72.7%的医药企业应用信息化手段管控药品销售，62.6%的企业采用供应链信息化系统。而在药品的研发阶段，如新药发现、中间性试验等环节，仅有约三成应用了信息化手段。主要原因包括：①从供给端看，销售、运输管理等信息化产品成熟度相对较高，医药企业拥有较大选择余地，可以根据自己的预算及需求选择合适的第三方服务商进行合作；②从需求端看，由于药品自身研发难度大、周期长，目前大多制药企业仍处于探索如何将信息化手段应用于各药品研发环节的阶段。</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宋体" w:hAnsi="宋体" w:eastAsia="宋体" w:cs="宋体"/>
          <w:b/>
          <w:bCs w:val="0"/>
          <w:kern w:val="44"/>
          <w:sz w:val="24"/>
          <w:szCs w:val="24"/>
          <w:lang w:val="en-US" w:eastAsia="zh-CN" w:bidi="ar-SA"/>
        </w:rPr>
        <w:t>b、2020年医药企业与医药产业互联网企业的合作方向</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4900" cy="2476500"/>
            <wp:effectExtent l="0" t="0" r="6350" b="0"/>
            <wp:docPr id="12" name="图片 12" descr="与互联网合作的方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与互联网合作的方向"/>
                    <pic:cNvPicPr>
                      <a:picLocks noChangeAspect="1"/>
                    </pic:cNvPicPr>
                  </pic:nvPicPr>
                  <pic:blipFill>
                    <a:blip r:embed="rId11"/>
                    <a:stretch>
                      <a:fillRect/>
                    </a:stretch>
                  </pic:blipFill>
                  <pic:spPr>
                    <a:xfrm>
                      <a:off x="0" y="0"/>
                      <a:ext cx="6184900" cy="24765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药企与医药产业互联网企业合作的主要方向在于对零售商信息的掌握(64.6%)、运输供应链(52.5%)以及销售推广(40.4%)，目前合作服务主要集中于产业链的中下游，尤其是对零售商了解的需求超过六成，而对于偏上游的新药研发、临床研究、规模化生产等意向则比较低。原因可能在于目前医药产业互联网对偏上游的信息提供及方案解决能力目前还偏弱，优势服务仍在于供应链管理以及更下游的运营、渠道、销售、推广等领域。</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c、2020年医药企业希望产业物联网提供的服务</w:t>
      </w:r>
      <w:r>
        <w:rPr>
          <w:rFonts w:hint="eastAsia" w:cstheme="minorBidi"/>
          <w:b/>
          <w:bCs w:val="0"/>
          <w:kern w:val="44"/>
          <w:sz w:val="24"/>
          <w:szCs w:val="24"/>
          <w:lang w:val="en-US" w:eastAsia="zh-CN" w:bidi="ar-SA"/>
        </w:rPr>
        <w:br w:type="textWrapping"/>
      </w:r>
      <w:r>
        <w:rPr>
          <w:rFonts w:hint="default"/>
          <w:lang w:val="en-US" w:eastAsia="zh-CN"/>
        </w:rPr>
        <w:drawing>
          <wp:inline distT="0" distB="0" distL="114300" distR="114300">
            <wp:extent cx="6186805" cy="2649855"/>
            <wp:effectExtent l="0" t="0" r="4445" b="17145"/>
            <wp:docPr id="13" name="图片 13" descr="C:\Users\VIP\Desktop\合作内容.png合作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VIP\Desktop\合作内容.png合作内容"/>
                    <pic:cNvPicPr>
                      <a:picLocks noChangeAspect="1"/>
                    </pic:cNvPicPr>
                  </pic:nvPicPr>
                  <pic:blipFill>
                    <a:blip r:embed="rId12"/>
                    <a:srcRect/>
                    <a:stretch>
                      <a:fillRect/>
                    </a:stretch>
                  </pic:blipFill>
                  <pic:spPr>
                    <a:xfrm>
                      <a:off x="0" y="0"/>
                      <a:ext cx="6186805" cy="2649855"/>
                    </a:xfrm>
                    <a:prstGeom prst="rect">
                      <a:avLst/>
                    </a:prstGeom>
                  </pic:spPr>
                </pic:pic>
              </a:graphicData>
            </a:graphic>
          </wp:inline>
        </w:drawing>
      </w:r>
      <w:r>
        <w:rPr>
          <w:rFonts w:hint="default"/>
          <w:lang w:val="en-US" w:eastAsia="zh-CN"/>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中国医药企业与产业互联网产业的合作内容主要聚焦于掌握实时销量(80.6%)、推广服务(77.8%)以及掌握药品库存情况(68.1%)，现有合作内容中以掌握下游信息以及增强推广宣传力度为主，对于符合药品运输标准的合作仅有43.1%。但是对于未与医药产业互联网企业的药企而言，其对符合药品运输标准的需求高达77.8%，位列潜在合作内容的第一位。这说明医药产业互联网企业需要进一步提高自己在运输标准方面的服务能力，以增加其与更多药企合作的机会。</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综合分析，在现阶段对销售、运输、掌握实时销量、掌握药品库存、零售商信息的掌握情况是医药企业急需的。医药企业对符合药品运输标准等期待未来能提供服务。</w:t>
      </w:r>
      <w:bookmarkStart w:id="4" w:name="_Toc31227"/>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1.4、发展趋势</w:t>
      </w:r>
      <w:bookmarkEnd w:id="4"/>
      <w:r>
        <w:rPr>
          <w:rFonts w:hint="eastAsia"/>
          <w:b w:val="0"/>
          <w:bCs/>
          <w:lang w:val="en-US" w:eastAsia="zh-CN"/>
        </w:rPr>
        <w:br w:type="textWrapping"/>
      </w:r>
      <w:r>
        <w:rPr>
          <w:rFonts w:hint="default"/>
          <w:b w:val="0"/>
          <w:bCs/>
          <w:lang w:val="en-US" w:eastAsia="zh-CN"/>
        </w:rPr>
        <w:drawing>
          <wp:inline distT="0" distB="0" distL="114300" distR="114300">
            <wp:extent cx="6188710" cy="2600325"/>
            <wp:effectExtent l="0" t="0" r="2540" b="9525"/>
            <wp:docPr id="1" name="图片 1" descr="发展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发展趋势"/>
                    <pic:cNvPicPr>
                      <a:picLocks noChangeAspect="1"/>
                    </pic:cNvPicPr>
                  </pic:nvPicPr>
                  <pic:blipFill>
                    <a:blip r:embed="rId13"/>
                    <a:stretch>
                      <a:fillRect/>
                    </a:stretch>
                  </pic:blipFill>
                  <pic:spPr>
                    <a:xfrm>
                      <a:off x="0" y="0"/>
                      <a:ext cx="6188710" cy="2600325"/>
                    </a:xfrm>
                    <a:prstGeom prst="rect">
                      <a:avLst/>
                    </a:prstGeom>
                  </pic:spPr>
                </pic:pic>
              </a:graphicData>
            </a:graphic>
          </wp:inline>
        </w:drawing>
      </w:r>
      <w:r>
        <w:rPr>
          <w:rFonts w:hint="default"/>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医药工业企业对于下游销售推广的信息化应用最多，达到了72.7%，然而对于销售推广的合作意愿则仅为40.4%，说明药企对于销售推广方面自建平台与产业物联网合作意愿基本五五开。相比而言，55.6%的药企在掌握下游零售商信息时采用了信息化手段，但药企与医药产业互联网企业展开合作，搭建掌握下游零售商信息平台的意愿却到了64.6%，说明目前在此领域医药工业企业有着更多需求，是未来的合作热点。除此之外，目前医药工业企业对于运输供应链方面也与医药产业互联网企业有较多合作。综上所述，目前发展趋势焦点主要位于医药产业的中下游销售推广、下游零售商信息的掌控以及运输供应链的检测，其中掌控下游信息将是未来的合作热点。</w:t>
      </w:r>
      <w:bookmarkStart w:id="5" w:name="_Toc12080"/>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1.5、竞争对手发展情况</w:t>
      </w:r>
      <w:bookmarkEnd w:id="5"/>
      <w:r>
        <w:rPr>
          <w:rFonts w:hint="eastAsia"/>
          <w:b w:val="0"/>
          <w:bCs/>
          <w:lang w:val="en-US" w:eastAsia="zh-CN"/>
        </w:rPr>
        <w:br w:type="textWrapping"/>
      </w:r>
      <w:r>
        <w:rPr>
          <w:rFonts w:hint="eastAsia"/>
          <w:b w:val="0"/>
          <w:bCs/>
          <w:lang w:val="en-US" w:eastAsia="zh-CN"/>
        </w:rPr>
        <w:tab/>
      </w:r>
      <w:r>
        <w:rPr>
          <w:rFonts w:hint="eastAsia" w:asciiTheme="majorEastAsia" w:hAnsiTheme="majorEastAsia" w:eastAsiaTheme="majorEastAsia" w:cstheme="majorEastAsia"/>
          <w:b/>
          <w:bCs w:val="0"/>
          <w:kern w:val="44"/>
          <w:sz w:val="24"/>
          <w:szCs w:val="24"/>
          <w:lang w:val="en-US" w:eastAsia="zh-CN" w:bidi="ar-SA"/>
        </w:rPr>
        <w:t>a、武汉小药药医药科技有限公司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asciiTheme="majorEastAsia" w:hAnsiTheme="majorEastAsia" w:eastAsiaTheme="majorEastAsia" w:cstheme="majorEastAsia"/>
          <w:b/>
          <w:bCs w:val="0"/>
          <w:kern w:val="44"/>
          <w:sz w:val="24"/>
          <w:szCs w:val="24"/>
          <w:lang w:val="en-US" w:eastAsia="zh-CN" w:bidi="ar-SA"/>
        </w:rPr>
        <w:drawing>
          <wp:inline distT="0" distB="0" distL="114300" distR="114300">
            <wp:extent cx="6184900" cy="2747010"/>
            <wp:effectExtent l="0" t="0" r="6350" b="15240"/>
            <wp:docPr id="2" name="图片 2" descr="小药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小药药"/>
                    <pic:cNvPicPr>
                      <a:picLocks noChangeAspect="1"/>
                    </pic:cNvPicPr>
                  </pic:nvPicPr>
                  <pic:blipFill>
                    <a:blip r:embed="rId14"/>
                    <a:stretch>
                      <a:fillRect/>
                    </a:stretch>
                  </pic:blipFill>
                  <pic:spPr>
                    <a:xfrm>
                      <a:off x="0" y="0"/>
                      <a:ext cx="6184900" cy="2747010"/>
                    </a:xfrm>
                    <a:prstGeom prst="rect">
                      <a:avLst/>
                    </a:prstGeom>
                  </pic:spPr>
                </pic:pic>
              </a:graphicData>
            </a:graphic>
          </wp:inline>
        </w:drawing>
      </w:r>
      <w:r>
        <w:rPr>
          <w:rFonts w:hint="default"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武汉小药药医药科技有限公司成立于2015年，以互联网和大数据为基础构建标准化、智能化全新医药供应链体系，拥有完备的药品流通信息及药品全程追溯体系。小药药自有仓储物流供应链体系，目前已覆盖全国20多个省市，一端连接着生产厂家，一端连接着销售终端，所有与药品生产、流通、库存、销售、消费有关的信息全部汇聚到自身的药帮忙医药电商平台上，配送效率快。小药药未来将借助新兴的AI、云计算等技术，将整合更优质的产业链资源，构建医药新生态。</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b、北京星汉博纳医药科技有限公司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1725" cy="2567940"/>
            <wp:effectExtent l="0" t="0" r="9525" b="3810"/>
            <wp:docPr id="3" name="图片 3" descr="星汉博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星汉博纳"/>
                    <pic:cNvPicPr>
                      <a:picLocks noChangeAspect="1"/>
                    </pic:cNvPicPr>
                  </pic:nvPicPr>
                  <pic:blipFill>
                    <a:blip r:embed="rId15"/>
                    <a:stretch>
                      <a:fillRect/>
                    </a:stretch>
                  </pic:blipFill>
                  <pic:spPr>
                    <a:xfrm>
                      <a:off x="0" y="0"/>
                      <a:ext cx="6181725" cy="2567940"/>
                    </a:xfrm>
                    <a:prstGeom prst="rect">
                      <a:avLst/>
                    </a:prstGeom>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北京星汉博纳医药科技有限公司运营于2016年，目前已经形成以药兜网、药兜采、全国分销企业平台、1076全国互联网连锁药房、药兜智慧AI、药兜互联网医院、国内首家跨境药品零售试点资格为主营的全方位网络综合服务平台；公司利用供应链优势和对医药工业的深度服务能力，收购及赋能线下药房，从S2B向S2B2C的医药流通模式延伸，助力医药工业直达消费者，构建以“互联网医+药+险”为核心的智慧医疗运营模式，打造全链条闭环业务，将大数据的手机应用到各个链条终端，通过与头部药企合作，将C端真实需求反应至药企端，并建立全方位的健康管理服务。</w:t>
      </w:r>
    </w:p>
    <w:p>
      <w:pPr>
        <w:pStyle w:val="2"/>
        <w:bidi w:val="0"/>
        <w:rPr>
          <w:rFonts w:hint="eastAsia"/>
          <w:lang w:val="en-US" w:eastAsia="zh-CN"/>
        </w:rPr>
      </w:pPr>
      <w:bookmarkStart w:id="6" w:name="_Toc32165"/>
      <w:r>
        <w:rPr>
          <w:rFonts w:hint="eastAsia"/>
          <w:lang w:val="en-US" w:eastAsia="zh-CN"/>
        </w:rPr>
        <w:t>2、产品规划</w:t>
      </w:r>
      <w:bookmarkEnd w:id="6"/>
    </w:p>
    <w:p>
      <w:pPr>
        <w:pStyle w:val="3"/>
        <w:bidi w:val="0"/>
        <w:rPr>
          <w:rFonts w:hint="default"/>
          <w:b w:val="0"/>
          <w:bCs/>
          <w:lang w:val="en-US" w:eastAsia="zh-CN"/>
        </w:rPr>
      </w:pPr>
      <w:bookmarkStart w:id="7" w:name="_Toc25588"/>
      <w:r>
        <w:rPr>
          <w:rFonts w:hint="eastAsia"/>
          <w:b w:val="0"/>
          <w:bCs/>
          <w:lang w:val="en-US" w:eastAsia="zh-CN"/>
        </w:rPr>
        <w:t>2.1、产品定位</w:t>
      </w:r>
      <w:bookmarkEnd w:id="7"/>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面向中国医药产业市场，针对医药生产商、医药供应商、医药零售商的用户群体，提供了销售、运输、掌握实时销量、掌握药品库存、零售商信息的掌握情况等等需求的B2B产品。</w:t>
      </w:r>
    </w:p>
    <w:p>
      <w:pPr>
        <w:pStyle w:val="3"/>
        <w:bidi w:val="0"/>
        <w:rPr>
          <w:rFonts w:hint="default"/>
          <w:b w:val="0"/>
          <w:bCs/>
          <w:lang w:val="en-US" w:eastAsia="zh-CN"/>
        </w:rPr>
      </w:pPr>
      <w:bookmarkStart w:id="8" w:name="_Toc10289"/>
      <w:r>
        <w:rPr>
          <w:rFonts w:hint="eastAsia"/>
          <w:b w:val="0"/>
          <w:bCs/>
          <w:lang w:val="en-US" w:eastAsia="zh-CN"/>
        </w:rPr>
        <w:t>2.2、核心目标</w:t>
      </w:r>
      <w:bookmarkEnd w:id="8"/>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产品的核心目标为转化率</w:t>
      </w:r>
    </w:p>
    <w:p>
      <w:pPr>
        <w:pStyle w:val="3"/>
        <w:bidi w:val="0"/>
        <w:rPr>
          <w:rFonts w:hint="eastAsia"/>
          <w:b w:val="0"/>
          <w:bCs/>
          <w:vertAlign w:val="baseline"/>
          <w:lang w:val="en-US" w:eastAsia="zh-CN"/>
        </w:rPr>
      </w:pPr>
      <w:bookmarkStart w:id="9" w:name="_Toc29039"/>
      <w:r>
        <w:rPr>
          <w:rFonts w:hint="eastAsia"/>
          <w:b w:val="0"/>
          <w:bCs/>
          <w:lang w:val="en-US" w:eastAsia="zh-CN"/>
        </w:rPr>
        <w:t>2.3、产品结构</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25"/>
        <w:gridCol w:w="7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62" w:type="dxa"/>
            <w:gridSpan w:val="2"/>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center"/>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bCs w:val="0"/>
                <w:kern w:val="44"/>
                <w:sz w:val="24"/>
                <w:szCs w:val="24"/>
                <w:lang w:val="en-US" w:eastAsia="zh-CN" w:bidi="ar-SA"/>
              </w:rPr>
              <w:t>词语解释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终端</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包括诊所、单体药店、连锁药店、医院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生产商</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又称为工业，是指药品生产企业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终端推广员</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邀请终端入驻平台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工业推广员</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邀请生产商入驻平台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集采商</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用于邀请和管理终端推广员和工业推广员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省公司/市公司</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一个省仅一个省公司，业务仅在一个省内；一个市仅有一个市公司，业务仅在一个市内。省公司和市公司可以申请成为集采商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运营后台</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公司管理后台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工业分润</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是指一个工业推广员推广的生产商销售的药品交易额按比例给工业推广员分润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诊所、单体、连锁、医院收益</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是指一个终端推广员推广的终端在生产商购买的药品交易额按比例给终端推广员分润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定制生产</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是指由生产商发布药品，有配送商和终端集体采购的生产商活动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工业促销</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是指由生产商发布赠有礼品的药品，由配送商和终端单独采购生产商</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商业活动</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eastAsia"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是指由配送商发布赠有礼品的药品，由终端单独采购配送商活动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商业订单</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是指终端在配送商的下的订单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工业订单</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是指终端和配送商在生产商发布的工业活动上下的订单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定制订单</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是指终端和配送商在生产商发布的定制生产上下的订单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比价</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是指由一个配送商带有价格发布一个药品，其他配送商可以跟着采购此商品也可以调低此药品的采购价。在一个周期结束后，由调整最低采购价的配送商与生产商商谈生产此药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25" w:type="dxa"/>
            <w:vAlign w:val="center"/>
          </w:tcPr>
          <w:p>
            <w:pPr>
              <w:pStyle w:val="3"/>
              <w:keepNext/>
              <w:keepLines/>
              <w:pageBreakBefore w:val="0"/>
              <w:widowControl w:val="0"/>
              <w:kinsoku/>
              <w:wordWrap/>
              <w:overflowPunct/>
              <w:topLinePunct w:val="0"/>
              <w:autoSpaceDE/>
              <w:autoSpaceDN/>
              <w:bidi w:val="0"/>
              <w:adjustRightInd/>
              <w:snapToGrid/>
              <w:spacing w:before="0" w:after="0" w:line="312" w:lineRule="auto"/>
              <w:jc w:val="both"/>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联数</w:t>
            </w:r>
          </w:p>
        </w:tc>
        <w:tc>
          <w:tcPr>
            <w:tcW w:w="7637" w:type="dxa"/>
          </w:tcPr>
          <w:p>
            <w:pPr>
              <w:pStyle w:val="3"/>
              <w:keepNext/>
              <w:keepLines/>
              <w:pageBreakBefore w:val="0"/>
              <w:widowControl w:val="0"/>
              <w:kinsoku/>
              <w:wordWrap/>
              <w:overflowPunct/>
              <w:topLinePunct w:val="0"/>
              <w:autoSpaceDE/>
              <w:autoSpaceDN/>
              <w:bidi w:val="0"/>
              <w:adjustRightInd/>
              <w:snapToGrid/>
              <w:spacing w:before="0" w:after="0" w:line="312" w:lineRule="auto"/>
              <w:textAlignment w:val="auto"/>
              <w:rPr>
                <w:rFonts w:hint="default" w:asciiTheme="minorHAnsi" w:hAnsiTheme="minorHAnsi" w:eastAsiaTheme="minorEastAsia" w:cstheme="minorBidi"/>
                <w:b w:val="0"/>
                <w:bCs/>
                <w:kern w:val="44"/>
                <w:sz w:val="24"/>
                <w:szCs w:val="24"/>
                <w:lang w:val="en-US" w:eastAsia="zh-CN" w:bidi="ar-SA"/>
              </w:rPr>
            </w:pPr>
            <w:r>
              <w:rPr>
                <w:rFonts w:hint="eastAsia" w:asciiTheme="minorHAnsi" w:hAnsiTheme="minorHAnsi" w:eastAsiaTheme="minorEastAsia" w:cstheme="minorBidi"/>
                <w:b w:val="0"/>
                <w:bCs/>
                <w:kern w:val="44"/>
                <w:sz w:val="24"/>
                <w:szCs w:val="24"/>
                <w:lang w:val="en-US" w:eastAsia="zh-CN" w:bidi="ar-SA"/>
              </w:rPr>
              <w:t>是一种服务费的替代品。1联数=1元。由生产商和配送商从公司购买，用于做服务费。省公司、市公司、终端推广员和工业推广员在一定的周期内从公司兑换成人民币。</w:t>
            </w:r>
          </w:p>
        </w:tc>
      </w:tr>
    </w:tbl>
    <w:p>
      <w:pPr>
        <w:pStyle w:val="3"/>
        <w:bidi w:val="0"/>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ajorEastAsia" w:hAnsiTheme="majorEastAsia" w:eastAsiaTheme="majorEastAsia" w:cstheme="majorEastAsia"/>
          <w:b/>
          <w:bCs w:val="0"/>
          <w:kern w:val="44"/>
          <w:sz w:val="24"/>
          <w:szCs w:val="24"/>
          <w:lang w:val="en-US" w:eastAsia="zh-CN" w:bidi="ar-SA"/>
        </w:rPr>
        <w:t>a、省公司/市公司—h5</w:t>
      </w:r>
      <w:r>
        <w:rPr>
          <w:rFonts w:hint="eastAsia"/>
          <w:b w:val="0"/>
          <w:bCs/>
          <w:lang w:val="en-US" w:eastAsia="zh-CN"/>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50610" cy="4114800"/>
            <wp:effectExtent l="9525" t="9525" r="12065" b="9525"/>
            <wp:docPr id="14" name="图片 14" descr="C:\Users\VIP\Desktop\医药行业合集\省市公司.png省市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VIP\Desktop\医药行业合集\省市公司.png省市公司"/>
                    <pic:cNvPicPr>
                      <a:picLocks noChangeAspect="1"/>
                    </pic:cNvPicPr>
                  </pic:nvPicPr>
                  <pic:blipFill>
                    <a:blip r:embed="rId16"/>
                    <a:srcRect/>
                    <a:stretch>
                      <a:fillRect/>
                    </a:stretch>
                  </pic:blipFill>
                  <pic:spPr>
                    <a:xfrm>
                      <a:off x="0" y="0"/>
                      <a:ext cx="6150610" cy="4114800"/>
                    </a:xfrm>
                    <a:prstGeom prst="rect">
                      <a:avLst/>
                    </a:prstGeom>
                    <a:ln>
                      <a:solidFill>
                        <a:schemeClr val="bg1">
                          <a:lumMod val="85000"/>
                        </a:schemeClr>
                      </a:solidFill>
                    </a:ln>
                  </pic:spPr>
                </pic:pic>
              </a:graphicData>
            </a:graphic>
          </wp:inline>
        </w:drawing>
      </w:r>
    </w:p>
    <w:p>
      <w:pPr>
        <w:pStyle w:val="3"/>
        <w:numPr>
          <w:ilvl w:val="0"/>
          <w:numId w:val="0"/>
        </w:numPr>
        <w:bidi w:val="0"/>
        <w:ind w:firstLine="420" w:firstLineChars="0"/>
        <w:rPr>
          <w:rFonts w:hint="default"/>
          <w:lang w:val="en-US" w:eastAsia="zh-CN"/>
        </w:rPr>
      </w:pPr>
      <w:r>
        <w:rPr>
          <w:rFonts w:hint="eastAsia" w:asciiTheme="majorEastAsia" w:hAnsiTheme="majorEastAsia" w:eastAsiaTheme="majorEastAsia" w:cstheme="majorEastAsia"/>
          <w:b/>
          <w:bCs w:val="0"/>
          <w:kern w:val="44"/>
          <w:sz w:val="24"/>
          <w:szCs w:val="24"/>
          <w:lang w:val="en-US" w:eastAsia="zh-CN" w:bidi="ar-SA"/>
        </w:rPr>
        <w:t>b、工业推广员—h5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60135" cy="3668395"/>
            <wp:effectExtent l="9525" t="9525" r="21590" b="17780"/>
            <wp:docPr id="15" name="图片 15" descr="C:\Users\VIP\Desktop\医药行业合集\工业推广员.png工业推广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VIP\Desktop\医药行业合集\工业推广员.png工业推广员"/>
                    <pic:cNvPicPr>
                      <a:picLocks noChangeAspect="1"/>
                    </pic:cNvPicPr>
                  </pic:nvPicPr>
                  <pic:blipFill>
                    <a:blip r:embed="rId17"/>
                    <a:srcRect/>
                    <a:stretch>
                      <a:fillRect/>
                    </a:stretch>
                  </pic:blipFill>
                  <pic:spPr>
                    <a:xfrm>
                      <a:off x="0" y="0"/>
                      <a:ext cx="6160135" cy="366839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c、终端推广员—h5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73470" cy="3971925"/>
            <wp:effectExtent l="9525" t="9525" r="27305" b="19050"/>
            <wp:docPr id="16" name="图片 16" descr="C:\Users\VIP\Desktop\医药行业合集\终端推广员.png终端推广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VIP\Desktop\医药行业合集\终端推广员.png终端推广员"/>
                    <pic:cNvPicPr>
                      <a:picLocks noChangeAspect="1"/>
                    </pic:cNvPicPr>
                  </pic:nvPicPr>
                  <pic:blipFill>
                    <a:blip r:embed="rId18"/>
                    <a:srcRect/>
                    <a:stretch>
                      <a:fillRect/>
                    </a:stretch>
                  </pic:blipFill>
                  <pic:spPr>
                    <a:xfrm>
                      <a:off x="0" y="0"/>
                      <a:ext cx="6173470" cy="397192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d、终端—h5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63945" cy="3890010"/>
            <wp:effectExtent l="9525" t="9525" r="17780" b="24765"/>
            <wp:docPr id="17" name="图片 17" descr="C:\Users\VIP\Desktop\医药行业合集\终端.png终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VIP\Desktop\医药行业合集\终端.png终端"/>
                    <pic:cNvPicPr>
                      <a:picLocks noChangeAspect="1"/>
                    </pic:cNvPicPr>
                  </pic:nvPicPr>
                  <pic:blipFill>
                    <a:blip r:embed="rId19"/>
                    <a:srcRect/>
                    <a:stretch>
                      <a:fillRect/>
                    </a:stretch>
                  </pic:blipFill>
                  <pic:spPr>
                    <a:xfrm>
                      <a:off x="0" y="0"/>
                      <a:ext cx="6163945" cy="389001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e、配送商—h5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60135" cy="3822700"/>
            <wp:effectExtent l="9525" t="9525" r="21590" b="15875"/>
            <wp:docPr id="18" name="图片 18" descr="C:\Users\VIP\Desktop\医药行业合集\配送商.png配送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VIP\Desktop\医药行业合集\配送商.png配送商"/>
                    <pic:cNvPicPr>
                      <a:picLocks noChangeAspect="1"/>
                    </pic:cNvPicPr>
                  </pic:nvPicPr>
                  <pic:blipFill>
                    <a:blip r:embed="rId20"/>
                    <a:srcRect/>
                    <a:stretch>
                      <a:fillRect/>
                    </a:stretch>
                  </pic:blipFill>
                  <pic:spPr>
                    <a:xfrm>
                      <a:off x="0" y="0"/>
                      <a:ext cx="6160135" cy="382270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f、配送商后台—web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75375" cy="4122420"/>
            <wp:effectExtent l="9525" t="9525" r="25400" b="20955"/>
            <wp:docPr id="19" name="图片 19" descr="C:\Users\VIP\Desktop\医药行业合集\配送商后台.png配送商后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VIP\Desktop\医药行业合集\配送商后台.png配送商后台"/>
                    <pic:cNvPicPr>
                      <a:picLocks noChangeAspect="1"/>
                    </pic:cNvPicPr>
                  </pic:nvPicPr>
                  <pic:blipFill>
                    <a:blip r:embed="rId21"/>
                    <a:srcRect/>
                    <a:stretch>
                      <a:fillRect/>
                    </a:stretch>
                  </pic:blipFill>
                  <pic:spPr>
                    <a:xfrm>
                      <a:off x="0" y="0"/>
                      <a:ext cx="6175375" cy="412242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g、生产商后台—web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5535" cy="3850005"/>
            <wp:effectExtent l="9525" t="9525" r="15240" b="26670"/>
            <wp:docPr id="20" name="图片 20"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
                    <pic:cNvPicPr>
                      <a:picLocks noChangeAspect="1"/>
                    </pic:cNvPicPr>
                  </pic:nvPicPr>
                  <pic:blipFill>
                    <a:blip r:embed="rId22"/>
                    <a:stretch>
                      <a:fillRect/>
                    </a:stretch>
                  </pic:blipFill>
                  <pic:spPr>
                    <a:xfrm>
                      <a:off x="0" y="0"/>
                      <a:ext cx="6185535" cy="385000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h、运营后台—web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lang w:val="en-US" w:eastAsia="zh-CN"/>
        </w:rPr>
        <w:drawing>
          <wp:inline distT="0" distB="0" distL="114300" distR="114300">
            <wp:extent cx="6180455" cy="3956685"/>
            <wp:effectExtent l="9525" t="9525" r="20320" b="15240"/>
            <wp:docPr id="21" name="图片 2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
                    <pic:cNvPicPr>
                      <a:picLocks noChangeAspect="1"/>
                    </pic:cNvPicPr>
                  </pic:nvPicPr>
                  <pic:blipFill>
                    <a:blip r:embed="rId23"/>
                    <a:stretch>
                      <a:fillRect/>
                    </a:stretch>
                  </pic:blipFill>
                  <pic:spPr>
                    <a:xfrm>
                      <a:off x="0" y="0"/>
                      <a:ext cx="6180455" cy="3956685"/>
                    </a:xfrm>
                    <a:prstGeom prst="rect">
                      <a:avLst/>
                    </a:prstGeom>
                    <a:ln>
                      <a:solidFill>
                        <a:schemeClr val="bg1">
                          <a:lumMod val="85000"/>
                        </a:schemeClr>
                      </a:solidFill>
                    </a:ln>
                  </pic:spPr>
                </pic:pic>
              </a:graphicData>
            </a:graphic>
          </wp:inline>
        </w:drawing>
      </w:r>
    </w:p>
    <w:p>
      <w:pPr>
        <w:pStyle w:val="3"/>
        <w:bidi w:val="0"/>
        <w:rPr>
          <w:rFonts w:hint="default" w:asciiTheme="minorHAnsi" w:hAnsiTheme="minorHAnsi" w:eastAsiaTheme="minorEastAsia" w:cstheme="minorBidi"/>
          <w:b w:val="0"/>
          <w:bCs/>
          <w:kern w:val="44"/>
          <w:sz w:val="24"/>
          <w:szCs w:val="24"/>
          <w:vertAlign w:val="baseline"/>
          <w:lang w:val="en-US" w:eastAsia="zh-CN" w:bidi="ar-SA"/>
        </w:rPr>
      </w:pPr>
      <w:bookmarkStart w:id="10" w:name="_Toc8574"/>
      <w:r>
        <w:rPr>
          <w:rFonts w:hint="eastAsia"/>
          <w:b w:val="0"/>
          <w:bCs/>
          <w:lang w:val="en-US" w:eastAsia="zh-CN"/>
        </w:rPr>
        <w:t>2.4、产品路线</w:t>
      </w:r>
      <w:bookmarkEnd w:id="1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75"/>
        <w:gridCol w:w="2025"/>
        <w:gridCol w:w="5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9" w:hRule="atLeast"/>
        </w:trPr>
        <w:tc>
          <w:tcPr>
            <w:tcW w:w="2175" w:type="dxa"/>
            <w:vMerge w:val="restart"/>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第一阶段：8个月</w:t>
            </w:r>
          </w:p>
        </w:tc>
        <w:tc>
          <w:tcPr>
            <w:tcW w:w="7787" w:type="dxa"/>
            <w:gridSpan w:val="2"/>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省公司、市公司、终端推广员-h5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9"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终端-h5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云工厂—商业促销、banner、医药快讯</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进货单—商业订单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个人中心—头像、姓名、手机号、红包、消息通知、</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消息通知、关注收藏、发票信息、地址管</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9"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库存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个人中心—头像、姓名、手机号、业务推广、联数余</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额、我的钱包、公司信息、发票信息、</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49"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产品</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营销—广告消息、商品促销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报表—联数明细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系统—公司资料、实名认证、设置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运营后台-web</w:t>
            </w:r>
          </w:p>
        </w:tc>
        <w:tc>
          <w:tcPr>
            <w:tcW w:w="5762" w:type="dxa"/>
            <w:tcBorders/>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用户管理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数据报表—商业数据</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运营管理—公告信息、广告信息、用户反馈、红包活</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动列表</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系统设置—联数配置、超时配置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restart"/>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第二阶段：6个月</w:t>
            </w: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终端h5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云工厂—定制生产、工业促销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进货单—促销、工业订单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个人中心—定制生产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eastAsia="黑体"/>
                <w:lang w:val="en-US" w:eastAsia="zh-CN"/>
              </w:rPr>
            </w:pPr>
            <w:r>
              <w:rPr>
                <w:rFonts w:hint="eastAsia" w:asciiTheme="minorHAnsi" w:hAnsiTheme="minorHAnsi" w:eastAsiaTheme="minorEastAsia" w:cstheme="minorBidi"/>
                <w:b w:val="0"/>
                <w:bCs/>
                <w:kern w:val="44"/>
                <w:sz w:val="24"/>
                <w:szCs w:val="24"/>
                <w:vertAlign w:val="baseline"/>
                <w:lang w:val="en-US" w:eastAsia="zh-CN" w:bidi="ar-SA"/>
              </w:rPr>
              <w:t>配送商-h5</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云工厂—定制生产、工业促销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比价</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个人中心—关注收藏、工业订单、定制订单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营销—集采活动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生产商后台-web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订单</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产品</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营销</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报表—联数明细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设置—公司资料、实名认证、账号信息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运营后台-web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数据报表—集采分润</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营销活动—集采比价、定制生产</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运营管理—广告审核、定制药品分类</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系统设置—集采保证金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restart"/>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第三阶段：2个月</w:t>
            </w: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配送商后台-web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数据中心</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报表—数据大屏、数据平台</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eastAsia="黑体"/>
                <w:lang w:val="en-US" w:eastAsia="zh-CN"/>
              </w:rPr>
            </w:pPr>
            <w:r>
              <w:rPr>
                <w:rFonts w:hint="eastAsia" w:asciiTheme="minorHAnsi" w:hAnsiTheme="minorHAnsi" w:eastAsiaTheme="minorEastAsia" w:cstheme="minorBidi"/>
                <w:b w:val="0"/>
                <w:bCs/>
                <w:kern w:val="44"/>
                <w:sz w:val="24"/>
                <w:szCs w:val="24"/>
                <w:vertAlign w:val="baseline"/>
                <w:lang w:val="en-US" w:eastAsia="zh-CN" w:bidi="ar-SA"/>
              </w:rPr>
              <w:t>生产商后台-web</w:t>
            </w:r>
          </w:p>
        </w:tc>
        <w:tc>
          <w:tcPr>
            <w:tcW w:w="576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数据中心</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报表—数据平台</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系统—员工账号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1" w:hRule="atLeast"/>
        </w:trPr>
        <w:tc>
          <w:tcPr>
            <w:tcW w:w="2175" w:type="dxa"/>
            <w:vMerge w:val="continue"/>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p>
        </w:tc>
        <w:tc>
          <w:tcPr>
            <w:tcW w:w="202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运营后台-web</w:t>
            </w:r>
          </w:p>
        </w:tc>
        <w:tc>
          <w:tcPr>
            <w:tcW w:w="5762" w:type="dxa"/>
            <w:tcBorders/>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数据中心</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数据报表—数据平台</w:t>
            </w:r>
          </w:p>
        </w:tc>
      </w:tr>
    </w:tbl>
    <w:p>
      <w:pPr>
        <w:pStyle w:val="2"/>
        <w:bidi w:val="0"/>
        <w:rPr>
          <w:rFonts w:hint="eastAsia"/>
          <w:lang w:val="en-US" w:eastAsia="zh-CN"/>
        </w:rPr>
      </w:pPr>
      <w:bookmarkStart w:id="11" w:name="_Toc17639"/>
      <w:r>
        <w:rPr>
          <w:rFonts w:hint="eastAsia"/>
          <w:lang w:val="en-US" w:eastAsia="zh-CN"/>
        </w:rPr>
        <w:t>3、运营规划</w:t>
      </w:r>
      <w:bookmarkEnd w:id="11"/>
    </w:p>
    <w:p>
      <w:pPr>
        <w:pStyle w:val="3"/>
        <w:bidi w:val="0"/>
        <w:rPr>
          <w:rFonts w:hint="eastAsia"/>
          <w:b w:val="0"/>
          <w:bCs/>
          <w:vertAlign w:val="baseline"/>
          <w:lang w:val="en-US" w:eastAsia="zh-CN"/>
        </w:rPr>
      </w:pPr>
      <w:bookmarkStart w:id="12" w:name="_Toc31519"/>
      <w:r>
        <w:rPr>
          <w:rFonts w:hint="eastAsia"/>
          <w:b w:val="0"/>
          <w:bCs/>
          <w:lang w:val="en-US" w:eastAsia="zh-CN"/>
        </w:rPr>
        <w:t>3.1、内容运营</w:t>
      </w:r>
      <w:bookmarkEnd w:id="12"/>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75"/>
        <w:gridCol w:w="7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b w:val="0"/>
                <w:bCs/>
                <w:vertAlign w:val="baseline"/>
                <w:lang w:val="en-US" w:eastAsia="zh-CN"/>
              </w:rPr>
            </w:pPr>
            <w:r>
              <w:rPr>
                <w:rFonts w:hint="eastAsia" w:asciiTheme="minorHAnsi" w:hAnsiTheme="minorHAnsi" w:eastAsiaTheme="minorEastAsia" w:cstheme="minorBidi"/>
                <w:b w:val="0"/>
                <w:bCs/>
                <w:kern w:val="44"/>
                <w:sz w:val="24"/>
                <w:szCs w:val="24"/>
                <w:vertAlign w:val="baseline"/>
                <w:lang w:val="en-US" w:eastAsia="zh-CN" w:bidi="ar-SA"/>
              </w:rPr>
              <w:t>定制生产</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内容生产：生产商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内容传播：终端、配送商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排列顺序：默认按照结束时间升序排列。可选择结束时间升序和降序、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已定制量升序和降序、药品价格升序和降序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工业促销</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内容生产：生产商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内容传播：终端、配送商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排列顺序：默认按照销量降序排列。可选择发布时间升序和降序、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药品价格升序和降序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商业促销</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内容传播：终端</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排列顺序：默认按照销量降序排列。可选择发布时间升序和降序、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药品价格升序和降序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75"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集采比价</w:t>
            </w:r>
          </w:p>
        </w:tc>
        <w:tc>
          <w:tcPr>
            <w:tcW w:w="7787"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内容生产：配送商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内容传播：配送商</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排列顺序：默认按照已集采量降序排列。可选择集采量升序和降序、</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 xml:space="preserve">          发布时间升序和降序、比价价格升序和降序</w:t>
            </w:r>
          </w:p>
        </w:tc>
      </w:tr>
    </w:tbl>
    <w:p>
      <w:pPr>
        <w:pStyle w:val="3"/>
        <w:bidi w:val="0"/>
        <w:rPr>
          <w:rFonts w:hint="default"/>
          <w:vertAlign w:val="baseline"/>
          <w:lang w:val="en-US" w:eastAsia="zh-CN"/>
        </w:rPr>
      </w:pPr>
      <w:bookmarkStart w:id="13" w:name="_Toc1428"/>
      <w:r>
        <w:rPr>
          <w:rFonts w:hint="eastAsia"/>
          <w:b w:val="0"/>
          <w:bCs/>
          <w:lang w:val="en-US" w:eastAsia="zh-CN"/>
        </w:rPr>
        <w:t>3.2、用户运营</w:t>
      </w:r>
      <w:bookmarkEnd w:id="13"/>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vertAlign w:val="baseline"/>
          <w:lang w:val="en-US" w:eastAsia="zh-CN" w:bidi="ar-SA"/>
        </w:rPr>
        <w:t>区域性开展，以一个城市为一个区域。公司市场部和运营部相互配合洽谈配送商入驻且成为集采商，以及招选医药行业相关社会人员成为省公司或市公司且成为集采商。由于配送商员工与终端和生产商直接接触，因此配送商邀请其员工成为工业推广员和终端推广员；省公司和市公司邀请医药行业相关社会人员成为工业推广员和终端推广员。让其形成竞争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20"/>
        <w:gridCol w:w="6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asciiTheme="minorHAnsi" w:hAnsiTheme="minorHAnsi" w:eastAsiaTheme="minorEastAsia" w:cstheme="minorBidi"/>
                <w:b/>
                <w:bCs w:val="0"/>
                <w:kern w:val="44"/>
                <w:sz w:val="24"/>
                <w:szCs w:val="24"/>
                <w:vertAlign w:val="baseline"/>
                <w:lang w:val="en-US" w:eastAsia="zh-CN" w:bidi="ar-SA"/>
              </w:rPr>
              <w:t>用户关系</w:t>
            </w:r>
          </w:p>
        </w:tc>
        <w:tc>
          <w:tcPr>
            <w:tcW w:w="6642" w:type="dxa"/>
            <w:vAlign w:val="center"/>
          </w:tcPr>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heme="minorHAnsi" w:hAnsiTheme="minorHAnsi" w:eastAsiaTheme="minorEastAsia" w:cstheme="minorBidi"/>
                <w:b/>
                <w:bCs w:val="0"/>
                <w:kern w:val="44"/>
                <w:sz w:val="24"/>
                <w:szCs w:val="24"/>
                <w:vertAlign w:val="baseline"/>
                <w:lang w:val="en-US" w:eastAsia="zh-CN" w:bidi="ar-SA"/>
              </w:rPr>
            </w:pPr>
            <w:r>
              <w:rPr>
                <w:rFonts w:hint="eastAsia" w:asciiTheme="minorHAnsi" w:hAnsiTheme="minorHAnsi" w:eastAsiaTheme="minorEastAsia" w:cstheme="minorBidi"/>
                <w:b/>
                <w:bCs w:val="0"/>
                <w:kern w:val="44"/>
                <w:sz w:val="24"/>
                <w:szCs w:val="24"/>
                <w:vertAlign w:val="baseline"/>
                <w:lang w:val="en-US" w:eastAsia="zh-CN" w:bidi="ar-SA"/>
              </w:rPr>
              <w:t>用户分润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集采商邀请工业推广员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工业推广员邀请生产商</w:t>
            </w:r>
          </w:p>
        </w:tc>
        <w:tc>
          <w:tcPr>
            <w:tcW w:w="664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此集采商分润生产商交易额的千分之四</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此工业推广员分润生产商交易额千分之六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集采商邀请终端推广员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终端推广员邀请终端</w:t>
            </w:r>
          </w:p>
        </w:tc>
        <w:tc>
          <w:tcPr>
            <w:tcW w:w="6642" w:type="dxa"/>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val="0"/>
                <w:bCs/>
                <w:kern w:val="44"/>
                <w:sz w:val="24"/>
                <w:szCs w:val="24"/>
                <w:vertAlign w:val="baseline"/>
                <w:lang w:val="en-US" w:eastAsia="zh-CN" w:bidi="ar-SA"/>
              </w:rPr>
              <w:t>此集采商分润终端交易额的千分之六</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此终端推广员分润终端交易额的千分之四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62" w:type="dxa"/>
            <w:gridSpan w:val="2"/>
          </w:tcPr>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Theme="minorHAnsi" w:hAnsiTheme="minorHAnsi" w:eastAsiaTheme="minorEastAsia" w:cstheme="minorBidi"/>
                <w:b w:val="0"/>
                <w:bCs/>
                <w:kern w:val="44"/>
                <w:sz w:val="24"/>
                <w:szCs w:val="24"/>
                <w:vertAlign w:val="baseline"/>
                <w:lang w:val="en-US" w:eastAsia="zh-CN" w:bidi="ar-SA"/>
              </w:rPr>
            </w:pPr>
            <w:r>
              <w:rPr>
                <w:rFonts w:hint="eastAsia" w:asciiTheme="minorHAnsi" w:hAnsiTheme="minorHAnsi" w:eastAsiaTheme="minorEastAsia" w:cstheme="minorBidi"/>
                <w:b/>
                <w:bCs w:val="0"/>
                <w:kern w:val="44"/>
                <w:sz w:val="18"/>
                <w:szCs w:val="18"/>
                <w:vertAlign w:val="baseline"/>
                <w:lang w:val="en-US" w:eastAsia="zh-CN" w:bidi="ar-SA"/>
              </w:rPr>
              <w:t>注释</w:t>
            </w:r>
            <w:r>
              <w:rPr>
                <w:rFonts w:hint="eastAsia" w:asciiTheme="minorHAnsi" w:hAnsiTheme="minorHAnsi" w:eastAsiaTheme="minorEastAsia" w:cstheme="minorBidi"/>
                <w:b w:val="0"/>
                <w:bCs/>
                <w:kern w:val="44"/>
                <w:sz w:val="18"/>
                <w:szCs w:val="18"/>
                <w:vertAlign w:val="baseline"/>
                <w:lang w:val="en-US" w:eastAsia="zh-CN" w:bidi="ar-SA"/>
              </w:rPr>
              <w:t>：各用户的分润是从生产商的联数中扣除的服务费所分得的</w:t>
            </w:r>
          </w:p>
        </w:tc>
      </w:tr>
    </w:tbl>
    <w:p>
      <w:pPr>
        <w:pStyle w:val="3"/>
        <w:bidi w:val="0"/>
        <w:ind w:firstLine="420" w:firstLineChars="0"/>
        <w:rPr>
          <w:rFonts w:hint="eastAsia"/>
          <w:b w:val="0"/>
          <w:bCs/>
          <w:lang w:val="en-US" w:eastAsia="zh-CN"/>
        </w:rPr>
      </w:pPr>
      <w:bookmarkStart w:id="14" w:name="_Toc32761"/>
      <w:r>
        <w:rPr>
          <w:rFonts w:hint="eastAsia" w:asciiTheme="minorHAnsi" w:hAnsiTheme="minorHAnsi" w:eastAsiaTheme="minorEastAsia" w:cstheme="minorBidi"/>
          <w:b w:val="0"/>
          <w:bCs/>
          <w:kern w:val="44"/>
          <w:sz w:val="24"/>
          <w:szCs w:val="24"/>
          <w:vertAlign w:val="baseline"/>
          <w:lang w:val="en-US" w:eastAsia="zh-CN" w:bidi="ar-SA"/>
        </w:rPr>
        <w:t>在产品拉新期间，由公司给终端发红包，诱导终端入驻。然后与商业公司合作推出商业促销活动，致终端留存。</w:t>
      </w:r>
      <w:bookmarkStart w:id="22" w:name="_GoBack"/>
      <w:bookmarkEnd w:id="22"/>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b w:val="0"/>
          <w:bCs/>
          <w:lang w:val="en-US" w:eastAsia="zh-CN"/>
        </w:rPr>
        <w:t>3.4、产品运营</w:t>
      </w:r>
      <w:bookmarkEnd w:id="14"/>
    </w:p>
    <w:p>
      <w:pPr>
        <w:pStyle w:val="2"/>
        <w:bidi w:val="0"/>
        <w:rPr>
          <w:rFonts w:hint="default"/>
          <w:lang w:val="en-US" w:eastAsia="zh-CN"/>
        </w:rPr>
      </w:pPr>
      <w:bookmarkStart w:id="15" w:name="_Toc5835"/>
      <w:r>
        <w:rPr>
          <w:rFonts w:hint="eastAsia"/>
          <w:lang w:val="en-US" w:eastAsia="zh-CN"/>
        </w:rPr>
        <w:t>4、盈利模式</w:t>
      </w:r>
      <w:bookmarkEnd w:id="15"/>
      <w:r>
        <w:rPr>
          <w:rFonts w:hint="eastAsia"/>
          <w:lang w:val="en-US" w:eastAsia="zh-CN"/>
        </w:rPr>
        <w:br w:type="textWrapping"/>
      </w:r>
      <w:r>
        <w:rPr>
          <w:rFonts w:hint="eastAsia" w:asciiTheme="minorHAnsi" w:hAnsiTheme="minorHAnsi" w:eastAsiaTheme="minorEastAsia" w:cstheme="minorBidi"/>
          <w:b w:val="0"/>
          <w:bCs/>
          <w:kern w:val="44"/>
          <w:sz w:val="24"/>
          <w:szCs w:val="24"/>
          <w:vertAlign w:val="baseline"/>
          <w:lang w:val="en-US" w:eastAsia="zh-CN" w:bidi="ar-SA"/>
        </w:rPr>
        <w:t>联数打折</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asciiTheme="minorHAnsi" w:hAnsiTheme="minorHAnsi" w:eastAsiaTheme="minorEastAsia" w:cstheme="minorBidi"/>
          <w:b w:val="0"/>
          <w:bCs/>
          <w:kern w:val="44"/>
          <w:sz w:val="24"/>
          <w:szCs w:val="24"/>
          <w:vertAlign w:val="baseline"/>
          <w:lang w:val="en-US" w:eastAsia="zh-CN" w:bidi="ar-SA"/>
        </w:rPr>
        <w:t>交易额服务费</w:t>
      </w:r>
      <w:r>
        <w:rPr>
          <w:rFonts w:hint="eastAsia" w:asciiTheme="minorHAnsi" w:hAnsiTheme="minorHAnsi" w:eastAsiaTheme="minorEastAsia" w:cstheme="minorBidi"/>
          <w:b w:val="0"/>
          <w:bCs/>
          <w:kern w:val="44"/>
          <w:sz w:val="24"/>
          <w:szCs w:val="24"/>
          <w:vertAlign w:val="baseline"/>
          <w:lang w:val="en-US" w:eastAsia="zh-CN" w:bidi="ar-SA"/>
        </w:rPr>
        <w:br w:type="textWrapping"/>
      </w:r>
      <w:r>
        <w:rPr>
          <w:rFonts w:hint="eastAsia" w:cstheme="minorBidi"/>
          <w:b w:val="0"/>
          <w:bCs/>
          <w:kern w:val="44"/>
          <w:sz w:val="24"/>
          <w:szCs w:val="24"/>
          <w:vertAlign w:val="baseline"/>
          <w:lang w:val="en-US" w:eastAsia="zh-CN" w:bidi="ar-SA"/>
        </w:rPr>
        <w:t>广告</w:t>
      </w:r>
    </w:p>
    <w:p>
      <w:pPr>
        <w:pStyle w:val="2"/>
        <w:bidi w:val="0"/>
        <w:rPr>
          <w:rFonts w:hint="eastAsia"/>
          <w:lang w:val="en-US" w:eastAsia="zh-CN"/>
        </w:rPr>
      </w:pPr>
      <w:bookmarkStart w:id="16" w:name="_Toc14806"/>
      <w:r>
        <w:rPr>
          <w:rFonts w:hint="eastAsia"/>
          <w:lang w:val="en-US" w:eastAsia="zh-CN"/>
        </w:rPr>
        <w:t>5、收益与成本</w:t>
      </w:r>
      <w:bookmarkEnd w:id="16"/>
    </w:p>
    <w:p>
      <w:pPr>
        <w:pStyle w:val="3"/>
        <w:bidi w:val="0"/>
        <w:rPr>
          <w:rFonts w:hint="eastAsia"/>
          <w:b w:val="0"/>
          <w:bCs/>
          <w:lang w:val="en-US" w:eastAsia="zh-CN"/>
        </w:rPr>
      </w:pPr>
      <w:bookmarkStart w:id="17" w:name="_Toc14111"/>
      <w:r>
        <w:rPr>
          <w:rFonts w:hint="eastAsia"/>
          <w:b w:val="0"/>
          <w:bCs/>
          <w:lang w:val="en-US" w:eastAsia="zh-CN"/>
        </w:rPr>
        <w:t>5.1、收益结构</w:t>
      </w:r>
      <w:bookmarkEnd w:id="17"/>
    </w:p>
    <w:p>
      <w:pPr>
        <w:pStyle w:val="3"/>
        <w:bidi w:val="0"/>
        <w:rPr>
          <w:rFonts w:hint="eastAsia"/>
          <w:b w:val="0"/>
          <w:bCs/>
          <w:lang w:val="en-US" w:eastAsia="zh-CN"/>
        </w:rPr>
      </w:pPr>
      <w:bookmarkStart w:id="18" w:name="_Toc30010"/>
      <w:r>
        <w:rPr>
          <w:rFonts w:hint="eastAsia"/>
          <w:b w:val="0"/>
          <w:bCs/>
          <w:lang w:val="en-US" w:eastAsia="zh-CN"/>
        </w:rPr>
        <w:t>5.2、成本结构</w:t>
      </w:r>
      <w:bookmarkEnd w:id="18"/>
    </w:p>
    <w:p>
      <w:pPr>
        <w:pStyle w:val="2"/>
        <w:bidi w:val="0"/>
        <w:rPr>
          <w:rFonts w:hint="eastAsia"/>
          <w:lang w:val="en-US" w:eastAsia="zh-CN"/>
        </w:rPr>
      </w:pPr>
      <w:bookmarkStart w:id="19" w:name="_Toc7541"/>
      <w:r>
        <w:rPr>
          <w:rFonts w:hint="eastAsia"/>
          <w:lang w:val="en-US" w:eastAsia="zh-CN"/>
        </w:rPr>
        <w:t>6、SWOT分析</w:t>
      </w:r>
      <w:bookmarkEnd w:id="19"/>
    </w:p>
    <w:p>
      <w:pPr>
        <w:pStyle w:val="2"/>
        <w:bidi w:val="0"/>
        <w:rPr>
          <w:rFonts w:hint="eastAsia"/>
          <w:lang w:val="en-US" w:eastAsia="zh-CN"/>
        </w:rPr>
      </w:pPr>
      <w:bookmarkStart w:id="20" w:name="_Toc12239"/>
      <w:r>
        <w:rPr>
          <w:rFonts w:hint="eastAsia"/>
          <w:lang w:val="en-US" w:eastAsia="zh-CN"/>
        </w:rPr>
        <w:t>7、风险与对策</w:t>
      </w:r>
      <w:bookmarkEnd w:id="20"/>
    </w:p>
    <w:p>
      <w:pPr>
        <w:pStyle w:val="2"/>
        <w:bidi w:val="0"/>
        <w:rPr>
          <w:rFonts w:hint="default"/>
          <w:lang w:val="en-US" w:eastAsia="zh-CN"/>
        </w:rPr>
      </w:pPr>
      <w:bookmarkStart w:id="21" w:name="_Toc32661"/>
      <w:r>
        <w:rPr>
          <w:rFonts w:hint="eastAsia"/>
          <w:lang w:val="en-US" w:eastAsia="zh-CN"/>
        </w:rPr>
        <w:t>8、总结</w:t>
      </w:r>
      <w:bookmarkEnd w:id="21"/>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7943F0"/>
    <w:rsid w:val="002003A5"/>
    <w:rsid w:val="00322BA5"/>
    <w:rsid w:val="00AC3296"/>
    <w:rsid w:val="012E08B5"/>
    <w:rsid w:val="014173B1"/>
    <w:rsid w:val="02120E25"/>
    <w:rsid w:val="022E3A08"/>
    <w:rsid w:val="028C5964"/>
    <w:rsid w:val="029539D8"/>
    <w:rsid w:val="02DD6A1A"/>
    <w:rsid w:val="02FD3F74"/>
    <w:rsid w:val="03111D95"/>
    <w:rsid w:val="0353045F"/>
    <w:rsid w:val="03C3283A"/>
    <w:rsid w:val="04C255AB"/>
    <w:rsid w:val="054F37F7"/>
    <w:rsid w:val="05766BCA"/>
    <w:rsid w:val="059E0FB4"/>
    <w:rsid w:val="05AB50B2"/>
    <w:rsid w:val="0606731E"/>
    <w:rsid w:val="06087A61"/>
    <w:rsid w:val="061C510C"/>
    <w:rsid w:val="06E43C7A"/>
    <w:rsid w:val="06F73A4E"/>
    <w:rsid w:val="06FE2737"/>
    <w:rsid w:val="072E1FA7"/>
    <w:rsid w:val="07B73D01"/>
    <w:rsid w:val="07F22D7B"/>
    <w:rsid w:val="091138C2"/>
    <w:rsid w:val="09725A15"/>
    <w:rsid w:val="098C3CEE"/>
    <w:rsid w:val="0B026B10"/>
    <w:rsid w:val="0B891DF3"/>
    <w:rsid w:val="0C013A7F"/>
    <w:rsid w:val="0C207570"/>
    <w:rsid w:val="0C2B6A19"/>
    <w:rsid w:val="0CFC7315"/>
    <w:rsid w:val="0D233E59"/>
    <w:rsid w:val="0E430551"/>
    <w:rsid w:val="0E89067F"/>
    <w:rsid w:val="0EEA526C"/>
    <w:rsid w:val="0F7329F1"/>
    <w:rsid w:val="107C5919"/>
    <w:rsid w:val="115D7241"/>
    <w:rsid w:val="1170712D"/>
    <w:rsid w:val="11814D17"/>
    <w:rsid w:val="12641D45"/>
    <w:rsid w:val="13107B1B"/>
    <w:rsid w:val="13702D7D"/>
    <w:rsid w:val="1371772D"/>
    <w:rsid w:val="13D669B7"/>
    <w:rsid w:val="14267D04"/>
    <w:rsid w:val="146310D2"/>
    <w:rsid w:val="15677241"/>
    <w:rsid w:val="15AA5A83"/>
    <w:rsid w:val="15C21294"/>
    <w:rsid w:val="15D839C1"/>
    <w:rsid w:val="161224C6"/>
    <w:rsid w:val="16477C3B"/>
    <w:rsid w:val="175727E4"/>
    <w:rsid w:val="176713C2"/>
    <w:rsid w:val="17DB0139"/>
    <w:rsid w:val="17E83867"/>
    <w:rsid w:val="185C5B07"/>
    <w:rsid w:val="18684318"/>
    <w:rsid w:val="186B0B26"/>
    <w:rsid w:val="191505BA"/>
    <w:rsid w:val="1A010C86"/>
    <w:rsid w:val="1AEF05D4"/>
    <w:rsid w:val="1AFF5728"/>
    <w:rsid w:val="1B2205FD"/>
    <w:rsid w:val="1B353948"/>
    <w:rsid w:val="1BCC2092"/>
    <w:rsid w:val="1BF428F6"/>
    <w:rsid w:val="1CF63C99"/>
    <w:rsid w:val="1D2217F9"/>
    <w:rsid w:val="1DCF13C9"/>
    <w:rsid w:val="1EFB7D3C"/>
    <w:rsid w:val="20A231E0"/>
    <w:rsid w:val="20DA1C07"/>
    <w:rsid w:val="2100666B"/>
    <w:rsid w:val="21140974"/>
    <w:rsid w:val="21527C2D"/>
    <w:rsid w:val="21876BBA"/>
    <w:rsid w:val="21AA021B"/>
    <w:rsid w:val="2265329E"/>
    <w:rsid w:val="23A54AE6"/>
    <w:rsid w:val="23D60F59"/>
    <w:rsid w:val="23E44393"/>
    <w:rsid w:val="23F74598"/>
    <w:rsid w:val="23F83E04"/>
    <w:rsid w:val="2456065E"/>
    <w:rsid w:val="24696167"/>
    <w:rsid w:val="247F3D91"/>
    <w:rsid w:val="25AA6464"/>
    <w:rsid w:val="25D459A0"/>
    <w:rsid w:val="262759BE"/>
    <w:rsid w:val="263903F9"/>
    <w:rsid w:val="26B30726"/>
    <w:rsid w:val="26B70524"/>
    <w:rsid w:val="26F1383D"/>
    <w:rsid w:val="27004845"/>
    <w:rsid w:val="277754A7"/>
    <w:rsid w:val="289A0264"/>
    <w:rsid w:val="28BA6969"/>
    <w:rsid w:val="29160C8D"/>
    <w:rsid w:val="291C2CBF"/>
    <w:rsid w:val="29345B11"/>
    <w:rsid w:val="29BB66B8"/>
    <w:rsid w:val="29E052CE"/>
    <w:rsid w:val="29F3401B"/>
    <w:rsid w:val="2A4321AB"/>
    <w:rsid w:val="2A8526F7"/>
    <w:rsid w:val="2AF70FA6"/>
    <w:rsid w:val="2B7943F0"/>
    <w:rsid w:val="2BE3399E"/>
    <w:rsid w:val="2C415822"/>
    <w:rsid w:val="2C420356"/>
    <w:rsid w:val="2CAC13E1"/>
    <w:rsid w:val="2CDB386A"/>
    <w:rsid w:val="2CEC0783"/>
    <w:rsid w:val="2D02252C"/>
    <w:rsid w:val="2D0A7A3C"/>
    <w:rsid w:val="2DA76DA3"/>
    <w:rsid w:val="2F5816B8"/>
    <w:rsid w:val="30BF21D3"/>
    <w:rsid w:val="31A16206"/>
    <w:rsid w:val="31D8391B"/>
    <w:rsid w:val="323B38F7"/>
    <w:rsid w:val="3294641C"/>
    <w:rsid w:val="32E86102"/>
    <w:rsid w:val="330401A3"/>
    <w:rsid w:val="334A189C"/>
    <w:rsid w:val="33813149"/>
    <w:rsid w:val="33DA7055"/>
    <w:rsid w:val="34616D63"/>
    <w:rsid w:val="34B44F97"/>
    <w:rsid w:val="34DD5A75"/>
    <w:rsid w:val="35B4121C"/>
    <w:rsid w:val="35C6727F"/>
    <w:rsid w:val="36DA2D43"/>
    <w:rsid w:val="379858F9"/>
    <w:rsid w:val="37A6201E"/>
    <w:rsid w:val="38CB23BA"/>
    <w:rsid w:val="38CE1291"/>
    <w:rsid w:val="38D87DAF"/>
    <w:rsid w:val="38FC600F"/>
    <w:rsid w:val="399F4984"/>
    <w:rsid w:val="39A97F7A"/>
    <w:rsid w:val="39FF6D36"/>
    <w:rsid w:val="3A266B6C"/>
    <w:rsid w:val="3A484920"/>
    <w:rsid w:val="3AA22303"/>
    <w:rsid w:val="3AC70B40"/>
    <w:rsid w:val="3BA8098F"/>
    <w:rsid w:val="3BF856CC"/>
    <w:rsid w:val="3C21653E"/>
    <w:rsid w:val="3C3973F1"/>
    <w:rsid w:val="3C683AE0"/>
    <w:rsid w:val="3CF4037B"/>
    <w:rsid w:val="3D006644"/>
    <w:rsid w:val="3D3E0004"/>
    <w:rsid w:val="3D515010"/>
    <w:rsid w:val="3E5D25D9"/>
    <w:rsid w:val="3E852DE3"/>
    <w:rsid w:val="3E9454D2"/>
    <w:rsid w:val="3F0151EA"/>
    <w:rsid w:val="3FAE7D24"/>
    <w:rsid w:val="3FCF1CBA"/>
    <w:rsid w:val="40012976"/>
    <w:rsid w:val="404B71B6"/>
    <w:rsid w:val="40D0734D"/>
    <w:rsid w:val="41574453"/>
    <w:rsid w:val="418530B4"/>
    <w:rsid w:val="41F02FC2"/>
    <w:rsid w:val="433647C7"/>
    <w:rsid w:val="433A5511"/>
    <w:rsid w:val="43856660"/>
    <w:rsid w:val="43872AA2"/>
    <w:rsid w:val="439F0884"/>
    <w:rsid w:val="44165491"/>
    <w:rsid w:val="447F72AC"/>
    <w:rsid w:val="44F82572"/>
    <w:rsid w:val="455E231E"/>
    <w:rsid w:val="455F6CFE"/>
    <w:rsid w:val="45713E36"/>
    <w:rsid w:val="45EA2CB7"/>
    <w:rsid w:val="46204C97"/>
    <w:rsid w:val="467E7271"/>
    <w:rsid w:val="479061A9"/>
    <w:rsid w:val="47A05128"/>
    <w:rsid w:val="48DE06A5"/>
    <w:rsid w:val="491A774B"/>
    <w:rsid w:val="49356ECF"/>
    <w:rsid w:val="4B674908"/>
    <w:rsid w:val="4C477109"/>
    <w:rsid w:val="4C684793"/>
    <w:rsid w:val="4D507DF0"/>
    <w:rsid w:val="4DE056D2"/>
    <w:rsid w:val="4E3A2B01"/>
    <w:rsid w:val="4E6866DA"/>
    <w:rsid w:val="4E6C5D89"/>
    <w:rsid w:val="4E7529F9"/>
    <w:rsid w:val="4E793FC0"/>
    <w:rsid w:val="4F447464"/>
    <w:rsid w:val="4FDF059C"/>
    <w:rsid w:val="500475D1"/>
    <w:rsid w:val="501508DA"/>
    <w:rsid w:val="501B6F6F"/>
    <w:rsid w:val="505D6857"/>
    <w:rsid w:val="50F21AC6"/>
    <w:rsid w:val="515E2306"/>
    <w:rsid w:val="516F7A01"/>
    <w:rsid w:val="520E177F"/>
    <w:rsid w:val="529E72BD"/>
    <w:rsid w:val="52BC239D"/>
    <w:rsid w:val="53512201"/>
    <w:rsid w:val="53A02553"/>
    <w:rsid w:val="53E41E22"/>
    <w:rsid w:val="53F23347"/>
    <w:rsid w:val="545033FB"/>
    <w:rsid w:val="54D83C8F"/>
    <w:rsid w:val="551C6A72"/>
    <w:rsid w:val="569F018D"/>
    <w:rsid w:val="5784235F"/>
    <w:rsid w:val="57B426D8"/>
    <w:rsid w:val="58631A8A"/>
    <w:rsid w:val="58EF0D19"/>
    <w:rsid w:val="58FD71C0"/>
    <w:rsid w:val="59D14376"/>
    <w:rsid w:val="5B24248C"/>
    <w:rsid w:val="5B8F1FB4"/>
    <w:rsid w:val="5C333074"/>
    <w:rsid w:val="5C4B0A7D"/>
    <w:rsid w:val="5CD64F5F"/>
    <w:rsid w:val="5D1473AA"/>
    <w:rsid w:val="5E765595"/>
    <w:rsid w:val="5EBB5810"/>
    <w:rsid w:val="5F3E0805"/>
    <w:rsid w:val="604136BA"/>
    <w:rsid w:val="60840054"/>
    <w:rsid w:val="609564E1"/>
    <w:rsid w:val="60A24905"/>
    <w:rsid w:val="61174206"/>
    <w:rsid w:val="61A1210A"/>
    <w:rsid w:val="621E036D"/>
    <w:rsid w:val="622B7B48"/>
    <w:rsid w:val="62A15D35"/>
    <w:rsid w:val="62B16539"/>
    <w:rsid w:val="62EC089E"/>
    <w:rsid w:val="63041C84"/>
    <w:rsid w:val="63EB4C27"/>
    <w:rsid w:val="63F54BDC"/>
    <w:rsid w:val="642D2C75"/>
    <w:rsid w:val="643A537B"/>
    <w:rsid w:val="64CD4EA8"/>
    <w:rsid w:val="65576DC8"/>
    <w:rsid w:val="655D095D"/>
    <w:rsid w:val="659E19A0"/>
    <w:rsid w:val="65BF45DB"/>
    <w:rsid w:val="65D130CD"/>
    <w:rsid w:val="65F0743B"/>
    <w:rsid w:val="663F64C6"/>
    <w:rsid w:val="665D3A77"/>
    <w:rsid w:val="66A0006C"/>
    <w:rsid w:val="66DA7166"/>
    <w:rsid w:val="67401FC1"/>
    <w:rsid w:val="67B97249"/>
    <w:rsid w:val="67C16F6B"/>
    <w:rsid w:val="683220BA"/>
    <w:rsid w:val="689F1C45"/>
    <w:rsid w:val="68FD5D4B"/>
    <w:rsid w:val="694A47F2"/>
    <w:rsid w:val="69953F76"/>
    <w:rsid w:val="69C04A8D"/>
    <w:rsid w:val="69D14CAC"/>
    <w:rsid w:val="6A023313"/>
    <w:rsid w:val="6B8209B6"/>
    <w:rsid w:val="6BA108C5"/>
    <w:rsid w:val="6BB1392E"/>
    <w:rsid w:val="6C3859F2"/>
    <w:rsid w:val="6C952577"/>
    <w:rsid w:val="6D476344"/>
    <w:rsid w:val="6DE46D1A"/>
    <w:rsid w:val="6E2367FD"/>
    <w:rsid w:val="6E34368D"/>
    <w:rsid w:val="6E8E3403"/>
    <w:rsid w:val="6EA41FDB"/>
    <w:rsid w:val="6EB01AA5"/>
    <w:rsid w:val="6EDD5BDD"/>
    <w:rsid w:val="6F1C47DF"/>
    <w:rsid w:val="6F2C1937"/>
    <w:rsid w:val="6F4D28E3"/>
    <w:rsid w:val="704B02FC"/>
    <w:rsid w:val="70F425B6"/>
    <w:rsid w:val="713C61BE"/>
    <w:rsid w:val="713E78C1"/>
    <w:rsid w:val="716354D4"/>
    <w:rsid w:val="719F146F"/>
    <w:rsid w:val="72242189"/>
    <w:rsid w:val="729A3B32"/>
    <w:rsid w:val="72A16992"/>
    <w:rsid w:val="72AE412A"/>
    <w:rsid w:val="72EA058D"/>
    <w:rsid w:val="72F06828"/>
    <w:rsid w:val="735B60BB"/>
    <w:rsid w:val="74E16369"/>
    <w:rsid w:val="75863E45"/>
    <w:rsid w:val="75A57A9A"/>
    <w:rsid w:val="75BE5BF8"/>
    <w:rsid w:val="76096358"/>
    <w:rsid w:val="76586D4B"/>
    <w:rsid w:val="76621046"/>
    <w:rsid w:val="770F2A84"/>
    <w:rsid w:val="773D60C2"/>
    <w:rsid w:val="773E178D"/>
    <w:rsid w:val="775851C1"/>
    <w:rsid w:val="79D93969"/>
    <w:rsid w:val="7ACA3551"/>
    <w:rsid w:val="7ACB509B"/>
    <w:rsid w:val="7BD0082F"/>
    <w:rsid w:val="7C1B45BA"/>
    <w:rsid w:val="7C3F2638"/>
    <w:rsid w:val="7C52103C"/>
    <w:rsid w:val="7C7F5179"/>
    <w:rsid w:val="7C9853F8"/>
    <w:rsid w:val="7CC427F2"/>
    <w:rsid w:val="7EEF4A08"/>
    <w:rsid w:val="7EFC3E53"/>
    <w:rsid w:val="7F1F26B5"/>
    <w:rsid w:val="7F366192"/>
    <w:rsid w:val="7F3A5FDA"/>
    <w:rsid w:val="7F5C7A5E"/>
    <w:rsid w:val="7FEC26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toc 1"/>
    <w:basedOn w:val="1"/>
    <w:next w:val="1"/>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118</TotalTime>
  <ScaleCrop>false</ScaleCrop>
  <LinksUpToDate>false</LinksUpToDate>
  <CharactersWithSpaces>0</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2020-12-24T06:44:00Z</dcterms:created>
  <dc:creator>VIP</dc:creator>
  <cp:lastModifiedBy>VIP</cp:lastModifiedBy>
  <dcterms:modified xsi:type="dcterms:W3CDTF">2020-12-28T08:09:12Z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