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val="0"/>
          <w:bCs w:val="0"/>
          <w:sz w:val="24"/>
          <w:szCs w:val="24"/>
          <w:lang w:val="en-US" w:eastAsia="zh-CN"/>
        </w:rPr>
      </w:pPr>
      <w:r>
        <w:rPr>
          <w:rFonts w:hint="eastAsia"/>
          <w:b/>
          <w:bCs/>
          <w:sz w:val="52"/>
          <w:szCs w:val="52"/>
          <w:lang w:val="en-US" w:eastAsia="zh-CN"/>
        </w:rPr>
        <w:t>中国医药产业互联网商业需求文档</w:t>
      </w:r>
      <w:r>
        <w:rPr>
          <w:rFonts w:hint="eastAsia"/>
          <w:b/>
          <w:bCs/>
          <w:sz w:val="56"/>
          <w:szCs w:val="96"/>
          <w:lang w:val="en-US" w:eastAsia="zh-CN"/>
        </w:rPr>
        <w:br w:type="textWrapping"/>
      </w:r>
      <w:r>
        <w:rPr>
          <w:rFonts w:hint="eastAsia"/>
          <w:b w:val="0"/>
          <w:bCs w:val="0"/>
          <w:sz w:val="24"/>
          <w:szCs w:val="24"/>
          <w:lang w:val="en-US" w:eastAsia="zh-CN"/>
        </w:rPr>
        <w:t>(数据从艾瑞网和IT桔子查询得到)</w:t>
      </w:r>
    </w:p>
    <w:p>
      <w:pPr>
        <w:bidi w:val="0"/>
        <w:jc w:val="both"/>
        <w:rPr>
          <w:rFonts w:hint="eastAsia"/>
          <w:b/>
          <w:bCs/>
          <w:sz w:val="56"/>
          <w:szCs w:val="96"/>
          <w:lang w:val="en-US" w:eastAsia="zh-CN"/>
        </w:rPr>
      </w:pPr>
    </w:p>
    <w:p>
      <w:pPr>
        <w:bidi w:val="0"/>
        <w:jc w:val="both"/>
        <w:rPr>
          <w:rFonts w:hint="eastAsia"/>
          <w:b/>
          <w:bCs/>
          <w:sz w:val="56"/>
          <w:szCs w:val="96"/>
          <w:lang w:val="en-US" w:eastAsia="zh-CN"/>
        </w:rPr>
      </w:pPr>
    </w:p>
    <w:sdt>
      <w:sdtPr>
        <w:rPr>
          <w:rFonts w:ascii="宋体" w:hAnsi="宋体" w:eastAsia="宋体" w:cstheme="minorBidi"/>
          <w:kern w:val="2"/>
          <w:sz w:val="21"/>
          <w:szCs w:val="24"/>
          <w:lang w:val="en-US" w:eastAsia="zh-CN" w:bidi="ar-SA"/>
        </w:rPr>
        <w:id w:val="147469857"/>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_Toc8273 </w:instrText>
          </w:r>
          <w:r>
            <w:rPr>
              <w:rFonts w:hint="eastAsia"/>
              <w:lang w:val="en-US" w:eastAsia="zh-CN"/>
            </w:rPr>
            <w:fldChar w:fldCharType="separate"/>
          </w:r>
          <w:r>
            <w:rPr>
              <w:rFonts w:hint="eastAsia"/>
              <w:lang w:val="en-US" w:eastAsia="zh-CN"/>
            </w:rPr>
            <w:t>1、方案背景</w:t>
          </w:r>
          <w:r>
            <w:tab/>
          </w:r>
          <w:r>
            <w:fldChar w:fldCharType="begin"/>
          </w:r>
          <w:r>
            <w:instrText xml:space="preserve"> PAGEREF _Toc8273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_Toc20852 </w:instrText>
          </w:r>
          <w:r>
            <w:rPr>
              <w:rFonts w:hint="eastAsia"/>
              <w:lang w:val="en-US" w:eastAsia="zh-CN"/>
            </w:rPr>
            <w:fldChar w:fldCharType="separate"/>
          </w:r>
          <w:r>
            <w:rPr>
              <w:rFonts w:hint="eastAsia"/>
              <w:lang w:val="en-US" w:eastAsia="zh-CN"/>
            </w:rPr>
            <w:t>1.1、行业背景和现状</w:t>
          </w:r>
          <w:r>
            <w:tab/>
          </w:r>
          <w:r>
            <w:fldChar w:fldCharType="begin"/>
          </w:r>
          <w:r>
            <w:instrText xml:space="preserve"> PAGEREF _Toc20852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_Toc23066 </w:instrText>
          </w:r>
          <w:r>
            <w:rPr>
              <w:rFonts w:hint="eastAsia"/>
              <w:lang w:val="en-US" w:eastAsia="zh-CN"/>
            </w:rPr>
            <w:fldChar w:fldCharType="separate"/>
          </w:r>
          <w:r>
            <w:rPr>
              <w:rFonts w:hint="eastAsia"/>
              <w:lang w:val="en-US" w:eastAsia="zh-CN"/>
            </w:rPr>
            <w:t>1.2、商业价值/市场规模</w:t>
          </w:r>
          <w:r>
            <w:tab/>
          </w:r>
          <w:r>
            <w:fldChar w:fldCharType="begin"/>
          </w:r>
          <w:r>
            <w:instrText xml:space="preserve"> PAGEREF _Toc23066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_Toc15273 </w:instrText>
          </w:r>
          <w:r>
            <w:rPr>
              <w:rFonts w:hint="eastAsia"/>
              <w:lang w:val="en-US" w:eastAsia="zh-CN"/>
            </w:rPr>
            <w:fldChar w:fldCharType="separate"/>
          </w:r>
          <w:r>
            <w:rPr>
              <w:rFonts w:hint="eastAsia"/>
              <w:lang w:val="en-US" w:eastAsia="zh-CN"/>
            </w:rPr>
            <w:t>1.3、用户需求</w:t>
          </w:r>
          <w:r>
            <w:tab/>
          </w:r>
          <w:r>
            <w:fldChar w:fldCharType="begin"/>
          </w:r>
          <w:r>
            <w:instrText xml:space="preserve"> PAGEREF _Toc15273 </w:instrText>
          </w:r>
          <w:r>
            <w:fldChar w:fldCharType="separate"/>
          </w:r>
          <w:r>
            <w:t>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_Toc31227 </w:instrText>
          </w:r>
          <w:r>
            <w:rPr>
              <w:rFonts w:hint="eastAsia"/>
              <w:lang w:val="en-US" w:eastAsia="zh-CN"/>
            </w:rPr>
            <w:fldChar w:fldCharType="separate"/>
          </w:r>
          <w:r>
            <w:rPr>
              <w:rFonts w:hint="eastAsia"/>
              <w:lang w:val="en-US" w:eastAsia="zh-CN"/>
            </w:rPr>
            <w:t>1.4、发展趋势</w:t>
          </w:r>
          <w:r>
            <w:tab/>
          </w:r>
          <w:r>
            <w:fldChar w:fldCharType="begin"/>
          </w:r>
          <w:r>
            <w:instrText xml:space="preserve"> PAGEREF _Toc31227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1.5、竞争对手发展情况</w:t>
          </w:r>
          <w:r>
            <w:tab/>
          </w:r>
          <w:r>
            <w:fldChar w:fldCharType="begin"/>
          </w:r>
          <w:r>
            <w:instrText xml:space="preserve"> PAGEREF _Toc12080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_Toc32165 </w:instrText>
          </w:r>
          <w:r>
            <w:rPr>
              <w:rFonts w:hint="eastAsia"/>
              <w:lang w:val="en-US" w:eastAsia="zh-CN"/>
            </w:rPr>
            <w:fldChar w:fldCharType="separate"/>
          </w:r>
          <w:r>
            <w:rPr>
              <w:rFonts w:hint="eastAsia"/>
              <w:lang w:val="en-US" w:eastAsia="zh-CN"/>
            </w:rPr>
            <w:t>2、产品规划</w:t>
          </w:r>
          <w:r>
            <w:tab/>
          </w:r>
          <w:r>
            <w:fldChar w:fldCharType="begin"/>
          </w:r>
          <w:r>
            <w:instrText xml:space="preserve"> PAGEREF _Toc32165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_Toc25588 </w:instrText>
          </w:r>
          <w:r>
            <w:rPr>
              <w:rFonts w:hint="eastAsia"/>
              <w:lang w:val="en-US" w:eastAsia="zh-CN"/>
            </w:rPr>
            <w:fldChar w:fldCharType="separate"/>
          </w:r>
          <w:r>
            <w:rPr>
              <w:rFonts w:hint="eastAsia"/>
              <w:lang w:val="en-US" w:eastAsia="zh-CN"/>
            </w:rPr>
            <w:t>2.1、产品定位</w:t>
          </w:r>
          <w:r>
            <w:tab/>
          </w:r>
          <w:r>
            <w:fldChar w:fldCharType="begin"/>
          </w:r>
          <w:r>
            <w:instrText xml:space="preserve"> PAGEREF _Toc25588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_Toc10289 </w:instrText>
          </w:r>
          <w:r>
            <w:rPr>
              <w:rFonts w:hint="eastAsia"/>
              <w:lang w:val="en-US" w:eastAsia="zh-CN"/>
            </w:rPr>
            <w:fldChar w:fldCharType="separate"/>
          </w:r>
          <w:r>
            <w:rPr>
              <w:rFonts w:hint="eastAsia"/>
              <w:lang w:val="en-US" w:eastAsia="zh-CN"/>
            </w:rPr>
            <w:t>2.2、核心目标</w:t>
          </w:r>
          <w:r>
            <w:tab/>
          </w:r>
          <w:r>
            <w:fldChar w:fldCharType="begin"/>
          </w:r>
          <w:r>
            <w:instrText xml:space="preserve"> PAGEREF _Toc10289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_Toc29039 </w:instrText>
          </w:r>
          <w:r>
            <w:rPr>
              <w:rFonts w:hint="eastAsia"/>
              <w:lang w:val="en-US" w:eastAsia="zh-CN"/>
            </w:rPr>
            <w:fldChar w:fldCharType="separate"/>
          </w:r>
          <w:r>
            <w:rPr>
              <w:rFonts w:hint="eastAsia"/>
              <w:lang w:val="en-US" w:eastAsia="zh-CN"/>
            </w:rPr>
            <w:t>2.3、产品结构</w:t>
          </w:r>
          <w:r>
            <w:tab/>
          </w:r>
          <w:r>
            <w:fldChar w:fldCharType="begin"/>
          </w:r>
          <w:r>
            <w:instrText xml:space="preserve"> PAGEREF _Toc29039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_Toc8574 </w:instrText>
          </w:r>
          <w:r>
            <w:rPr>
              <w:rFonts w:hint="eastAsia"/>
              <w:lang w:val="en-US" w:eastAsia="zh-CN"/>
            </w:rPr>
            <w:fldChar w:fldCharType="separate"/>
          </w:r>
          <w:r>
            <w:rPr>
              <w:rFonts w:hint="eastAsia"/>
              <w:lang w:val="en-US" w:eastAsia="zh-CN"/>
            </w:rPr>
            <w:t>2.4、产品路线</w:t>
          </w:r>
          <w:r>
            <w:tab/>
          </w:r>
          <w:r>
            <w:fldChar w:fldCharType="begin"/>
          </w:r>
          <w:r>
            <w:instrText xml:space="preserve"> PAGEREF _Toc8574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_Toc17639 </w:instrText>
          </w:r>
          <w:r>
            <w:rPr>
              <w:rFonts w:hint="eastAsia"/>
              <w:lang w:val="en-US" w:eastAsia="zh-CN"/>
            </w:rPr>
            <w:fldChar w:fldCharType="separate"/>
          </w:r>
          <w:r>
            <w:rPr>
              <w:rFonts w:hint="eastAsia"/>
              <w:lang w:val="en-US" w:eastAsia="zh-CN"/>
            </w:rPr>
            <w:t>3、运营规划</w:t>
          </w:r>
          <w:r>
            <w:tab/>
          </w:r>
          <w:r>
            <w:fldChar w:fldCharType="begin"/>
          </w:r>
          <w:r>
            <w:instrText xml:space="preserve"> PAGEREF _Toc17639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_Toc31519 </w:instrText>
          </w:r>
          <w:r>
            <w:rPr>
              <w:rFonts w:hint="eastAsia"/>
              <w:lang w:val="en-US" w:eastAsia="zh-CN"/>
            </w:rPr>
            <w:fldChar w:fldCharType="separate"/>
          </w:r>
          <w:r>
            <w:rPr>
              <w:rFonts w:hint="eastAsia"/>
              <w:lang w:val="en-US" w:eastAsia="zh-CN"/>
            </w:rPr>
            <w:t>3.1、内容运营</w:t>
          </w:r>
          <w:r>
            <w:tab/>
          </w:r>
          <w:r>
            <w:fldChar w:fldCharType="begin"/>
          </w:r>
          <w:r>
            <w:instrText xml:space="preserve"> PAGEREF _Toc31519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_Toc1428 </w:instrText>
          </w:r>
          <w:r>
            <w:rPr>
              <w:rFonts w:hint="eastAsia"/>
              <w:lang w:val="en-US" w:eastAsia="zh-CN"/>
            </w:rPr>
            <w:fldChar w:fldCharType="separate"/>
          </w:r>
          <w:r>
            <w:rPr>
              <w:rFonts w:hint="eastAsia"/>
              <w:lang w:val="en-US" w:eastAsia="zh-CN"/>
            </w:rPr>
            <w:t>3.2、用户运营</w:t>
          </w:r>
          <w:r>
            <w:tab/>
          </w:r>
          <w:r>
            <w:fldChar w:fldCharType="begin"/>
          </w:r>
          <w:r>
            <w:instrText xml:space="preserve"> PAGEREF _Toc1428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_Toc29579 </w:instrText>
          </w:r>
          <w:r>
            <w:rPr>
              <w:rFonts w:hint="eastAsia"/>
              <w:lang w:val="en-US" w:eastAsia="zh-CN"/>
            </w:rPr>
            <w:fldChar w:fldCharType="separate"/>
          </w:r>
          <w:r>
            <w:rPr>
              <w:rFonts w:hint="eastAsia"/>
              <w:lang w:val="en-US" w:eastAsia="zh-CN"/>
            </w:rPr>
            <w:t>3.3、社区运营</w:t>
          </w:r>
          <w:r>
            <w:tab/>
          </w:r>
          <w:r>
            <w:fldChar w:fldCharType="begin"/>
          </w:r>
          <w:r>
            <w:instrText xml:space="preserve"> PAGEREF _Toc29579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_Toc911 </w:instrText>
          </w:r>
          <w:r>
            <w:rPr>
              <w:rFonts w:hint="eastAsia"/>
              <w:lang w:val="en-US" w:eastAsia="zh-CN"/>
            </w:rPr>
            <w:fldChar w:fldCharType="separate"/>
          </w:r>
          <w:r>
            <w:rPr>
              <w:rFonts w:hint="eastAsia"/>
              <w:lang w:val="en-US" w:eastAsia="zh-CN"/>
            </w:rPr>
            <w:t>3.4、活动运营</w:t>
          </w:r>
          <w:r>
            <w:tab/>
          </w:r>
          <w:r>
            <w:fldChar w:fldCharType="begin"/>
          </w:r>
          <w:r>
            <w:instrText xml:space="preserve"> PAGEREF _Toc911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_Toc32761 </w:instrText>
          </w:r>
          <w:r>
            <w:rPr>
              <w:rFonts w:hint="eastAsia"/>
              <w:lang w:val="en-US" w:eastAsia="zh-CN"/>
            </w:rPr>
            <w:fldChar w:fldCharType="separate"/>
          </w:r>
          <w:r>
            <w:rPr>
              <w:rFonts w:hint="eastAsia"/>
              <w:lang w:val="en-US" w:eastAsia="zh-CN"/>
            </w:rPr>
            <w:t>3.5、产品运营</w:t>
          </w:r>
          <w:r>
            <w:tab/>
          </w:r>
          <w:r>
            <w:fldChar w:fldCharType="begin"/>
          </w:r>
          <w:r>
            <w:instrText xml:space="preserve"> PAGEREF _Toc32761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_Toc5835 </w:instrText>
          </w:r>
          <w:r>
            <w:rPr>
              <w:rFonts w:hint="eastAsia"/>
              <w:lang w:val="en-US" w:eastAsia="zh-CN"/>
            </w:rPr>
            <w:fldChar w:fldCharType="separate"/>
          </w:r>
          <w:r>
            <w:rPr>
              <w:rFonts w:hint="eastAsia"/>
              <w:lang w:val="en-US" w:eastAsia="zh-CN"/>
            </w:rPr>
            <w:t>4、盈利模式</w:t>
          </w:r>
          <w:r>
            <w:tab/>
          </w:r>
          <w:r>
            <w:fldChar w:fldCharType="begin"/>
          </w:r>
          <w:r>
            <w:instrText xml:space="preserve"> PAGEREF _Toc5835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_Toc14806 </w:instrText>
          </w:r>
          <w:r>
            <w:rPr>
              <w:rFonts w:hint="eastAsia"/>
              <w:lang w:val="en-US" w:eastAsia="zh-CN"/>
            </w:rPr>
            <w:fldChar w:fldCharType="separate"/>
          </w:r>
          <w:r>
            <w:rPr>
              <w:rFonts w:hint="eastAsia"/>
              <w:lang w:val="en-US" w:eastAsia="zh-CN"/>
            </w:rPr>
            <w:t>5、收益与成本</w:t>
          </w:r>
          <w:r>
            <w:tab/>
          </w:r>
          <w:r>
            <w:fldChar w:fldCharType="begin"/>
          </w:r>
          <w:r>
            <w:instrText xml:space="preserve"> PAGEREF _Toc14806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_Toc14111 </w:instrText>
          </w:r>
          <w:r>
            <w:rPr>
              <w:rFonts w:hint="eastAsia"/>
              <w:lang w:val="en-US" w:eastAsia="zh-CN"/>
            </w:rPr>
            <w:fldChar w:fldCharType="separate"/>
          </w:r>
          <w:r>
            <w:rPr>
              <w:rFonts w:hint="eastAsia"/>
              <w:lang w:val="en-US" w:eastAsia="zh-CN"/>
            </w:rPr>
            <w:t>5.1、收益结构</w:t>
          </w:r>
          <w:r>
            <w:tab/>
          </w:r>
          <w:r>
            <w:fldChar w:fldCharType="begin"/>
          </w:r>
          <w:r>
            <w:instrText xml:space="preserve"> PAGEREF _Toc14111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_Toc30010 </w:instrText>
          </w:r>
          <w:r>
            <w:rPr>
              <w:rFonts w:hint="eastAsia"/>
              <w:lang w:val="en-US" w:eastAsia="zh-CN"/>
            </w:rPr>
            <w:fldChar w:fldCharType="separate"/>
          </w:r>
          <w:r>
            <w:rPr>
              <w:rFonts w:hint="eastAsia"/>
              <w:lang w:val="en-US" w:eastAsia="zh-CN"/>
            </w:rPr>
            <w:t>5.2、成本结构</w:t>
          </w:r>
          <w:r>
            <w:tab/>
          </w:r>
          <w:r>
            <w:fldChar w:fldCharType="begin"/>
          </w:r>
          <w:r>
            <w:instrText xml:space="preserve"> PAGEREF _Toc30010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_Toc7541 </w:instrText>
          </w:r>
          <w:r>
            <w:rPr>
              <w:rFonts w:hint="eastAsia"/>
              <w:lang w:val="en-US" w:eastAsia="zh-CN"/>
            </w:rPr>
            <w:fldChar w:fldCharType="separate"/>
          </w:r>
          <w:r>
            <w:rPr>
              <w:rFonts w:hint="eastAsia"/>
              <w:lang w:val="en-US" w:eastAsia="zh-CN"/>
            </w:rPr>
            <w:t>6、SWOT分析</w:t>
          </w:r>
          <w:r>
            <w:tab/>
          </w:r>
          <w:r>
            <w:fldChar w:fldCharType="begin"/>
          </w:r>
          <w:r>
            <w:instrText xml:space="preserve"> PAGEREF _Toc7541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_Toc12239 </w:instrText>
          </w:r>
          <w:r>
            <w:rPr>
              <w:rFonts w:hint="eastAsia"/>
              <w:lang w:val="en-US" w:eastAsia="zh-CN"/>
            </w:rPr>
            <w:fldChar w:fldCharType="separate"/>
          </w:r>
          <w:r>
            <w:rPr>
              <w:rFonts w:hint="eastAsia"/>
              <w:lang w:val="en-US" w:eastAsia="zh-CN"/>
            </w:rPr>
            <w:t>7、风险与对策</w:t>
          </w:r>
          <w:r>
            <w:tab/>
          </w:r>
          <w:r>
            <w:fldChar w:fldCharType="begin"/>
          </w:r>
          <w:r>
            <w:instrText xml:space="preserve"> PAGEREF _Toc12239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_Toc32661 </w:instrText>
          </w:r>
          <w:r>
            <w:rPr>
              <w:rFonts w:hint="eastAsia"/>
              <w:lang w:val="en-US" w:eastAsia="zh-CN"/>
            </w:rPr>
            <w:fldChar w:fldCharType="separate"/>
          </w:r>
          <w:r>
            <w:rPr>
              <w:rFonts w:hint="eastAsia"/>
              <w:lang w:val="en-US" w:eastAsia="zh-CN"/>
            </w:rPr>
            <w:t>8、总结</w:t>
          </w:r>
          <w:r>
            <w:tab/>
          </w:r>
          <w:r>
            <w:fldChar w:fldCharType="begin"/>
          </w:r>
          <w:r>
            <w:instrText xml:space="preserve"> PAGEREF _Toc32661 </w:instrText>
          </w:r>
          <w:r>
            <w:fldChar w:fldCharType="separate"/>
          </w:r>
          <w:r>
            <w:t>10</w:t>
          </w:r>
          <w:r>
            <w:fldChar w:fldCharType="end"/>
          </w:r>
          <w:r>
            <w:rPr>
              <w:rFonts w:hint="eastAsia"/>
              <w:lang w:val="en-US" w:eastAsia="zh-CN"/>
            </w:rPr>
            <w:fldChar w:fldCharType="end"/>
          </w:r>
        </w:p>
        <w:p>
          <w:pPr>
            <w:bidi w:val="0"/>
            <w:rPr>
              <w:rFonts w:hint="eastAsia"/>
              <w:lang w:val="en-US" w:eastAsia="zh-CN"/>
            </w:rPr>
          </w:pPr>
          <w:r>
            <w:rPr>
              <w:rFonts w:hint="eastAsia"/>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line="360" w:lineRule="auto"/>
        <w:textAlignment w:val="auto"/>
        <w:rPr>
          <w:rFonts w:hint="default"/>
          <w:b w:val="0"/>
          <w:bCs/>
          <w:sz w:val="24"/>
          <w:szCs w:val="24"/>
          <w:lang w:val="en-US" w:eastAsia="zh-CN"/>
        </w:rPr>
      </w:pPr>
      <w:bookmarkStart w:id="0" w:name="_Toc8273"/>
      <w:r>
        <w:rPr>
          <w:rFonts w:hint="eastAsia"/>
          <w:lang w:val="en-US" w:eastAsia="zh-CN"/>
        </w:rPr>
        <w:t>1、方案背景</w:t>
      </w:r>
      <w:bookmarkEnd w:id="0"/>
      <w:bookmarkStart w:id="1" w:name="_Toc20852"/>
      <w:r>
        <w:rPr>
          <w:rFonts w:hint="eastAsia"/>
          <w:lang w:val="en-US" w:eastAsia="zh-CN"/>
        </w:rPr>
        <w:br w:type="textWrapping"/>
      </w:r>
      <w:r>
        <w:rPr>
          <w:rFonts w:hint="eastAsia"/>
          <w:b w:val="0"/>
          <w:bCs/>
          <w:lang w:val="en-US" w:eastAsia="zh-CN"/>
        </w:rPr>
        <w:t>1.1、行业背景和现状</w:t>
      </w:r>
      <w:bookmarkEnd w:id="1"/>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a、医药产业面临转型困境，痛点集中于经营、监管及供应链</w:t>
      </w:r>
      <w:r>
        <w:rPr>
          <w:rFonts w:hint="eastAsia"/>
          <w:b/>
          <w:bCs w:val="0"/>
          <w:sz w:val="24"/>
          <w:szCs w:val="24"/>
          <w:lang w:val="en-US" w:eastAsia="zh-CN"/>
        </w:rPr>
        <w:br w:type="textWrapping"/>
      </w:r>
      <w:r>
        <w:rPr>
          <w:rFonts w:hint="eastAsia"/>
          <w:b w:val="0"/>
          <w:bCs/>
          <w:sz w:val="24"/>
          <w:szCs w:val="24"/>
          <w:lang w:val="en-US" w:eastAsia="zh-CN"/>
        </w:rPr>
        <w:tab/>
      </w:r>
      <w:r>
        <w:rPr>
          <w:rFonts w:hint="eastAsia"/>
          <w:b w:val="0"/>
          <w:bCs/>
          <w:sz w:val="24"/>
          <w:szCs w:val="24"/>
          <w:lang w:val="en-US" w:eastAsia="zh-CN"/>
        </w:rPr>
        <w:t>传统的医药产业认为，对消费者需求的满足依靠的是“药品”这个产品本身，药品从药厂生产完毕后，其价值就已经恒定，下游包括药品分销企业和零售药店在内的流通企业是产品空间的转移者，是药品恒定价值的“分食者”。对药品分销的过度关注则导致了对供应链的增值服务开展的忽略。我国传统医药产业痛点主要集中于以下三方面：</w:t>
      </w:r>
      <w:r>
        <w:rPr>
          <w:rFonts w:hint="eastAsia"/>
          <w:b w:val="0"/>
          <w:bCs/>
          <w:sz w:val="24"/>
          <w:szCs w:val="24"/>
          <w:lang w:val="en-US" w:eastAsia="zh-CN"/>
        </w:rPr>
        <w:br w:type="textWrapping"/>
      </w:r>
      <w:r>
        <w:rPr>
          <w:rFonts w:hint="default"/>
          <w:lang w:val="en-US" w:eastAsia="zh-CN"/>
        </w:rPr>
        <w:drawing>
          <wp:inline distT="0" distB="0" distL="114300" distR="114300">
            <wp:extent cx="6228080" cy="2680970"/>
            <wp:effectExtent l="0" t="0" r="1270" b="5080"/>
            <wp:docPr id="5" name="图片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题-1"/>
                    <pic:cNvPicPr>
                      <a:picLocks noChangeAspect="1"/>
                    </pic:cNvPicPr>
                  </pic:nvPicPr>
                  <pic:blipFill>
                    <a:blip r:embed="rId4"/>
                    <a:stretch>
                      <a:fillRect/>
                    </a:stretch>
                  </pic:blipFill>
                  <pic:spPr>
                    <a:xfrm>
                      <a:off x="0" y="0"/>
                      <a:ext cx="6228080" cy="2680970"/>
                    </a:xfrm>
                    <a:prstGeom prst="rect">
                      <a:avLst/>
                    </a:prstGeom>
                  </pic:spPr>
                </pic:pic>
              </a:graphicData>
            </a:graphic>
          </wp:inline>
        </w:drawing>
      </w:r>
      <w:r>
        <w:rPr>
          <w:rFonts w:hint="default"/>
          <w:lang w:val="en-US" w:eastAsia="zh-CN"/>
        </w:rPr>
        <w:br w:type="textWrapping"/>
      </w:r>
      <w:r>
        <w:rPr>
          <w:rFonts w:hint="eastAsia"/>
          <w:lang w:val="en-US" w:eastAsia="zh-CN"/>
        </w:rPr>
        <w:tab/>
      </w:r>
      <w:r>
        <w:rPr>
          <w:rFonts w:hint="eastAsia"/>
          <w:b w:val="0"/>
          <w:bCs/>
          <w:sz w:val="24"/>
          <w:szCs w:val="24"/>
          <w:lang w:val="en-US" w:eastAsia="zh-CN"/>
        </w:rPr>
        <w:t>市场急需能够全面协同融合创新，助力整个行业产业链升级并能够符合医药企业高标准的供给平台的不断发力</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bCs w:val="0"/>
          <w:lang w:val="en-US" w:eastAsia="zh-CN"/>
        </w:rPr>
        <w:tab/>
      </w:r>
      <w:r>
        <w:rPr>
          <w:rFonts w:hint="eastAsia" w:ascii="宋体" w:hAnsi="宋体" w:eastAsia="宋体" w:cs="宋体"/>
          <w:b/>
          <w:bCs w:val="0"/>
          <w:kern w:val="44"/>
          <w:sz w:val="24"/>
          <w:szCs w:val="24"/>
          <w:lang w:val="en-US" w:eastAsia="zh-CN" w:bidi="ar-SA"/>
        </w:rPr>
        <w:t>b、2015-2019年医药领域重要政策</w:t>
      </w:r>
      <w:r>
        <w:rPr>
          <w:rFonts w:hint="eastAsia"/>
          <w:b/>
          <w:bCs w:val="0"/>
          <w:sz w:val="24"/>
          <w:szCs w:val="24"/>
          <w:lang w:val="en-US" w:eastAsia="zh-CN"/>
        </w:rPr>
        <w:br w:type="textWrapping"/>
      </w:r>
      <w:r>
        <w:rPr>
          <w:rFonts w:hint="default"/>
          <w:b w:val="0"/>
          <w:bCs/>
          <w:lang w:val="en-US" w:eastAsia="zh-CN"/>
        </w:rPr>
        <w:drawing>
          <wp:inline distT="0" distB="0" distL="114300" distR="114300">
            <wp:extent cx="6181090" cy="2550160"/>
            <wp:effectExtent l="0" t="0" r="10160" b="2540"/>
            <wp:docPr id="6" name="图片 6" descr="政策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政策背景"/>
                    <pic:cNvPicPr>
                      <a:picLocks noChangeAspect="1"/>
                    </pic:cNvPicPr>
                  </pic:nvPicPr>
                  <pic:blipFill>
                    <a:blip r:embed="rId5"/>
                    <a:stretch>
                      <a:fillRect/>
                    </a:stretch>
                  </pic:blipFill>
                  <pic:spPr>
                    <a:xfrm>
                      <a:off x="0" y="0"/>
                      <a:ext cx="6181090" cy="2550160"/>
                    </a:xfrm>
                    <a:prstGeom prst="rect">
                      <a:avLst/>
                    </a:prstGeom>
                  </pic:spPr>
                </pic:pic>
              </a:graphicData>
            </a:graphic>
          </wp:inline>
        </w:drawing>
      </w:r>
      <w:r>
        <w:rPr>
          <w:rFonts w:hint="eastAsia"/>
          <w:b/>
          <w:bCs w:val="0"/>
          <w:lang w:val="en-US" w:eastAsia="zh-CN"/>
        </w:rPr>
        <w:br w:type="textWrapping"/>
      </w:r>
      <w:r>
        <w:rPr>
          <w:rFonts w:hint="eastAsia"/>
          <w:b w:val="0"/>
          <w:bCs/>
          <w:sz w:val="24"/>
          <w:szCs w:val="24"/>
          <w:lang w:val="en-US" w:eastAsia="zh-CN"/>
        </w:rPr>
        <w:tab/>
      </w:r>
      <w:r>
        <w:rPr>
          <w:rFonts w:hint="eastAsia"/>
          <w:b w:val="0"/>
          <w:bCs/>
          <w:sz w:val="24"/>
          <w:szCs w:val="24"/>
          <w:lang w:val="en-US" w:eastAsia="zh-CN"/>
        </w:rPr>
        <w:t>从国家近几年颁发的医药领域政策，对药品生产和流通方面的监管力度越来越大，鼓励集中采购药品，以量换价，并且在新版药品管理法中并未禁止网售处方药，为网购处方药打开了绿灯。</w:t>
      </w:r>
      <w:r>
        <w:rPr>
          <w:rFonts w:hint="eastAsia"/>
          <w:b w:val="0"/>
          <w:bCs/>
          <w:sz w:val="24"/>
          <w:szCs w:val="24"/>
          <w:lang w:val="en-US" w:eastAsia="zh-CN"/>
        </w:rPr>
        <w:br w:type="textWrapping"/>
      </w:r>
      <w:r>
        <w:rPr>
          <w:rFonts w:hint="eastAsia"/>
          <w:b w:val="0"/>
          <w:bCs/>
          <w:sz w:val="24"/>
          <w:szCs w:val="24"/>
          <w:lang w:val="en-US" w:eastAsia="zh-CN"/>
        </w:rPr>
        <w:br w:type="textWrapping"/>
      </w:r>
      <w:r>
        <w:rPr>
          <w:rFonts w:hint="eastAsia"/>
          <w:b w:val="0"/>
          <w:bCs/>
          <w:sz w:val="24"/>
          <w:szCs w:val="24"/>
          <w:lang w:val="en-US" w:eastAsia="zh-CN"/>
        </w:rPr>
        <w:tab/>
      </w:r>
      <w:r>
        <w:rPr>
          <w:rFonts w:hint="eastAsia" w:ascii="宋体" w:hAnsi="宋体" w:eastAsia="宋体" w:cs="宋体"/>
          <w:b/>
          <w:bCs w:val="0"/>
          <w:kern w:val="44"/>
          <w:sz w:val="24"/>
          <w:szCs w:val="24"/>
          <w:lang w:val="en-US" w:eastAsia="zh-CN" w:bidi="ar-SA"/>
        </w:rPr>
        <w:t>c、医药流通市规模不断增长，医药线上化需求不断增强</w:t>
      </w:r>
      <w:r>
        <w:rPr>
          <w:rFonts w:hint="eastAsia"/>
          <w:b/>
          <w:bCs w:val="0"/>
          <w:sz w:val="24"/>
          <w:szCs w:val="24"/>
          <w:lang w:val="en-US" w:eastAsia="zh-CN"/>
        </w:rPr>
        <w:br w:type="textWrapping"/>
      </w:r>
      <w:r>
        <w:rPr>
          <w:rFonts w:hint="default"/>
          <w:b/>
          <w:bCs w:val="0"/>
          <w:sz w:val="24"/>
          <w:szCs w:val="24"/>
          <w:lang w:val="en-US" w:eastAsia="zh-CN"/>
        </w:rPr>
        <w:drawing>
          <wp:inline distT="0" distB="0" distL="114300" distR="114300">
            <wp:extent cx="6186805" cy="2700655"/>
            <wp:effectExtent l="0" t="0" r="4445" b="4445"/>
            <wp:docPr id="7" name="图片 7" descr="线上化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线上化需求"/>
                    <pic:cNvPicPr>
                      <a:picLocks noChangeAspect="1"/>
                    </pic:cNvPicPr>
                  </pic:nvPicPr>
                  <pic:blipFill>
                    <a:blip r:embed="rId6"/>
                    <a:stretch>
                      <a:fillRect/>
                    </a:stretch>
                  </pic:blipFill>
                  <pic:spPr>
                    <a:xfrm>
                      <a:off x="0" y="0"/>
                      <a:ext cx="6186805" cy="2700655"/>
                    </a:xfrm>
                    <a:prstGeom prst="rect">
                      <a:avLst/>
                    </a:prstGeom>
                  </pic:spPr>
                </pic:pic>
              </a:graphicData>
            </a:graphic>
          </wp:inline>
        </w:drawing>
      </w:r>
      <w:r>
        <w:rPr>
          <w:rFonts w:hint="default"/>
          <w:b/>
          <w:bCs w:val="0"/>
          <w:sz w:val="24"/>
          <w:szCs w:val="24"/>
          <w:lang w:val="en-US" w:eastAsia="zh-CN"/>
        </w:rPr>
        <w:br w:type="textWrapping"/>
      </w:r>
      <w:r>
        <w:rPr>
          <w:rFonts w:hint="eastAsia"/>
          <w:b/>
          <w:bCs w:val="0"/>
          <w:sz w:val="24"/>
          <w:szCs w:val="24"/>
          <w:lang w:val="en-US" w:eastAsia="zh-CN"/>
        </w:rPr>
        <w:tab/>
      </w:r>
      <w:r>
        <w:rPr>
          <w:rFonts w:hint="eastAsia"/>
          <w:b w:val="0"/>
          <w:bCs/>
          <w:sz w:val="24"/>
          <w:szCs w:val="24"/>
          <w:lang w:val="en-US" w:eastAsia="zh-CN"/>
        </w:rPr>
        <w:t>从2015年至2019年医药流通市场规模提高了35.3%，医药线上化在5年中相比提高了69.0%，医药线上化的需求比而言增加得更快。主要原因在于：①线上渠道可有效补足线下药品缺失，对上游厂商及下游客户可提供信息透明度；②可有效提升安全保证；③价格优势明显。疫情的爆发进一步推进了线上化，无论是B端还是C端，未来线上化趋势将更加明显</w:t>
      </w:r>
    </w:p>
    <w:p>
      <w:pPr>
        <w:pStyle w:val="3"/>
        <w:bidi w:val="0"/>
        <w:rPr>
          <w:rFonts w:hint="default"/>
          <w:b w:val="0"/>
          <w:bCs/>
          <w:lang w:val="en-US" w:eastAsia="zh-CN"/>
        </w:rPr>
      </w:pPr>
      <w:bookmarkStart w:id="2" w:name="_Toc23066"/>
      <w:r>
        <w:rPr>
          <w:rFonts w:hint="eastAsia"/>
          <w:b w:val="0"/>
          <w:bCs/>
          <w:lang w:val="en-US" w:eastAsia="zh-CN"/>
        </w:rPr>
        <w:t>1.2、市场规模</w:t>
      </w:r>
      <w:bookmarkEnd w:id="2"/>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a、中国医药产业工业产值及GDP比重情况</w:t>
      </w:r>
      <w:r>
        <w:rPr>
          <w:rFonts w:hint="eastAsia" w:asciiTheme="minorHAnsi" w:hAnsiTheme="minorHAnsi" w:eastAsiaTheme="minorEastAsia" w:cstheme="minorBidi"/>
          <w:b/>
          <w:bCs w:val="0"/>
          <w:kern w:val="44"/>
          <w:sz w:val="24"/>
          <w:szCs w:val="24"/>
          <w:lang w:val="en-US" w:eastAsia="zh-CN" w:bidi="ar-SA"/>
        </w:rPr>
        <w:br w:type="textWrapping"/>
      </w:r>
      <w:r>
        <w:rPr>
          <w:rFonts w:hint="default"/>
          <w:b w:val="0"/>
          <w:bCs/>
          <w:lang w:val="en-US" w:eastAsia="zh-CN"/>
        </w:rPr>
        <w:drawing>
          <wp:inline distT="0" distB="0" distL="114300" distR="114300">
            <wp:extent cx="6184900" cy="2317750"/>
            <wp:effectExtent l="0" t="0" r="6350" b="6350"/>
            <wp:docPr id="8" name="图片 8" descr="GDP比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DP比重"/>
                    <pic:cNvPicPr>
                      <a:picLocks noChangeAspect="1"/>
                    </pic:cNvPicPr>
                  </pic:nvPicPr>
                  <pic:blipFill>
                    <a:blip r:embed="rId7"/>
                    <a:stretch>
                      <a:fillRect/>
                    </a:stretch>
                  </pic:blipFill>
                  <pic:spPr>
                    <a:xfrm>
                      <a:off x="0" y="0"/>
                      <a:ext cx="6184900" cy="2317750"/>
                    </a:xfrm>
                    <a:prstGeom prst="rect">
                      <a:avLst/>
                    </a:prstGeom>
                  </pic:spPr>
                </pic:pic>
              </a:graphicData>
            </a:graphic>
          </wp:inline>
        </w:drawing>
      </w:r>
    </w:p>
    <w:p>
      <w:pPr>
        <w:pStyle w:val="3"/>
        <w:bidi w:val="0"/>
        <w:ind w:firstLine="420" w:firstLineChars="0"/>
        <w:rPr>
          <w:rFonts w:hint="default" w:asciiTheme="minorHAnsi" w:hAnsiTheme="minorHAnsi" w:eastAsiaTheme="minorEastAsia" w:cstheme="minorBidi"/>
          <w:b w:val="0"/>
          <w:bCs/>
          <w:kern w:val="44"/>
          <w:sz w:val="24"/>
          <w:szCs w:val="24"/>
          <w:lang w:val="en-US" w:eastAsia="zh-CN" w:bidi="ar-SA"/>
        </w:rPr>
      </w:pPr>
      <w:bookmarkStart w:id="3" w:name="_Toc15273"/>
      <w:r>
        <w:rPr>
          <w:rFonts w:hint="eastAsia" w:asciiTheme="minorHAnsi" w:hAnsiTheme="minorHAnsi" w:eastAsiaTheme="minorEastAsia" w:cstheme="minorBidi"/>
          <w:b w:val="0"/>
          <w:bCs/>
          <w:kern w:val="44"/>
          <w:sz w:val="24"/>
          <w:szCs w:val="24"/>
          <w:lang w:val="en-US" w:eastAsia="zh-CN" w:bidi="ar-SA"/>
        </w:rPr>
        <w:t>2014-2017年，在我国政策的大力支持下，医药产业得到了快速发展，总产值在GDP的比重不断攀升。自2018年以来，由于政策鼓励竞争、集采降价、合理用药、医保控费，以及与国外的贸易摩擦，医药产业面临转型和产业改革的压力。在移动互联网高速发展的时代，大数据、人工智能、云计算、4G/5G通信技术将化作新动力，进一步推进医药产业的快速转型及升级。根据艾瑞网推算，2020年中国医药市场需求将达到2.5万亿元，成为全球最大药物市场之一。</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b、资本在医药领域的市场规模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7440" cy="2878455"/>
            <wp:effectExtent l="0" t="0" r="3810" b="17145"/>
            <wp:docPr id="9" name="图片 9" descr="C:\Users\VIP\Desktop\医药产业融资.png医药产业融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VIP\Desktop\医药产业融资.png医药产业融资"/>
                    <pic:cNvPicPr>
                      <a:picLocks noChangeAspect="1"/>
                    </pic:cNvPicPr>
                  </pic:nvPicPr>
                  <pic:blipFill>
                    <a:blip r:embed="rId8"/>
                    <a:srcRect/>
                    <a:stretch>
                      <a:fillRect/>
                    </a:stretch>
                  </pic:blipFill>
                  <pic:spPr>
                    <a:xfrm>
                      <a:off x="0" y="0"/>
                      <a:ext cx="6187440" cy="287845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在医药大健康领域中，医药产业一直广受资本关注，当国家政策形式逐渐明朗，2018年与2019年投融资金额立即翻了2.5倍，达到了1526.7亿元的高峰，2020年近H1就已达到934.6亿元。就笔均融资而言，2015年至2019年笔均融资提高了9.2亿，CAGR高达189.1%。随着政府政策推动行业大洗牌、带量采购等政策倒逼医药产业改变传统经营模式、医药产业头部创新企业集结，医药产业将进一步精简升级，资本对于医药产业中的优质企业关注度及笔均融资也将进一步提高。</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c、中国医药产业互联网市场规模</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2020年我国医药产业物联网市场规模预期将达到1450亿元，同比增长27.0%，其中，B2B类业务市场规模占比最大，达到84.3%。B2B类营收主要包括渠道佣金返点收入、营销销售收入以及对上游医药工业企业的推广、投放收入等。由于受到国家于2019年未放开对线上处方药售卖的限制的政策影响以及2020年疫情影响，医药产业互联网行业市场规模将持续增长，同时市场将迎来快速发展期，预计市场规模增速也将不断增加。</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drawing>
          <wp:inline distT="0" distB="0" distL="114300" distR="114300">
            <wp:extent cx="6180455" cy="2580005"/>
            <wp:effectExtent l="0" t="0" r="10795" b="10795"/>
            <wp:docPr id="10" name="图片 10" descr="中国医药产业互联网市场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中国医药产业互联网市场规模"/>
                    <pic:cNvPicPr>
                      <a:picLocks noChangeAspect="1"/>
                    </pic:cNvPicPr>
                  </pic:nvPicPr>
                  <pic:blipFill>
                    <a:blip r:embed="rId9"/>
                    <a:stretch>
                      <a:fillRect/>
                    </a:stretch>
                  </pic:blipFill>
                  <pic:spPr>
                    <a:xfrm>
                      <a:off x="0" y="0"/>
                      <a:ext cx="6180455" cy="2580005"/>
                    </a:xfrm>
                    <a:prstGeom prst="rect">
                      <a:avLst/>
                    </a:prstGeom>
                  </pic:spPr>
                </pic:pic>
              </a:graphicData>
            </a:graphic>
          </wp:inline>
        </w:drawing>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d、总结</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从医药政策、医药产业工业产值及GDP比重、医药融资及产业互联网及医药产业互联网这几方面分析可得：中国医药行业未来发展空间广阔。</w:t>
      </w:r>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1.3、用户需求</w:t>
      </w:r>
      <w:bookmarkEnd w:id="3"/>
      <w:r>
        <w:rPr>
          <w:rFonts w:hint="eastAsia"/>
          <w:b w:val="0"/>
          <w:bCs/>
          <w:lang w:val="en-US" w:eastAsia="zh-CN"/>
        </w:rPr>
        <w:br w:type="textWrapping"/>
      </w:r>
      <w:r>
        <w:rPr>
          <w:rFonts w:hint="eastAsia"/>
          <w:b w:val="0"/>
          <w:bCs/>
          <w:lang w:val="en-US" w:eastAsia="zh-CN"/>
        </w:rPr>
        <w:tab/>
      </w:r>
      <w:r>
        <w:rPr>
          <w:rFonts w:hint="eastAsia" w:ascii="宋体" w:hAnsi="宋体" w:eastAsia="宋体" w:cs="宋体"/>
          <w:b/>
          <w:bCs w:val="0"/>
          <w:kern w:val="44"/>
          <w:sz w:val="24"/>
          <w:szCs w:val="24"/>
          <w:lang w:val="en-US" w:eastAsia="zh-CN" w:bidi="ar-SA"/>
        </w:rPr>
        <w:t>a、2020年医药企业使用信息化的环节</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6170" cy="2413000"/>
            <wp:effectExtent l="0" t="0" r="5080" b="6350"/>
            <wp:docPr id="11" name="图片 11" descr="C:\Users\VIP\Desktop\使用信息化药企.png使用信息化药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VIP\Desktop\使用信息化药企.png使用信息化药企"/>
                    <pic:cNvPicPr>
                      <a:picLocks noChangeAspect="1"/>
                    </pic:cNvPicPr>
                  </pic:nvPicPr>
                  <pic:blipFill>
                    <a:blip r:embed="rId10"/>
                    <a:srcRect/>
                    <a:stretch>
                      <a:fillRect/>
                    </a:stretch>
                  </pic:blipFill>
                  <pic:spPr>
                    <a:xfrm>
                      <a:off x="0" y="0"/>
                      <a:ext cx="6186170" cy="24130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整体来看，医药企业大多在销售、运输、生产等环节应用信息化工具，72.7%的医药企业应用信息化手段管控药品销售，62.6%的企业采用供应链信息化系统。而在药品的研发阶段，如新药发现、中间性试验等环节，仅有约三成应用了信息化手段。主要原因包括：①从供给端看，销售、运输管理等信息化产品成熟度相对较高，医药企业拥有较大选择余地，可以根据自己的预算及需求选择合适的第三方服务商进行合作；②从需求端看，由于药品自身研发难度大、周期长，目前大多制药企业仍处于探索如何将信息化手段应用于各药品研发环节的阶段。</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tab/>
      </w:r>
      <w:r>
        <w:rPr>
          <w:rFonts w:hint="eastAsia" w:ascii="宋体" w:hAnsi="宋体" w:eastAsia="宋体" w:cs="宋体"/>
          <w:b/>
          <w:bCs w:val="0"/>
          <w:kern w:val="44"/>
          <w:sz w:val="24"/>
          <w:szCs w:val="24"/>
          <w:lang w:val="en-US" w:eastAsia="zh-CN" w:bidi="ar-SA"/>
        </w:rPr>
        <w:t>b、2020年医药企业与医药产业互联网企业的合作方向</w:t>
      </w:r>
      <w:r>
        <w:rPr>
          <w:rFonts w:hint="eastAsia" w:asciiTheme="minorHAnsi" w:hAnsiTheme="minorHAnsi" w:eastAsiaTheme="minorEastAsia" w:cstheme="minorBidi"/>
          <w:b/>
          <w:bCs w:val="0"/>
          <w:kern w:val="44"/>
          <w:sz w:val="24"/>
          <w:szCs w:val="24"/>
          <w:lang w:val="en-US" w:eastAsia="zh-CN" w:bidi="ar-SA"/>
        </w:rPr>
        <w:br w:type="textWrapping"/>
      </w:r>
      <w:r>
        <w:rPr>
          <w:rFonts w:hint="eastAsia" w:asciiTheme="minorHAnsi" w:hAnsiTheme="minorHAnsi" w:eastAsiaTheme="minorEastAsia" w:cstheme="minorBidi"/>
          <w:b/>
          <w:bCs w:val="0"/>
          <w:kern w:val="44"/>
          <w:sz w:val="24"/>
          <w:szCs w:val="24"/>
          <w:lang w:val="en-US" w:eastAsia="zh-CN" w:bidi="ar-SA"/>
        </w:rPr>
        <w:drawing>
          <wp:inline distT="0" distB="0" distL="114300" distR="114300">
            <wp:extent cx="6184900" cy="2476500"/>
            <wp:effectExtent l="0" t="0" r="6350" b="0"/>
            <wp:docPr id="12" name="图片 12" descr="与互联网合作的方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与互联网合作的方向"/>
                    <pic:cNvPicPr>
                      <a:picLocks noChangeAspect="1"/>
                    </pic:cNvPicPr>
                  </pic:nvPicPr>
                  <pic:blipFill>
                    <a:blip r:embed="rId11"/>
                    <a:stretch>
                      <a:fillRect/>
                    </a:stretch>
                  </pic:blipFill>
                  <pic:spPr>
                    <a:xfrm>
                      <a:off x="0" y="0"/>
                      <a:ext cx="6184900" cy="2476500"/>
                    </a:xfrm>
                    <a:prstGeom prst="rect">
                      <a:avLst/>
                    </a:prstGeom>
                  </pic:spPr>
                </pic:pic>
              </a:graphicData>
            </a:graphic>
          </wp:inline>
        </w:drawing>
      </w:r>
      <w:r>
        <w:rPr>
          <w:rFonts w:hint="eastAsia" w:asciiTheme="minorHAnsi" w:hAnsiTheme="minorHAnsi" w:eastAsiaTheme="minorEastAsia" w:cstheme="minorBidi"/>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药企与医药产业互联网企业合作的主要方向在于对零售商信息的掌握(64.6%)、运输供应链(52.5%)以及销售推广(40.4%)，目前合作服务主要集中于产业链的中下游，尤其是对零售商了解的需求超过六成，而对于偏上游的新药研发、临床研究、规模化生产等意向则比较低。原因可能在于目前医药产业互联网对偏上游的信息提供及方案解决能力目前还偏弱，优势服务仍在于供应链管理以及更下游的运营、渠道、销售、推广等领域。</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c、2020年医药企业希望产业物联网提供的服务</w:t>
      </w:r>
      <w:r>
        <w:rPr>
          <w:rFonts w:hint="eastAsia" w:cstheme="minorBidi"/>
          <w:b/>
          <w:bCs w:val="0"/>
          <w:kern w:val="44"/>
          <w:sz w:val="24"/>
          <w:szCs w:val="24"/>
          <w:lang w:val="en-US" w:eastAsia="zh-CN" w:bidi="ar-SA"/>
        </w:rPr>
        <w:br w:type="textWrapping"/>
      </w:r>
      <w:r>
        <w:rPr>
          <w:rFonts w:hint="default"/>
          <w:lang w:val="en-US" w:eastAsia="zh-CN"/>
        </w:rPr>
        <w:drawing>
          <wp:inline distT="0" distB="0" distL="114300" distR="114300">
            <wp:extent cx="6186805" cy="2649855"/>
            <wp:effectExtent l="0" t="0" r="4445" b="17145"/>
            <wp:docPr id="13" name="图片 13" descr="C:\Users\VIP\Desktop\合作内容.png合作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VIP\Desktop\合作内容.png合作内容"/>
                    <pic:cNvPicPr>
                      <a:picLocks noChangeAspect="1"/>
                    </pic:cNvPicPr>
                  </pic:nvPicPr>
                  <pic:blipFill>
                    <a:blip r:embed="rId12"/>
                    <a:srcRect/>
                    <a:stretch>
                      <a:fillRect/>
                    </a:stretch>
                  </pic:blipFill>
                  <pic:spPr>
                    <a:xfrm>
                      <a:off x="0" y="0"/>
                      <a:ext cx="6186805" cy="2649855"/>
                    </a:xfrm>
                    <a:prstGeom prst="rect">
                      <a:avLst/>
                    </a:prstGeom>
                  </pic:spPr>
                </pic:pic>
              </a:graphicData>
            </a:graphic>
          </wp:inline>
        </w:drawing>
      </w:r>
      <w:r>
        <w:rPr>
          <w:rFonts w:hint="default"/>
          <w:lang w:val="en-US" w:eastAsia="zh-CN"/>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2020年中国医药企业与产业互联网产业的合作内容主要聚焦于掌握实时销量(80.6%)、推广服务(77.8%)以及掌握药品库存情况(68.1%)，现有合作内容中以掌握下游信息以及增强推广宣传力度为主，对于符合药品运输标准的合作仅有43.1%。但是对于未与医药产业互联网企业的药企而言，其对符合药品运输标准的需求高达77.8%，位列潜在合作内容的第一位。这说明医药产业互联网企业需要进一步提高自己在运输标准方面的服务能力，以增加其与更多药企合作的机会。</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宋体" w:hAnsi="宋体" w:eastAsia="宋体" w:cs="宋体"/>
          <w:b/>
          <w:bCs w:val="0"/>
          <w:kern w:val="44"/>
          <w:sz w:val="24"/>
          <w:szCs w:val="24"/>
          <w:lang w:val="en-US" w:eastAsia="zh-CN" w:bidi="ar-SA"/>
        </w:rPr>
        <w:t>d、总结</w:t>
      </w:r>
      <w:r>
        <w:rPr>
          <w:rFonts w:hint="eastAsia" w:cstheme="minorBidi"/>
          <w:b/>
          <w:bCs w:val="0"/>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综合分析，在现阶段对销售、运输、掌握实时销量、掌握药品库存、零售商信息的掌握情况是医药企业急需的。医药企业对符合药品运输标准等期待未来能提供服务。</w:t>
      </w:r>
      <w:bookmarkStart w:id="4" w:name="_Toc31227"/>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1.4、发展趋势</w:t>
      </w:r>
      <w:bookmarkEnd w:id="4"/>
      <w:r>
        <w:rPr>
          <w:rFonts w:hint="eastAsia"/>
          <w:b w:val="0"/>
          <w:bCs/>
          <w:lang w:val="en-US" w:eastAsia="zh-CN"/>
        </w:rPr>
        <w:br w:type="textWrapping"/>
      </w:r>
      <w:r>
        <w:rPr>
          <w:rFonts w:hint="default"/>
          <w:b w:val="0"/>
          <w:bCs/>
          <w:lang w:val="en-US" w:eastAsia="zh-CN"/>
        </w:rPr>
        <w:drawing>
          <wp:inline distT="0" distB="0" distL="114300" distR="114300">
            <wp:extent cx="6188710" cy="2600325"/>
            <wp:effectExtent l="0" t="0" r="2540" b="9525"/>
            <wp:docPr id="1" name="图片 1" descr="发展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发展趋势"/>
                    <pic:cNvPicPr>
                      <a:picLocks noChangeAspect="1"/>
                    </pic:cNvPicPr>
                  </pic:nvPicPr>
                  <pic:blipFill>
                    <a:blip r:embed="rId13"/>
                    <a:stretch>
                      <a:fillRect/>
                    </a:stretch>
                  </pic:blipFill>
                  <pic:spPr>
                    <a:xfrm>
                      <a:off x="0" y="0"/>
                      <a:ext cx="6188710" cy="2600325"/>
                    </a:xfrm>
                    <a:prstGeom prst="rect">
                      <a:avLst/>
                    </a:prstGeom>
                  </pic:spPr>
                </pic:pic>
              </a:graphicData>
            </a:graphic>
          </wp:inline>
        </w:drawing>
      </w:r>
      <w:r>
        <w:rPr>
          <w:rFonts w:hint="default"/>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医药工业企业对于下游销售推广的信息化应用最多，达到了72.7%，然而对于销售推广的合作意愿则仅为40.4%，说明药企对于销售推广方面自建平台与产业物联网合作意愿基本五五开。相比而言，55.6%的药企在掌握下游零售商信息时采用了信息化手段，但药企与医药产业互联网企业展开合作，搭建掌握下游零售商信息平台的意愿却到了64.6%，说明目前在此领域医药工业企业有着更多需求，是未来的合作热点。除此之外，目前医药工业企业对于运输供应链方面也与医药产业互联网企业有较多合作。综上所述，目前发展趋势焦点主要位于医药产业的中下游销售推广、下游零售商信息的掌控以及运输供应链的检测，其中掌控下游信息将是未来的合作热点。</w:t>
      </w:r>
      <w:bookmarkStart w:id="5" w:name="_Toc12080"/>
      <w:r>
        <w:rPr>
          <w:rFonts w:hint="eastAsia" w:asciiTheme="minorHAnsi" w:hAnsiTheme="minorHAnsi" w:eastAsiaTheme="minorEastAsia" w:cstheme="minorBidi"/>
          <w:b w:val="0"/>
          <w:bCs/>
          <w:kern w:val="44"/>
          <w:sz w:val="24"/>
          <w:szCs w:val="24"/>
          <w:lang w:val="en-US" w:eastAsia="zh-CN" w:bidi="ar-SA"/>
        </w:rPr>
        <w:br w:type="textWrapping"/>
      </w:r>
      <w:r>
        <w:rPr>
          <w:rFonts w:hint="eastAsia"/>
          <w:b w:val="0"/>
          <w:bCs/>
          <w:lang w:val="en-US" w:eastAsia="zh-CN"/>
        </w:rPr>
        <w:t>1.5、竞争对手发展情况</w:t>
      </w:r>
      <w:bookmarkEnd w:id="5"/>
      <w:r>
        <w:rPr>
          <w:rFonts w:hint="eastAsia"/>
          <w:b w:val="0"/>
          <w:bCs/>
          <w:lang w:val="en-US" w:eastAsia="zh-CN"/>
        </w:rPr>
        <w:br w:type="textWrapping"/>
      </w:r>
      <w:r>
        <w:rPr>
          <w:rFonts w:hint="eastAsia"/>
          <w:b w:val="0"/>
          <w:bCs/>
          <w:lang w:val="en-US" w:eastAsia="zh-CN"/>
        </w:rPr>
        <w:tab/>
      </w:r>
      <w:r>
        <w:rPr>
          <w:rFonts w:hint="eastAsia" w:asciiTheme="majorEastAsia" w:hAnsiTheme="majorEastAsia" w:eastAsiaTheme="majorEastAsia" w:cstheme="majorEastAsia"/>
          <w:b/>
          <w:bCs w:val="0"/>
          <w:kern w:val="44"/>
          <w:sz w:val="24"/>
          <w:szCs w:val="24"/>
          <w:lang w:val="en-US" w:eastAsia="zh-CN" w:bidi="ar-SA"/>
        </w:rPr>
        <w:t>a、武汉小药药医药科技有限公司</w:t>
      </w:r>
      <w:r>
        <w:rPr>
          <w:rFonts w:hint="eastAsia" w:asciiTheme="majorEastAsia" w:hAnsiTheme="majorEastAsia" w:eastAsiaTheme="majorEastAsia" w:cstheme="majorEastAsia"/>
          <w:b/>
          <w:bCs w:val="0"/>
          <w:kern w:val="44"/>
          <w:sz w:val="24"/>
          <w:szCs w:val="24"/>
          <w:lang w:val="en-US" w:eastAsia="zh-CN" w:bidi="ar-SA"/>
        </w:rPr>
        <w:br w:type="textWrapping"/>
      </w:r>
      <w:r>
        <w:rPr>
          <w:rFonts w:hint="default" w:asciiTheme="majorEastAsia" w:hAnsiTheme="majorEastAsia" w:eastAsiaTheme="majorEastAsia" w:cstheme="majorEastAsia"/>
          <w:b/>
          <w:bCs w:val="0"/>
          <w:kern w:val="44"/>
          <w:sz w:val="24"/>
          <w:szCs w:val="24"/>
          <w:lang w:val="en-US" w:eastAsia="zh-CN" w:bidi="ar-SA"/>
        </w:rPr>
        <w:drawing>
          <wp:inline distT="0" distB="0" distL="114300" distR="114300">
            <wp:extent cx="6184900" cy="2747010"/>
            <wp:effectExtent l="0" t="0" r="6350" b="15240"/>
            <wp:docPr id="2" name="图片 2" descr="小药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小药药"/>
                    <pic:cNvPicPr>
                      <a:picLocks noChangeAspect="1"/>
                    </pic:cNvPicPr>
                  </pic:nvPicPr>
                  <pic:blipFill>
                    <a:blip r:embed="rId14"/>
                    <a:stretch>
                      <a:fillRect/>
                    </a:stretch>
                  </pic:blipFill>
                  <pic:spPr>
                    <a:xfrm>
                      <a:off x="0" y="0"/>
                      <a:ext cx="6184900" cy="2747010"/>
                    </a:xfrm>
                    <a:prstGeom prst="rect">
                      <a:avLst/>
                    </a:prstGeom>
                  </pic:spPr>
                </pic:pic>
              </a:graphicData>
            </a:graphic>
          </wp:inline>
        </w:drawing>
      </w:r>
      <w:r>
        <w:rPr>
          <w:rFonts w:hint="default"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武汉小药药医药科技有限公司成立于2015年，以互联网和大数据为基础构建标准化、智能化全新医药供应链体系，拥有完备的药品流通信息及药品全程追溯体系。小药药自有仓储物流供应链体系，目前已覆盖全国20多个省市，一端连接着生产厂家，一端连接着销售终端，所有与药品生产、流通、库存、销售、消费有关的信息全部汇聚到自身的药帮忙医药电商平台上，配送效率快。小药药未来将借助新兴的AI、云计算等技术，将整合更优质的产业链资源，构建医药新生态。</w:t>
      </w:r>
      <w:r>
        <w:rPr>
          <w:rFonts w:hint="eastAsia" w:asciiTheme="minorHAnsi" w:hAnsiTheme="minorHAnsi" w:eastAsiaTheme="minorEastAsia" w:cstheme="minorBidi"/>
          <w:b w:val="0"/>
          <w:bCs/>
          <w:kern w:val="44"/>
          <w:sz w:val="24"/>
          <w:szCs w:val="24"/>
          <w:lang w:val="en-US" w:eastAsia="zh-CN" w:bidi="ar-SA"/>
        </w:rPr>
        <w:br w:type="textWrapping"/>
      </w:r>
      <w:r>
        <w:rPr>
          <w:rFonts w:hint="eastAsia" w:asciiTheme="minorHAnsi" w:hAnsiTheme="minorHAnsi" w:eastAsiaTheme="minorEastAsia" w:cstheme="minorBidi"/>
          <w:b w:val="0"/>
          <w:bCs/>
          <w:kern w:val="44"/>
          <w:sz w:val="24"/>
          <w:szCs w:val="24"/>
          <w:lang w:val="en-US" w:eastAsia="zh-CN" w:bidi="ar-SA"/>
        </w:rPr>
        <w:tab/>
      </w:r>
      <w:r>
        <w:rPr>
          <w:rFonts w:hint="eastAsia" w:asciiTheme="majorEastAsia" w:hAnsiTheme="majorEastAsia" w:eastAsiaTheme="majorEastAsia" w:cstheme="majorEastAsia"/>
          <w:b/>
          <w:bCs w:val="0"/>
          <w:kern w:val="44"/>
          <w:sz w:val="24"/>
          <w:szCs w:val="24"/>
          <w:lang w:val="en-US" w:eastAsia="zh-CN" w:bidi="ar-SA"/>
        </w:rPr>
        <w:t>b、北京星汉博纳医药科技有限公司</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1725" cy="2567940"/>
            <wp:effectExtent l="0" t="0" r="9525" b="3810"/>
            <wp:docPr id="3" name="图片 3" descr="星汉博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星汉博纳"/>
                    <pic:cNvPicPr>
                      <a:picLocks noChangeAspect="1"/>
                    </pic:cNvPicPr>
                  </pic:nvPicPr>
                  <pic:blipFill>
                    <a:blip r:embed="rId15"/>
                    <a:stretch>
                      <a:fillRect/>
                    </a:stretch>
                  </pic:blipFill>
                  <pic:spPr>
                    <a:xfrm>
                      <a:off x="0" y="0"/>
                      <a:ext cx="6181725" cy="2567940"/>
                    </a:xfrm>
                    <a:prstGeom prst="rect">
                      <a:avLst/>
                    </a:prstGeom>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r>
      <w:r>
        <w:rPr>
          <w:rFonts w:hint="eastAsia" w:asciiTheme="minorHAnsi" w:hAnsiTheme="minorHAnsi" w:eastAsiaTheme="minorEastAsia" w:cstheme="minorBidi"/>
          <w:b w:val="0"/>
          <w:bCs/>
          <w:kern w:val="44"/>
          <w:sz w:val="24"/>
          <w:szCs w:val="24"/>
          <w:lang w:val="en-US" w:eastAsia="zh-CN" w:bidi="ar-SA"/>
        </w:rPr>
        <w:t>北京星汉博纳医药科技有限公司运营于2016年，目前已经形成以药兜网、药兜采、全国分销企业平台、1076全国互联网连锁药房、药兜智慧AI、药兜互联网医院、国内首家跨境药品零售试点资格为主营的全方位网络综合服务平台；公司利用供应链优势和对医药工业的深度服务能力，收购及赋能线下药房，从S2B向S2B2C的医药流通模式延伸，助力医药工业直达消费者，构建以“互联网医+药+险”为核心的智慧医疗运营模式，打造全链条闭环业务，将大数据的手机应用到各个链条终端，通过与头部药企合作，将C端真实需求反应至药企端，并建立全方位的健康管理服务。</w:t>
      </w:r>
    </w:p>
    <w:p>
      <w:pPr>
        <w:pStyle w:val="2"/>
        <w:bidi w:val="0"/>
        <w:rPr>
          <w:rFonts w:hint="eastAsia"/>
          <w:lang w:val="en-US" w:eastAsia="zh-CN"/>
        </w:rPr>
      </w:pPr>
      <w:bookmarkStart w:id="6" w:name="_Toc32165"/>
      <w:r>
        <w:rPr>
          <w:rFonts w:hint="eastAsia"/>
          <w:lang w:val="en-US" w:eastAsia="zh-CN"/>
        </w:rPr>
        <w:t>2、产品规划</w:t>
      </w:r>
      <w:bookmarkEnd w:id="6"/>
    </w:p>
    <w:p>
      <w:pPr>
        <w:pStyle w:val="3"/>
        <w:bidi w:val="0"/>
        <w:rPr>
          <w:rFonts w:hint="default"/>
          <w:b w:val="0"/>
          <w:bCs/>
          <w:lang w:val="en-US" w:eastAsia="zh-CN"/>
        </w:rPr>
      </w:pPr>
      <w:bookmarkStart w:id="7" w:name="_Toc25588"/>
      <w:r>
        <w:rPr>
          <w:rFonts w:hint="eastAsia"/>
          <w:b w:val="0"/>
          <w:bCs/>
          <w:lang w:val="en-US" w:eastAsia="zh-CN"/>
        </w:rPr>
        <w:t>2.1、产品定位</w:t>
      </w:r>
      <w:bookmarkEnd w:id="7"/>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面向中国医药产业市场，针对医药生产商、医药供应商、医药零售商的用户群体，提供了销售、运输、掌握实时销量、掌握药品库存、零售商信息的掌握情况等等需求的B2B产品。</w:t>
      </w:r>
    </w:p>
    <w:p>
      <w:pPr>
        <w:pStyle w:val="3"/>
        <w:bidi w:val="0"/>
        <w:rPr>
          <w:rFonts w:hint="default"/>
          <w:b w:val="0"/>
          <w:bCs/>
          <w:lang w:val="en-US" w:eastAsia="zh-CN"/>
        </w:rPr>
      </w:pPr>
      <w:bookmarkStart w:id="8" w:name="_Toc10289"/>
      <w:r>
        <w:rPr>
          <w:rFonts w:hint="eastAsia"/>
          <w:b w:val="0"/>
          <w:bCs/>
          <w:lang w:val="en-US" w:eastAsia="zh-CN"/>
        </w:rPr>
        <w:t>2.2、核心目标</w:t>
      </w:r>
      <w:bookmarkEnd w:id="8"/>
      <w:r>
        <w:rPr>
          <w:rFonts w:hint="eastAsia"/>
          <w:b w:val="0"/>
          <w:bCs/>
          <w:lang w:val="en-US" w:eastAsia="zh-CN"/>
        </w:rPr>
        <w:br w:type="textWrapping"/>
      </w:r>
      <w:r>
        <w:rPr>
          <w:rFonts w:hint="eastAsia"/>
          <w:b w:val="0"/>
          <w:bCs/>
          <w:lang w:val="en-US" w:eastAsia="zh-CN"/>
        </w:rPr>
        <w:tab/>
      </w:r>
      <w:r>
        <w:rPr>
          <w:rFonts w:hint="eastAsia" w:asciiTheme="minorHAnsi" w:hAnsiTheme="minorHAnsi" w:eastAsiaTheme="minorEastAsia" w:cstheme="minorBidi"/>
          <w:b w:val="0"/>
          <w:bCs/>
          <w:kern w:val="44"/>
          <w:sz w:val="24"/>
          <w:szCs w:val="24"/>
          <w:lang w:val="en-US" w:eastAsia="zh-CN" w:bidi="ar-SA"/>
        </w:rPr>
        <w:t>产品的核心目标为转化率</w:t>
      </w:r>
    </w:p>
    <w:p>
      <w:pPr>
        <w:pStyle w:val="3"/>
        <w:bidi w:val="0"/>
        <w:rPr>
          <w:rFonts w:hint="default" w:asciiTheme="minorHAnsi" w:hAnsiTheme="minorHAnsi" w:eastAsiaTheme="minorEastAsia" w:cstheme="minorBidi"/>
          <w:b w:val="0"/>
          <w:bCs/>
          <w:kern w:val="44"/>
          <w:sz w:val="24"/>
          <w:szCs w:val="24"/>
          <w:vertAlign w:val="baseline"/>
          <w:lang w:val="en-US" w:eastAsia="zh-CN" w:bidi="ar-SA"/>
        </w:rPr>
      </w:pPr>
      <w:bookmarkStart w:id="9" w:name="_Toc29039"/>
      <w:r>
        <w:rPr>
          <w:rFonts w:hint="eastAsia"/>
          <w:b w:val="0"/>
          <w:bCs/>
          <w:lang w:val="en-US" w:eastAsia="zh-CN"/>
        </w:rPr>
        <w:t>2.3、产品结构</w:t>
      </w:r>
      <w:bookmarkEnd w:id="9"/>
      <w:r>
        <w:rPr>
          <w:rFonts w:hint="eastAsia"/>
          <w:b w:val="0"/>
          <w:bCs/>
          <w:lang w:val="en-US" w:eastAsia="zh-CN"/>
        </w:rPr>
        <w:br w:type="textWrapping"/>
      </w:r>
      <w:r>
        <w:rPr>
          <w:rFonts w:hint="default" w:asciiTheme="minorHAnsi" w:hAnsiTheme="minorHAnsi" w:eastAsiaTheme="minorEastAsia" w:cstheme="minorBidi"/>
          <w:b w:val="0"/>
          <w:bCs/>
          <w:kern w:val="44"/>
          <w:sz w:val="24"/>
          <w:szCs w:val="24"/>
          <w:vertAlign w:val="baseline"/>
          <w:lang w:val="en-US" w:eastAsia="zh-CN" w:bidi="ar-SA"/>
        </w:rPr>
        <w:drawing>
          <wp:inline distT="0" distB="0" distL="114300" distR="114300">
            <wp:extent cx="6182995" cy="2839085"/>
            <wp:effectExtent l="0" t="0" r="8255" b="18415"/>
            <wp:docPr id="22" name="图片 22" descr="用户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用户解释"/>
                    <pic:cNvPicPr>
                      <a:picLocks noChangeAspect="1"/>
                    </pic:cNvPicPr>
                  </pic:nvPicPr>
                  <pic:blipFill>
                    <a:blip r:embed="rId16"/>
                    <a:stretch>
                      <a:fillRect/>
                    </a:stretch>
                  </pic:blipFill>
                  <pic:spPr>
                    <a:xfrm>
                      <a:off x="0" y="0"/>
                      <a:ext cx="6182995" cy="2839085"/>
                    </a:xfrm>
                    <a:prstGeom prst="rect">
                      <a:avLst/>
                    </a:prstGeom>
                  </pic:spPr>
                </pic:pic>
              </a:graphicData>
            </a:graphic>
          </wp:inline>
        </w:drawing>
      </w:r>
    </w:p>
    <w:p>
      <w:pPr>
        <w:pStyle w:val="3"/>
        <w:numPr>
          <w:numId w:val="0"/>
        </w:numPr>
        <w:bidi w:val="0"/>
        <w:ind w:firstLine="420" w:firstLineChars="0"/>
        <w:rPr>
          <w:rFonts w:hint="default"/>
          <w:lang w:val="en-US" w:eastAsia="zh-CN"/>
        </w:rPr>
      </w:pPr>
      <w:bookmarkStart w:id="24" w:name="_GoBack"/>
      <w:bookmarkEnd w:id="24"/>
      <w:r>
        <w:rPr>
          <w:rFonts w:hint="eastAsia" w:asciiTheme="majorEastAsia" w:hAnsiTheme="majorEastAsia" w:eastAsiaTheme="majorEastAsia" w:cstheme="majorEastAsia"/>
          <w:b/>
          <w:bCs w:val="0"/>
          <w:kern w:val="44"/>
          <w:sz w:val="24"/>
          <w:szCs w:val="24"/>
          <w:lang w:val="en-US" w:eastAsia="zh-CN" w:bidi="ar-SA"/>
        </w:rPr>
        <w:t>a、省公司/市公司—h5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2360" cy="4296410"/>
            <wp:effectExtent l="9525" t="9525" r="18415" b="18415"/>
            <wp:docPr id="14" name="图片 1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
                    <pic:cNvPicPr>
                      <a:picLocks noChangeAspect="1"/>
                    </pic:cNvPicPr>
                  </pic:nvPicPr>
                  <pic:blipFill>
                    <a:blip r:embed="rId17"/>
                    <a:stretch>
                      <a:fillRect/>
                    </a:stretch>
                  </pic:blipFill>
                  <pic:spPr>
                    <a:xfrm>
                      <a:off x="0" y="0"/>
                      <a:ext cx="6182360" cy="429641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t>b、工业推广员—h5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4900" cy="3668395"/>
            <wp:effectExtent l="9525" t="9525" r="15875" b="17780"/>
            <wp:docPr id="15" name="图片 1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
                    <pic:cNvPicPr>
                      <a:picLocks noChangeAspect="1"/>
                    </pic:cNvPicPr>
                  </pic:nvPicPr>
                  <pic:blipFill>
                    <a:blip r:embed="rId18"/>
                    <a:stretch>
                      <a:fillRect/>
                    </a:stretch>
                  </pic:blipFill>
                  <pic:spPr>
                    <a:xfrm>
                      <a:off x="0" y="0"/>
                      <a:ext cx="6184900" cy="3668395"/>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t>c、终端推广员—h5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7440" cy="3971925"/>
            <wp:effectExtent l="9525" t="9525" r="13335" b="19050"/>
            <wp:docPr id="16" name="图片 1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
                    <pic:cNvPicPr>
                      <a:picLocks noChangeAspect="1"/>
                    </pic:cNvPicPr>
                  </pic:nvPicPr>
                  <pic:blipFill>
                    <a:blip r:embed="rId19"/>
                    <a:stretch>
                      <a:fillRect/>
                    </a:stretch>
                  </pic:blipFill>
                  <pic:spPr>
                    <a:xfrm>
                      <a:off x="0" y="0"/>
                      <a:ext cx="6187440" cy="3971925"/>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t>d、终端—h5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5535" cy="3890010"/>
            <wp:effectExtent l="9525" t="9525" r="15240" b="24765"/>
            <wp:docPr id="17" name="图片 1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
                    <pic:cNvPicPr>
                      <a:picLocks noChangeAspect="1"/>
                    </pic:cNvPicPr>
                  </pic:nvPicPr>
                  <pic:blipFill>
                    <a:blip r:embed="rId20"/>
                    <a:stretch>
                      <a:fillRect/>
                    </a:stretch>
                  </pic:blipFill>
                  <pic:spPr>
                    <a:xfrm>
                      <a:off x="0" y="0"/>
                      <a:ext cx="6185535" cy="389001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t>e、配送商—h5</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0455" cy="3822700"/>
            <wp:effectExtent l="9525" t="9525" r="20320" b="15875"/>
            <wp:docPr id="18" name="图片 1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
                    <pic:cNvPicPr>
                      <a:picLocks noChangeAspect="1"/>
                    </pic:cNvPicPr>
                  </pic:nvPicPr>
                  <pic:blipFill>
                    <a:blip r:embed="rId21"/>
                    <a:stretch>
                      <a:fillRect/>
                    </a:stretch>
                  </pic:blipFill>
                  <pic:spPr>
                    <a:xfrm>
                      <a:off x="0" y="0"/>
                      <a:ext cx="6180455" cy="382270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t>f、配送商后台—web</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5535" cy="4122420"/>
            <wp:effectExtent l="9525" t="9525" r="15240" b="20955"/>
            <wp:docPr id="19" name="图片 1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
                    <pic:cNvPicPr>
                      <a:picLocks noChangeAspect="1"/>
                    </pic:cNvPicPr>
                  </pic:nvPicPr>
                  <pic:blipFill>
                    <a:blip r:embed="rId22"/>
                    <a:stretch>
                      <a:fillRect/>
                    </a:stretch>
                  </pic:blipFill>
                  <pic:spPr>
                    <a:xfrm>
                      <a:off x="0" y="0"/>
                      <a:ext cx="6185535" cy="4122420"/>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t>g、生产商后台—web</w:t>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drawing>
          <wp:inline distT="0" distB="0" distL="114300" distR="114300">
            <wp:extent cx="6185535" cy="3850005"/>
            <wp:effectExtent l="9525" t="9525" r="15240" b="26670"/>
            <wp:docPr id="20" name="图片 20"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
                    <pic:cNvPicPr>
                      <a:picLocks noChangeAspect="1"/>
                    </pic:cNvPicPr>
                  </pic:nvPicPr>
                  <pic:blipFill>
                    <a:blip r:embed="rId23"/>
                    <a:stretch>
                      <a:fillRect/>
                    </a:stretch>
                  </pic:blipFill>
                  <pic:spPr>
                    <a:xfrm>
                      <a:off x="0" y="0"/>
                      <a:ext cx="6185535" cy="3850005"/>
                    </a:xfrm>
                    <a:prstGeom prst="rect">
                      <a:avLst/>
                    </a:prstGeom>
                    <a:ln>
                      <a:solidFill>
                        <a:schemeClr val="bg1">
                          <a:lumMod val="85000"/>
                        </a:schemeClr>
                      </a:solidFill>
                    </a:ln>
                  </pic:spPr>
                </pic:pic>
              </a:graphicData>
            </a:graphic>
          </wp:inline>
        </w:drawing>
      </w:r>
      <w:r>
        <w:rPr>
          <w:rFonts w:hint="eastAsia" w:asciiTheme="majorEastAsia" w:hAnsiTheme="majorEastAsia" w:eastAsiaTheme="majorEastAsia" w:cstheme="majorEastAsia"/>
          <w:b/>
          <w:bCs w:val="0"/>
          <w:kern w:val="44"/>
          <w:sz w:val="24"/>
          <w:szCs w:val="24"/>
          <w:lang w:val="en-US" w:eastAsia="zh-CN" w:bidi="ar-SA"/>
        </w:rPr>
        <w:br w:type="textWrapping"/>
      </w:r>
      <w:r>
        <w:rPr>
          <w:rFonts w:hint="eastAsia" w:asciiTheme="majorEastAsia" w:hAnsiTheme="majorEastAsia" w:eastAsiaTheme="majorEastAsia" w:cstheme="majorEastAsia"/>
          <w:b/>
          <w:bCs w:val="0"/>
          <w:kern w:val="44"/>
          <w:sz w:val="24"/>
          <w:szCs w:val="24"/>
          <w:lang w:val="en-US" w:eastAsia="zh-CN" w:bidi="ar-SA"/>
        </w:rPr>
        <w:tab/>
        <w:t>h、运营后台—web</w:t>
      </w:r>
      <w:r>
        <w:rPr>
          <w:rFonts w:hint="eastAsia" w:asciiTheme="majorEastAsia" w:hAnsiTheme="majorEastAsia" w:eastAsiaTheme="majorEastAsia" w:cstheme="majorEastAsia"/>
          <w:b/>
          <w:bCs w:val="0"/>
          <w:kern w:val="44"/>
          <w:sz w:val="24"/>
          <w:szCs w:val="24"/>
          <w:lang w:val="en-US" w:eastAsia="zh-CN" w:bidi="ar-SA"/>
        </w:rPr>
        <w:br w:type="textWrapping"/>
      </w:r>
      <w:r>
        <w:rPr>
          <w:rFonts w:hint="default"/>
          <w:lang w:val="en-US" w:eastAsia="zh-CN"/>
        </w:rPr>
        <w:drawing>
          <wp:inline distT="0" distB="0" distL="114300" distR="114300">
            <wp:extent cx="6180455" cy="3956685"/>
            <wp:effectExtent l="9525" t="9525" r="20320" b="15240"/>
            <wp:docPr id="21" name="图片 21"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
                    <pic:cNvPicPr>
                      <a:picLocks noChangeAspect="1"/>
                    </pic:cNvPicPr>
                  </pic:nvPicPr>
                  <pic:blipFill>
                    <a:blip r:embed="rId24"/>
                    <a:stretch>
                      <a:fillRect/>
                    </a:stretch>
                  </pic:blipFill>
                  <pic:spPr>
                    <a:xfrm>
                      <a:off x="0" y="0"/>
                      <a:ext cx="6180455" cy="3956685"/>
                    </a:xfrm>
                    <a:prstGeom prst="rect">
                      <a:avLst/>
                    </a:prstGeom>
                    <a:ln>
                      <a:solidFill>
                        <a:schemeClr val="bg1">
                          <a:lumMod val="85000"/>
                        </a:schemeClr>
                      </a:solidFill>
                    </a:ln>
                  </pic:spPr>
                </pic:pic>
              </a:graphicData>
            </a:graphic>
          </wp:inline>
        </w:drawing>
      </w:r>
    </w:p>
    <w:p>
      <w:pPr>
        <w:pStyle w:val="3"/>
        <w:bidi w:val="0"/>
        <w:rPr>
          <w:rFonts w:hint="eastAsia"/>
          <w:b w:val="0"/>
          <w:bCs/>
          <w:lang w:val="en-US" w:eastAsia="zh-CN"/>
        </w:rPr>
      </w:pPr>
      <w:bookmarkStart w:id="10" w:name="_Toc8574"/>
      <w:r>
        <w:rPr>
          <w:rFonts w:hint="eastAsia"/>
          <w:b w:val="0"/>
          <w:bCs/>
          <w:lang w:val="en-US" w:eastAsia="zh-CN"/>
        </w:rPr>
        <w:t>2.4、产品路线</w:t>
      </w:r>
      <w:bookmarkEnd w:id="10"/>
    </w:p>
    <w:p>
      <w:pPr>
        <w:pStyle w:val="2"/>
        <w:bidi w:val="0"/>
        <w:rPr>
          <w:rFonts w:hint="eastAsia"/>
          <w:lang w:val="en-US" w:eastAsia="zh-CN"/>
        </w:rPr>
      </w:pPr>
      <w:bookmarkStart w:id="11" w:name="_Toc17639"/>
      <w:r>
        <w:rPr>
          <w:rFonts w:hint="eastAsia"/>
          <w:lang w:val="en-US" w:eastAsia="zh-CN"/>
        </w:rPr>
        <w:t>3、运营规划</w:t>
      </w:r>
      <w:bookmarkEnd w:id="11"/>
    </w:p>
    <w:p>
      <w:pPr>
        <w:pStyle w:val="3"/>
        <w:bidi w:val="0"/>
        <w:rPr>
          <w:rFonts w:hint="eastAsia"/>
          <w:b w:val="0"/>
          <w:bCs/>
          <w:lang w:val="en-US" w:eastAsia="zh-CN"/>
        </w:rPr>
      </w:pPr>
      <w:bookmarkStart w:id="12" w:name="_Toc31519"/>
      <w:r>
        <w:rPr>
          <w:rFonts w:hint="eastAsia"/>
          <w:b w:val="0"/>
          <w:bCs/>
          <w:lang w:val="en-US" w:eastAsia="zh-CN"/>
        </w:rPr>
        <w:t>3.1、内容运营</w:t>
      </w:r>
      <w:bookmarkEnd w:id="12"/>
    </w:p>
    <w:p>
      <w:pPr>
        <w:pStyle w:val="3"/>
        <w:bidi w:val="0"/>
        <w:rPr>
          <w:rFonts w:hint="eastAsia"/>
          <w:b w:val="0"/>
          <w:bCs/>
          <w:lang w:val="en-US" w:eastAsia="zh-CN"/>
        </w:rPr>
      </w:pPr>
      <w:bookmarkStart w:id="13" w:name="_Toc1428"/>
      <w:r>
        <w:rPr>
          <w:rFonts w:hint="eastAsia"/>
          <w:b w:val="0"/>
          <w:bCs/>
          <w:lang w:val="en-US" w:eastAsia="zh-CN"/>
        </w:rPr>
        <w:t>3.2、用户运营</w:t>
      </w:r>
      <w:bookmarkEnd w:id="13"/>
    </w:p>
    <w:p>
      <w:pPr>
        <w:pStyle w:val="3"/>
        <w:bidi w:val="0"/>
        <w:rPr>
          <w:rFonts w:hint="eastAsia"/>
          <w:b w:val="0"/>
          <w:bCs/>
          <w:lang w:val="en-US" w:eastAsia="zh-CN"/>
        </w:rPr>
      </w:pPr>
      <w:bookmarkStart w:id="14" w:name="_Toc29579"/>
      <w:r>
        <w:rPr>
          <w:rFonts w:hint="eastAsia"/>
          <w:b w:val="0"/>
          <w:bCs/>
          <w:lang w:val="en-US" w:eastAsia="zh-CN"/>
        </w:rPr>
        <w:t>3.3、社区运营</w:t>
      </w:r>
      <w:bookmarkEnd w:id="14"/>
    </w:p>
    <w:p>
      <w:pPr>
        <w:pStyle w:val="3"/>
        <w:bidi w:val="0"/>
        <w:rPr>
          <w:rFonts w:hint="eastAsia"/>
          <w:b w:val="0"/>
          <w:bCs/>
          <w:lang w:val="en-US" w:eastAsia="zh-CN"/>
        </w:rPr>
      </w:pPr>
      <w:bookmarkStart w:id="15" w:name="_Toc911"/>
      <w:r>
        <w:rPr>
          <w:rFonts w:hint="eastAsia"/>
          <w:b w:val="0"/>
          <w:bCs/>
          <w:lang w:val="en-US" w:eastAsia="zh-CN"/>
        </w:rPr>
        <w:t>3.4、活动运营</w:t>
      </w:r>
      <w:bookmarkEnd w:id="15"/>
    </w:p>
    <w:p>
      <w:pPr>
        <w:pStyle w:val="3"/>
        <w:bidi w:val="0"/>
        <w:rPr>
          <w:rFonts w:hint="eastAsia"/>
          <w:b w:val="0"/>
          <w:bCs/>
          <w:lang w:val="en-US" w:eastAsia="zh-CN"/>
        </w:rPr>
      </w:pPr>
      <w:bookmarkStart w:id="16" w:name="_Toc32761"/>
      <w:r>
        <w:rPr>
          <w:rFonts w:hint="eastAsia"/>
          <w:b w:val="0"/>
          <w:bCs/>
          <w:lang w:val="en-US" w:eastAsia="zh-CN"/>
        </w:rPr>
        <w:t>3.5、产品运营</w:t>
      </w:r>
      <w:bookmarkEnd w:id="16"/>
    </w:p>
    <w:p>
      <w:pPr>
        <w:pStyle w:val="2"/>
        <w:bidi w:val="0"/>
        <w:rPr>
          <w:rFonts w:hint="eastAsia"/>
          <w:lang w:val="en-US" w:eastAsia="zh-CN"/>
        </w:rPr>
      </w:pPr>
      <w:bookmarkStart w:id="17" w:name="_Toc5835"/>
      <w:r>
        <w:rPr>
          <w:rFonts w:hint="eastAsia"/>
          <w:lang w:val="en-US" w:eastAsia="zh-CN"/>
        </w:rPr>
        <w:t>4、盈利模式</w:t>
      </w:r>
      <w:bookmarkEnd w:id="17"/>
    </w:p>
    <w:p>
      <w:pPr>
        <w:pStyle w:val="2"/>
        <w:bidi w:val="0"/>
        <w:rPr>
          <w:rFonts w:hint="eastAsia"/>
          <w:lang w:val="en-US" w:eastAsia="zh-CN"/>
        </w:rPr>
      </w:pPr>
      <w:bookmarkStart w:id="18" w:name="_Toc14806"/>
      <w:r>
        <w:rPr>
          <w:rFonts w:hint="eastAsia"/>
          <w:lang w:val="en-US" w:eastAsia="zh-CN"/>
        </w:rPr>
        <w:t>5、收益与成本</w:t>
      </w:r>
      <w:bookmarkEnd w:id="18"/>
    </w:p>
    <w:p>
      <w:pPr>
        <w:pStyle w:val="3"/>
        <w:bidi w:val="0"/>
        <w:rPr>
          <w:rFonts w:hint="eastAsia"/>
          <w:b w:val="0"/>
          <w:bCs/>
          <w:lang w:val="en-US" w:eastAsia="zh-CN"/>
        </w:rPr>
      </w:pPr>
      <w:bookmarkStart w:id="19" w:name="_Toc14111"/>
      <w:r>
        <w:rPr>
          <w:rFonts w:hint="eastAsia"/>
          <w:b w:val="0"/>
          <w:bCs/>
          <w:lang w:val="en-US" w:eastAsia="zh-CN"/>
        </w:rPr>
        <w:t>5.1、收益结构</w:t>
      </w:r>
      <w:bookmarkEnd w:id="19"/>
    </w:p>
    <w:p>
      <w:pPr>
        <w:pStyle w:val="3"/>
        <w:bidi w:val="0"/>
        <w:rPr>
          <w:rFonts w:hint="eastAsia"/>
          <w:b w:val="0"/>
          <w:bCs/>
          <w:lang w:val="en-US" w:eastAsia="zh-CN"/>
        </w:rPr>
      </w:pPr>
      <w:bookmarkStart w:id="20" w:name="_Toc30010"/>
      <w:r>
        <w:rPr>
          <w:rFonts w:hint="eastAsia"/>
          <w:b w:val="0"/>
          <w:bCs/>
          <w:lang w:val="en-US" w:eastAsia="zh-CN"/>
        </w:rPr>
        <w:t>5.2、成本结构</w:t>
      </w:r>
      <w:bookmarkEnd w:id="20"/>
    </w:p>
    <w:p>
      <w:pPr>
        <w:pStyle w:val="2"/>
        <w:bidi w:val="0"/>
        <w:rPr>
          <w:rFonts w:hint="eastAsia"/>
          <w:lang w:val="en-US" w:eastAsia="zh-CN"/>
        </w:rPr>
      </w:pPr>
      <w:bookmarkStart w:id="21" w:name="_Toc7541"/>
      <w:r>
        <w:rPr>
          <w:rFonts w:hint="eastAsia"/>
          <w:lang w:val="en-US" w:eastAsia="zh-CN"/>
        </w:rPr>
        <w:t>6、SWOT分析</w:t>
      </w:r>
      <w:bookmarkEnd w:id="21"/>
    </w:p>
    <w:p>
      <w:pPr>
        <w:pStyle w:val="2"/>
        <w:bidi w:val="0"/>
        <w:rPr>
          <w:rFonts w:hint="eastAsia"/>
          <w:lang w:val="en-US" w:eastAsia="zh-CN"/>
        </w:rPr>
      </w:pPr>
      <w:bookmarkStart w:id="22" w:name="_Toc12239"/>
      <w:r>
        <w:rPr>
          <w:rFonts w:hint="eastAsia"/>
          <w:lang w:val="en-US" w:eastAsia="zh-CN"/>
        </w:rPr>
        <w:t>7、风险与对策</w:t>
      </w:r>
      <w:bookmarkEnd w:id="22"/>
    </w:p>
    <w:p>
      <w:pPr>
        <w:pStyle w:val="2"/>
        <w:bidi w:val="0"/>
        <w:rPr>
          <w:rFonts w:hint="default"/>
          <w:lang w:val="en-US" w:eastAsia="zh-CN"/>
        </w:rPr>
      </w:pPr>
      <w:bookmarkStart w:id="23" w:name="_Toc32661"/>
      <w:r>
        <w:rPr>
          <w:rFonts w:hint="eastAsia"/>
          <w:lang w:val="en-US" w:eastAsia="zh-CN"/>
        </w:rPr>
        <w:t>8、总结</w:t>
      </w:r>
      <w:bookmarkEnd w:id="23"/>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7943F0"/>
    <w:rsid w:val="002003A5"/>
    <w:rsid w:val="00322BA5"/>
    <w:rsid w:val="00AC3296"/>
    <w:rsid w:val="012E08B5"/>
    <w:rsid w:val="02120E25"/>
    <w:rsid w:val="022E3A08"/>
    <w:rsid w:val="028C5964"/>
    <w:rsid w:val="029539D8"/>
    <w:rsid w:val="0353045F"/>
    <w:rsid w:val="05766BCA"/>
    <w:rsid w:val="059E0FB4"/>
    <w:rsid w:val="05AB50B2"/>
    <w:rsid w:val="061C510C"/>
    <w:rsid w:val="06F73A4E"/>
    <w:rsid w:val="06FE2737"/>
    <w:rsid w:val="072E1FA7"/>
    <w:rsid w:val="07B73D01"/>
    <w:rsid w:val="091138C2"/>
    <w:rsid w:val="0B026B10"/>
    <w:rsid w:val="0B891DF3"/>
    <w:rsid w:val="0C013A7F"/>
    <w:rsid w:val="0C207570"/>
    <w:rsid w:val="0C2B6A19"/>
    <w:rsid w:val="0CFC7315"/>
    <w:rsid w:val="0D233E59"/>
    <w:rsid w:val="0E430551"/>
    <w:rsid w:val="0E89067F"/>
    <w:rsid w:val="0F7329F1"/>
    <w:rsid w:val="107C5919"/>
    <w:rsid w:val="11814D17"/>
    <w:rsid w:val="12641D45"/>
    <w:rsid w:val="13702D7D"/>
    <w:rsid w:val="1371772D"/>
    <w:rsid w:val="14267D04"/>
    <w:rsid w:val="15677241"/>
    <w:rsid w:val="15AA5A83"/>
    <w:rsid w:val="15C21294"/>
    <w:rsid w:val="161224C6"/>
    <w:rsid w:val="175727E4"/>
    <w:rsid w:val="176713C2"/>
    <w:rsid w:val="17DB0139"/>
    <w:rsid w:val="1AEF05D4"/>
    <w:rsid w:val="1AFF5728"/>
    <w:rsid w:val="1B2205FD"/>
    <w:rsid w:val="1B353948"/>
    <w:rsid w:val="1BCC2092"/>
    <w:rsid w:val="1CF63C99"/>
    <w:rsid w:val="1D2217F9"/>
    <w:rsid w:val="1DCF13C9"/>
    <w:rsid w:val="1EFB7D3C"/>
    <w:rsid w:val="20A231E0"/>
    <w:rsid w:val="2100666B"/>
    <w:rsid w:val="21527C2D"/>
    <w:rsid w:val="21AA021B"/>
    <w:rsid w:val="23D60F59"/>
    <w:rsid w:val="23E44393"/>
    <w:rsid w:val="23F74598"/>
    <w:rsid w:val="23F83E04"/>
    <w:rsid w:val="2456065E"/>
    <w:rsid w:val="247F3D91"/>
    <w:rsid w:val="262759BE"/>
    <w:rsid w:val="263903F9"/>
    <w:rsid w:val="26B30726"/>
    <w:rsid w:val="26B70524"/>
    <w:rsid w:val="26F1383D"/>
    <w:rsid w:val="289A0264"/>
    <w:rsid w:val="28BA6969"/>
    <w:rsid w:val="29345B11"/>
    <w:rsid w:val="29BB66B8"/>
    <w:rsid w:val="29E052CE"/>
    <w:rsid w:val="29F3401B"/>
    <w:rsid w:val="2A8526F7"/>
    <w:rsid w:val="2AF70FA6"/>
    <w:rsid w:val="2B7943F0"/>
    <w:rsid w:val="2BE3399E"/>
    <w:rsid w:val="2CAC13E1"/>
    <w:rsid w:val="2CDB386A"/>
    <w:rsid w:val="2CEC0783"/>
    <w:rsid w:val="2D02252C"/>
    <w:rsid w:val="2D0A7A3C"/>
    <w:rsid w:val="2DA76DA3"/>
    <w:rsid w:val="31D8391B"/>
    <w:rsid w:val="330401A3"/>
    <w:rsid w:val="334A189C"/>
    <w:rsid w:val="33813149"/>
    <w:rsid w:val="34616D63"/>
    <w:rsid w:val="35B4121C"/>
    <w:rsid w:val="35C6727F"/>
    <w:rsid w:val="37A6201E"/>
    <w:rsid w:val="38CB23BA"/>
    <w:rsid w:val="38D87DAF"/>
    <w:rsid w:val="399F4984"/>
    <w:rsid w:val="39A97F7A"/>
    <w:rsid w:val="39FF6D36"/>
    <w:rsid w:val="3AC70B40"/>
    <w:rsid w:val="3BA8098F"/>
    <w:rsid w:val="3BF856CC"/>
    <w:rsid w:val="3C3973F1"/>
    <w:rsid w:val="3CF4037B"/>
    <w:rsid w:val="3D006644"/>
    <w:rsid w:val="3D3E0004"/>
    <w:rsid w:val="3D515010"/>
    <w:rsid w:val="3E5D25D9"/>
    <w:rsid w:val="3E852DE3"/>
    <w:rsid w:val="3E9454D2"/>
    <w:rsid w:val="3F0151EA"/>
    <w:rsid w:val="3FCF1CBA"/>
    <w:rsid w:val="40D0734D"/>
    <w:rsid w:val="41574453"/>
    <w:rsid w:val="418530B4"/>
    <w:rsid w:val="41F02FC2"/>
    <w:rsid w:val="433A5511"/>
    <w:rsid w:val="43856660"/>
    <w:rsid w:val="43872AA2"/>
    <w:rsid w:val="447F72AC"/>
    <w:rsid w:val="455E231E"/>
    <w:rsid w:val="45713E36"/>
    <w:rsid w:val="47A05128"/>
    <w:rsid w:val="48DE06A5"/>
    <w:rsid w:val="4B674908"/>
    <w:rsid w:val="4C684793"/>
    <w:rsid w:val="4D507DF0"/>
    <w:rsid w:val="4E3A2B01"/>
    <w:rsid w:val="4E6866DA"/>
    <w:rsid w:val="4E6C5D89"/>
    <w:rsid w:val="4E7529F9"/>
    <w:rsid w:val="501B6F6F"/>
    <w:rsid w:val="50F21AC6"/>
    <w:rsid w:val="515E2306"/>
    <w:rsid w:val="516F7A01"/>
    <w:rsid w:val="53E41E22"/>
    <w:rsid w:val="545033FB"/>
    <w:rsid w:val="54D83C8F"/>
    <w:rsid w:val="569F018D"/>
    <w:rsid w:val="58631A8A"/>
    <w:rsid w:val="58EF0D19"/>
    <w:rsid w:val="59D14376"/>
    <w:rsid w:val="5C333074"/>
    <w:rsid w:val="5C4B0A7D"/>
    <w:rsid w:val="5E765595"/>
    <w:rsid w:val="5EBB5810"/>
    <w:rsid w:val="604136BA"/>
    <w:rsid w:val="609564E1"/>
    <w:rsid w:val="61174206"/>
    <w:rsid w:val="621E036D"/>
    <w:rsid w:val="622B7B48"/>
    <w:rsid w:val="62A15D35"/>
    <w:rsid w:val="62B16539"/>
    <w:rsid w:val="62EC089E"/>
    <w:rsid w:val="63041C84"/>
    <w:rsid w:val="642D2C75"/>
    <w:rsid w:val="65576DC8"/>
    <w:rsid w:val="655D095D"/>
    <w:rsid w:val="65D130CD"/>
    <w:rsid w:val="663F64C6"/>
    <w:rsid w:val="665D3A77"/>
    <w:rsid w:val="66A0006C"/>
    <w:rsid w:val="67401FC1"/>
    <w:rsid w:val="67C16F6B"/>
    <w:rsid w:val="683220BA"/>
    <w:rsid w:val="68FD5D4B"/>
    <w:rsid w:val="69953F76"/>
    <w:rsid w:val="6A023313"/>
    <w:rsid w:val="6B8209B6"/>
    <w:rsid w:val="6BA108C5"/>
    <w:rsid w:val="6BB1392E"/>
    <w:rsid w:val="6C952577"/>
    <w:rsid w:val="6DE46D1A"/>
    <w:rsid w:val="6E2367FD"/>
    <w:rsid w:val="6E8E3403"/>
    <w:rsid w:val="6EB01AA5"/>
    <w:rsid w:val="6F2C1937"/>
    <w:rsid w:val="6F4D28E3"/>
    <w:rsid w:val="704B02FC"/>
    <w:rsid w:val="70F425B6"/>
    <w:rsid w:val="713C61BE"/>
    <w:rsid w:val="713E78C1"/>
    <w:rsid w:val="716354D4"/>
    <w:rsid w:val="72242189"/>
    <w:rsid w:val="72A16992"/>
    <w:rsid w:val="72EA058D"/>
    <w:rsid w:val="75863E45"/>
    <w:rsid w:val="75A57A9A"/>
    <w:rsid w:val="75BE5BF8"/>
    <w:rsid w:val="76586D4B"/>
    <w:rsid w:val="770F2A84"/>
    <w:rsid w:val="7C3F2638"/>
    <w:rsid w:val="7C52103C"/>
    <w:rsid w:val="7EFC3E53"/>
    <w:rsid w:val="7F1F26B5"/>
    <w:rsid w:val="7F3A5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toc 1"/>
    <w:basedOn w:val="1"/>
    <w:next w:val="1"/>
    <w:uiPriority w:val="0"/>
  </w:style>
  <w:style w:type="paragraph" w:styleId="9">
    <w:name w:val="toc 2"/>
    <w:basedOn w:val="1"/>
    <w:next w:val="1"/>
    <w:qFormat/>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uiPriority w:val="0"/>
    <w:pPr>
      <w:ind w:leftChars="0"/>
    </w:pPr>
    <w:rPr>
      <w:rFonts w:asciiTheme="minorHAnsi" w:hAnsiTheme="minorHAnsi" w:eastAsiaTheme="minorEastAsia" w:cstheme="minorBidi"/>
      <w:sz w:val="20"/>
      <w:szCs w:val="20"/>
    </w:rPr>
  </w:style>
  <w:style w:type="paragraph" w:customStyle="1" w:styleId="14">
    <w:name w:val="WPSOffice手动目录 2"/>
    <w:qFormat/>
    <w:uiPriority w:val="0"/>
    <w:pPr>
      <w:ind w:leftChars="200"/>
    </w:pPr>
    <w:rPr>
      <w:rFonts w:asciiTheme="minorHAnsi" w:hAnsiTheme="minorHAnsi" w:eastAsiaTheme="minorEastAsia" w:cstheme="minorBidi"/>
      <w:sz w:val="20"/>
      <w:szCs w:val="20"/>
    </w:rPr>
  </w:style>
  <w:style w:type="character" w:customStyle="1" w:styleId="1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2020-12-24T06:44:00Z</dcterms:created>
  <dc:creator>VIP</dc:creator>
  <cp:lastModifiedBy>VIP</cp:lastModifiedBy>
  <dcterms:modified xsi:type="dcterms:W3CDTF">2020-12-27T08:15:25Z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